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Требования к HTML баннерам, размещаемым на Gismeteo.ru Adfox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Формат баннеров 240*400/ 300*600/ 300*250/ 300*300/ 728*90/ 100%*250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100%х90 (гарантированная видимая область для 100%-х баннеров - 1000px в ширину)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Общий вес присылаемых материалов не должен превышать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Кб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(включая все подгружаемые файлы)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Все ссылки в файлах (на сторонние скрипты, файлы и т.п.) должны начинаться с двух слешей: // , без указания протокола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если это не https.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Количество символов в html файле не более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65 000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используйте переменные user для подгружаемых файлов!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Баннеры должны быть подготовлены по инструкции Adfox. Пункты 1-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обязательны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564.0000000000001" w:right="0" w:firstLine="0"/>
        <w:contextualSpacing w:val="0"/>
        <w:jc w:val="left"/>
        <w:rPr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http://specs.adfox.ru/page/233/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подготовке креативов в HTML редакторах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Adobe Animate CC,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Google Web Designer,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Adobe Edge Animate CC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инструкция по ссылке: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564.0000000000001" w:firstLine="0"/>
        <w:contextualSpacing w:val="0"/>
        <w:rPr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https://specs.adfox.ru/page/273/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Пункты 1-5 обязательны!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0" w:line="288" w:lineRule="auto"/>
        <w:ind w:left="1004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баннеров со светлым фоном обязательна однопиксельная тёмная рамка. Для баннеров со 100%-й шириной и светлым фоном - тёмная полоска снизу.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0" w:line="288" w:lineRule="auto"/>
        <w:ind w:left="1004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Баннеры должны соответствовать закону о рекламе.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Запрещены баннеры часто и интенсивно моргающие, раздражающие глаз; с элементами интерфейса ОС (кнопки «OK», выпадающие меню, титульные строки окон и пр.).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Запрещено использование скриптов, самопроизвольно открывающих какой-либо адрес в текущем или новом окне браузера.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Баннеры, мешающие восприятию информации на сайте и вызывающие у пользователей сайта негативную реакцию, могут быть сняты с сайта. Рекламодатель может предоставить другой баннер, который будет тут же размещен вместо старого.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Звуковой баннер – обязательна кнопка «включить звук». Включение звука производится только по желанию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Компания оставляет за собой право не принимать к размещению баннеры, исполнение которых не соответствует внутренней политике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Баннеры необходимо присылать не позднее, чем 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рабочих дня до начала размещения.</w:t>
      </w:r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04" w:firstLine="2652.0000000000005"/>
      </w:pPr>
      <w:rPr/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pecs.adfox.ru/page/273/" TargetMode="External"/><Relationship Id="rId5" Type="http://schemas.openxmlformats.org/officeDocument/2006/relationships/hyperlink" Target="http://specs.adfox.ru/page/233/" TargetMode="External"/><Relationship Id="rId6" Type="http://schemas.openxmlformats.org/officeDocument/2006/relationships/hyperlink" Target="https://specs.adfox.ru/page/273/#AdobeAnimate%D0%A1%D0%A1" TargetMode="External"/><Relationship Id="rId7" Type="http://schemas.openxmlformats.org/officeDocument/2006/relationships/hyperlink" Target="https://specs.adfox.ru/page/273/#GoogleWebDesigner" TargetMode="External"/><Relationship Id="rId8" Type="http://schemas.openxmlformats.org/officeDocument/2006/relationships/hyperlink" Target="https://specs.adfox.ru/page/273/#AdobeEdgeAnimateCC" TargetMode="External"/></Relationships>
</file>