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0BF86">
      <w:pPr>
        <w:spacing w:before="160" w:after="160"/>
        <w:jc w:val="center"/>
        <w:rPr>
          <w:rFonts w:hint="eastAsia" w:ascii="宋体" w:hAnsi="宋体" w:eastAsia="宋体" w:cs="宋体"/>
          <w:lang w:val="en-US" w:eastAsia="zh-CN"/>
        </w:rPr>
      </w:pPr>
      <w:r>
        <w:rPr>
          <w:rFonts w:hint="eastAsia" w:ascii="宋体" w:hAnsi="宋体" w:eastAsia="宋体" w:cs="宋体"/>
          <w:b/>
          <w:sz w:val="40"/>
        </w:rPr>
        <w:t>中国、西班牙与巴西学生工程实践行为比较研究</w:t>
      </w:r>
      <w:r>
        <w:rPr>
          <w:rFonts w:hint="eastAsia" w:ascii="宋体" w:hAnsi="宋体" w:eastAsia="宋体" w:cs="宋体"/>
          <w:b/>
          <w:sz w:val="40"/>
          <w:lang w:val="en-US" w:eastAsia="zh-CN"/>
        </w:rPr>
        <w:t>及其对国际暑期学校的优化启示</w:t>
      </w:r>
    </w:p>
    <w:p w14:paraId="51415526">
      <w:pPr>
        <w:spacing w:after="80"/>
        <w:jc w:val="center"/>
        <w:rPr>
          <w:rFonts w:hint="eastAsia" w:ascii="宋体" w:hAnsi="宋体" w:eastAsia="宋体" w:cs="宋体"/>
        </w:rPr>
      </w:pPr>
      <w:r>
        <w:rPr>
          <w:rFonts w:hint="eastAsia" w:ascii="宋体" w:hAnsi="宋体" w:eastAsia="宋体" w:cs="宋体"/>
          <w:b/>
          <w:sz w:val="30"/>
        </w:rPr>
        <w:t>——基于无人机国际暑期学校混合组队项目的实地调研</w:t>
      </w:r>
    </w:p>
    <w:p w14:paraId="06AFC10A">
      <w:pPr>
        <w:pStyle w:val="164"/>
        <w:keepNext/>
        <w:keepLines/>
      </w:pPr>
      <w:r>
        <w:rPr>
          <w:rFonts w:ascii="Times New Roman" w:hAnsi="Times New Roman" w:eastAsia="宋体"/>
        </w:rPr>
        <w:t>摘要</w:t>
      </w:r>
    </w:p>
    <w:p w14:paraId="6D23E380">
      <w:pPr>
        <w:pStyle w:val="167"/>
      </w:pPr>
      <w:r>
        <w:rPr>
          <w:rFonts w:ascii="Times New Roman" w:hAnsi="Times New Roman" w:eastAsia="仿宋"/>
        </w:rPr>
        <w:t>本研究以2026年北京航空航天大学杭州国际校区Crazyflie无人机国际暑期学校为实践场景，围绕中国、西班牙与巴西学生在ROS环境部署、多传感器应用、SLAM环境建图、自主避障与路径规划等任务中的工程实践行为展开比较。研究综合采用为期5天的实地观察与日志分析、5名学生的半结构化访谈、32份结构化问卷以及文献研究等方法，从技术学习路径、问题解决方式、团队协作、试错迭代和教育经历等维度进行分析。研究发现，学生的学习路径整体经历了由教程跟随向主动建构的阶段性演变，环境配置、参数调试和多模块协同等工程性、系统性问题构成项目中的主要挑战；AI工具成为各国学生共同使用的学习辅助手段，跨文化团队则通过英语交流、翻译工具、代码展示和操作演示等方式完成协作。样本内学生在求助顺序、资料获取路径、任务导向、团队角色以及教育准备度等方面呈现一定差异，其形成与个人技术基础、既往项目经验、教育经历、团队角色、年龄和项目情境等因素相关。基于上述调研结果，报告提出课前诊断与分层预习、混合组队与角色轮换、标准化与开放性相结合的任务设计、跨文化沟通支持、教师引导机制以及过程与结果并重的评价体系等优化建议。研究结论主要反映本次特定样本和短期无人机项目场景，可为同类国际工程实践项目的设计与改进提供参考。</w:t>
      </w:r>
    </w:p>
    <w:p w14:paraId="1910CEF7">
      <w:pPr>
        <w:pStyle w:val="167"/>
      </w:pPr>
      <w:r>
        <w:rPr>
          <w:rFonts w:ascii="Times New Roman" w:hAnsi="Times New Roman" w:eastAsia="仿宋"/>
        </w:rPr>
        <w:t>关键词：中国学生；西班牙学生；巴西学生；工程实践；项目式学习；国际暑期学校</w:t>
      </w:r>
    </w:p>
    <w:p w14:paraId="04FD8225">
      <w:pPr>
        <w:pStyle w:val="164"/>
        <w:keepNext/>
        <w:keepLines/>
      </w:pPr>
      <w:r>
        <w:rPr>
          <w:rFonts w:ascii="Times New Roman" w:hAnsi="Times New Roman" w:eastAsia="宋体"/>
        </w:rPr>
        <w:t>一、绪论</w:t>
      </w:r>
    </w:p>
    <w:p w14:paraId="35598794">
      <w:pPr>
        <w:pStyle w:val="165"/>
        <w:keepNext/>
        <w:keepLines/>
      </w:pPr>
      <w:r>
        <w:rPr>
          <w:rFonts w:ascii="Times New Roman" w:hAnsi="Times New Roman" w:eastAsia="宋体"/>
        </w:rPr>
        <w:t>1.1研究背景与意义</w:t>
      </w:r>
    </w:p>
    <w:p w14:paraId="0A96BA02">
      <w:pPr>
        <w:pStyle w:val="166"/>
        <w:keepNext/>
        <w:keepLines/>
      </w:pPr>
      <w:r>
        <w:rPr>
          <w:rFonts w:ascii="Times New Roman" w:hAnsi="Times New Roman" w:eastAsia="宋体"/>
        </w:rPr>
        <w:t>1.1.1研究背景</w:t>
      </w:r>
    </w:p>
    <w:p w14:paraId="10F67875">
      <w:pPr>
        <w:pStyle w:val="167"/>
      </w:pPr>
      <w:r>
        <w:rPr>
          <w:rFonts w:ascii="Times New Roman" w:hAnsi="Times New Roman" w:eastAsia="仿宋"/>
        </w:rPr>
        <w:t>当前全球产业技术变革与工程协作全球化趋势不断深化，具备跨文化沟通能力与国际化工程实践能力的复合型人才，已成为各国工科教育的核心培养目标。在我国新工科建设持续推进的背景下，国际暑期学校作为高校开展国际化育人、引入前沿技术实训的重要载体，通过中外学生混合组队、共同完成实操项目的模式，既能帮助学生快速接触领域前沿技术，也能在真实协作场景中展现不同教育背景下的思维方式差异，是观察中外工程实践模式的天然场域。</w:t>
      </w:r>
    </w:p>
    <w:p w14:paraId="4844A924">
      <w:pPr>
        <w:pStyle w:val="167"/>
      </w:pPr>
      <w:r>
        <w:rPr>
          <w:rFonts w:ascii="Times New Roman" w:hAnsi="Times New Roman" w:eastAsia="仿宋"/>
        </w:rPr>
        <w:t>与此同时，当前多数国际工科暑期项目仍普遍采用统一化的课程设计与实训标准，对不同国家学生的学习习惯、思维特征与技术基础差异关注不足，既难以充分发挥多元背景的协作优势，也可能因适配性不足降低实训的育人效果。如何基于不同教育体系下学生的工程思维特征，优化国际暑期学校的项目设计与育人模式，已成为国际化工科教育实践中亟待解决的现实问题。</w:t>
      </w:r>
    </w:p>
    <w:p w14:paraId="37414A61">
      <w:pPr>
        <w:pStyle w:val="167"/>
      </w:pPr>
      <w:r>
        <w:rPr>
          <w:rFonts w:ascii="Times New Roman" w:hAnsi="Times New Roman" w:eastAsia="仿宋"/>
        </w:rPr>
        <w:t>2026年北京航空航天大学杭州国际校区开设无人机前沿技术暑期实训项目，以Crazyflie微型无人机为实践平台，覆盖ROS机器人操作系统配置、多传感器数据读取、SLAM环境建图、自主避障与路径规划等机器人工程核心实操内容，吸引了来自中国、西班牙、巴西等多国工科学生参与。项目全程采用“项目驱动、边做边学”的实训模式，要求中外学生混合组队，在5天内完成从环境搭建到综合飞行竞赛的完整工程任务。项目高强度、重实操、强跨文化协作的特征，为系统观察不同国家学生的工程实践行为、提炼底层思维差异、追溯教育成因提供了绝佳的实证场景。</w:t>
      </w:r>
    </w:p>
    <w:p w14:paraId="18A6407B">
      <w:pPr>
        <w:pStyle w:val="166"/>
        <w:keepNext/>
        <w:keepLines/>
      </w:pPr>
      <w:r>
        <w:rPr>
          <w:rFonts w:ascii="Times New Roman" w:hAnsi="Times New Roman" w:eastAsia="宋体"/>
        </w:rPr>
        <w:t>1.1.2研究意义</w:t>
      </w:r>
    </w:p>
    <w:p w14:paraId="24218951">
      <w:pPr>
        <w:pStyle w:val="167"/>
      </w:pPr>
      <w:r>
        <w:rPr>
          <w:rFonts w:ascii="Times New Roman" w:hAnsi="Times New Roman" w:eastAsia="仿宋"/>
        </w:rPr>
        <w:t>本研究兼具理论补充价值与实践指导意义：</w:t>
      </w:r>
    </w:p>
    <w:p w14:paraId="660711CA">
      <w:pPr>
        <w:pStyle w:val="167"/>
      </w:pPr>
      <w:r>
        <w:rPr>
          <w:rFonts w:ascii="Times New Roman" w:hAnsi="Times New Roman" w:eastAsia="仿宋"/>
        </w:rPr>
        <w:t>在理论层面，一是丰富跨文化工程思维对比的微观实证研究。现有中外工程教育对比研究多聚焦宏观培养体系的梳理，基于真实实操项目的沉浸式行为观察相对不足，本研究通过全程跟进实训全流程，从技术学习、问题解决、团队协作、迭代试错等微观维度拆解差异，为工程思维对比研究补充来自一线实践的实证素材。二是拓展跨文化工科教育的研究样本边界。既有研究多集中于中、西欧、北美学生的二元对比，对拉美地区工科学生的实践特征与教育模式关注较少，本研究纳入西班牙（南欧）与巴西（拉美）两国样本，可呈现不同文化圈、不同发展水平下工科教育的育人特征，完善跨文化工程思维研究的分析框架。</w:t>
      </w:r>
    </w:p>
    <w:p w14:paraId="6C5EA472">
      <w:pPr>
        <w:pStyle w:val="167"/>
      </w:pPr>
      <w:r>
        <w:rPr>
          <w:rFonts w:ascii="Times New Roman" w:hAnsi="Times New Roman" w:eastAsia="仿宋"/>
        </w:rPr>
        <w:t>在实践层面，一是为本次北航杭州国际暑期学校无人机项目的迭代优化提供直接依据。基于实地观察与调研数据，精准识别当前课程设置、组队模式、指导方式、考核体系中存在的适配性问题，提出针对性的调整方案，直接服务于项目后续的质量提升。二是为国内高校同类国际工科实训项目提供可复用的优化思路。总结不同教育背景学生的学习规律与协作特点，为国际暑期学校的课程设计、跨文化团队建设、实践指导体系建设提供参考，助力提升国际化工科育人的实际成效。</w:t>
      </w:r>
    </w:p>
    <w:p w14:paraId="26AB4ABB">
      <w:pPr>
        <w:pStyle w:val="165"/>
        <w:keepNext/>
        <w:keepLines/>
      </w:pPr>
      <w:r>
        <w:rPr>
          <w:rFonts w:ascii="Times New Roman" w:hAnsi="Times New Roman" w:eastAsia="宋体"/>
        </w:rPr>
        <w:t>1.2研究对象与范围</w:t>
      </w:r>
    </w:p>
    <w:p w14:paraId="28F91168">
      <w:pPr>
        <w:pStyle w:val="167"/>
      </w:pPr>
      <w:r>
        <w:rPr>
          <w:rFonts w:ascii="Times New Roman" w:hAnsi="Times New Roman" w:eastAsia="仿宋"/>
        </w:rPr>
        <w:t>本研究以2026年北航杭州国际校区无人机暑期混合组队实训项目为核心研究载体，以参与项目的中国、西班牙、巴西三国学生为主要研究对象，围绕项目式工程实践全流程展开系统研究。</w:t>
      </w:r>
    </w:p>
    <w:p w14:paraId="17B37346">
      <w:pPr>
        <w:pStyle w:val="167"/>
      </w:pPr>
      <w:r>
        <w:rPr>
          <w:rFonts w:ascii="Times New Roman" w:hAnsi="Times New Roman" w:eastAsia="仿宋"/>
        </w:rPr>
        <w:t>研究的核心范畴聚焦三个层面：其一为行为模式层面，观察对比不同国家学生在技术学习、问题排查、方案迭代、团队分工协作等环节的具体行为特征与任务推进路径；其二为思维逻辑层面，挖掘表层行为差异背后的底层认知逻辑，包括知识获取偏好、问题拆解思路、创新表达形式、执行严谨性与灵活性权衡等工程思维核心维度；其三为教育成因层面，从基础教育、高等教育、课外培养三个阶段，追溯不同国家工科教育模式对学生思维习惯与实践风格的塑造机制。</w:t>
      </w:r>
    </w:p>
    <w:p w14:paraId="5459777D">
      <w:pPr>
        <w:pStyle w:val="167"/>
      </w:pPr>
      <w:r>
        <w:rPr>
          <w:rFonts w:ascii="Times New Roman" w:hAnsi="Times New Roman" w:eastAsia="仿宋"/>
        </w:rPr>
        <w:t>本研究的范围限定于无人机工程实训场景下的工程实践思维对比，不泛化讨论一般性社会文化差异，也不延伸至非工程类学科的学习模式。研究结论主要服务于国际工科暑期学校的项目优化，若推广至其他类型的国际教育项目，需结合具体场景与培养目标灵活调整。</w:t>
      </w:r>
    </w:p>
    <w:p w14:paraId="6EF1A617">
      <w:pPr>
        <w:pStyle w:val="165"/>
        <w:keepNext/>
        <w:keepLines/>
      </w:pPr>
      <w:r>
        <w:rPr>
          <w:rFonts w:ascii="Times New Roman" w:hAnsi="Times New Roman" w:eastAsia="宋体"/>
        </w:rPr>
        <w:t>1.3研究方法与技术路线</w:t>
      </w:r>
    </w:p>
    <w:p w14:paraId="5B8137EF">
      <w:pPr>
        <w:pStyle w:val="166"/>
        <w:keepNext/>
        <w:keepLines/>
      </w:pPr>
      <w:r>
        <w:rPr>
          <w:rFonts w:ascii="Times New Roman" w:hAnsi="Times New Roman" w:eastAsia="宋体"/>
        </w:rPr>
        <w:t>1.3.1研究方法</w:t>
      </w:r>
    </w:p>
    <w:p w14:paraId="154DF8E2">
      <w:pPr>
        <w:pStyle w:val="167"/>
      </w:pPr>
      <w:r>
        <w:rPr>
          <w:rFonts w:ascii="Times New Roman" w:hAnsi="Times New Roman" w:eastAsia="仿宋"/>
        </w:rPr>
        <w:t>本研究采用定性与定量结合的混合研究设计，通过多源数据采集实现交叉验证，保障结论的可靠性与全面性，具体研究方法如下：</w:t>
      </w:r>
    </w:p>
    <w:p w14:paraId="375DBA41">
      <w:pPr>
        <w:pStyle w:val="168"/>
      </w:pPr>
      <w:r>
        <w:rPr>
          <w:rFonts w:ascii="Times New Roman" w:hAnsi="Times New Roman" w:eastAsia="仿宋"/>
        </w:rPr>
        <w:t>（1）实地观察法</w:t>
      </w:r>
    </w:p>
    <w:p w14:paraId="05C31457">
      <w:pPr>
        <w:pStyle w:val="167"/>
      </w:pPr>
      <w:r>
        <w:rPr>
          <w:rFonts w:ascii="Times New Roman" w:hAnsi="Times New Roman" w:eastAsia="仿宋"/>
        </w:rPr>
        <w:t>研究团队全程沉浸式参与5天实训全流程，以辅助观察者身份跟进各混合小组的实操过程，系统记录学生在环境搭建、传感器调试、建图算法应用、综合飞行竞赛等不同阶段的行为表现、问题应对方式与团队互动模式，每日形成标准化的调研日志与现场观察记录，作为行为差异分析的第一手实证资料。</w:t>
      </w:r>
    </w:p>
    <w:p w14:paraId="16F524FD">
      <w:pPr>
        <w:pStyle w:val="167"/>
      </w:pPr>
      <w:r>
        <w:rPr>
          <w:rFonts w:ascii="Times New Roman" w:hAnsi="Times New Roman" w:eastAsia="仿宋"/>
        </w:rPr>
        <w:t>日志分析法</w:t>
      </w:r>
    </w:p>
    <w:p w14:paraId="63B0AF28">
      <w:pPr>
        <w:pStyle w:val="167"/>
      </w:pPr>
      <w:r>
        <w:rPr>
          <w:rFonts w:ascii="Times New Roman" w:hAnsi="Times New Roman" w:eastAsia="仿宋"/>
        </w:rPr>
        <w:t>收集各小组每日提交的工作日志、阶段性成果复盘报告与个人学习总结，梳理不同团队的任务推进节奏、问题解决链路与技术吸收路径，通过文本编码与对比分析，提炼不同国家学生在工程实践中的思维习惯与行为偏好。</w:t>
      </w:r>
    </w:p>
    <w:p w14:paraId="7B6EB1E4">
      <w:pPr>
        <w:pStyle w:val="167"/>
      </w:pPr>
      <w:r>
        <w:rPr>
          <w:rFonts w:ascii="Times New Roman" w:hAnsi="Times New Roman" w:eastAsia="仿宋"/>
        </w:rPr>
        <w:t>半结构化访谈法</w:t>
      </w:r>
    </w:p>
    <w:p w14:paraId="56057E36">
      <w:pPr>
        <w:pStyle w:val="167"/>
      </w:pPr>
      <w:r>
        <w:rPr>
          <w:rFonts w:ascii="Times New Roman" w:hAnsi="Times New Roman" w:eastAsia="仿宋"/>
        </w:rPr>
        <w:t>选取5名具有代表性的受访对象（中国学生2名、西班牙学生2名、巴西学生1名），围绕个人教育成长经历、课堂学习模式、项目实践习惯、问题解决偏好、对中外协作的感知等维度，开展7-11分钟的面对面深度访谈，深入挖掘行为差异背后的教育成因与深层认知逻辑。</w:t>
      </w:r>
    </w:p>
    <w:p w14:paraId="73D545C4">
      <w:pPr>
        <w:pStyle w:val="167"/>
      </w:pPr>
      <w:r>
        <w:rPr>
          <w:rFonts w:ascii="Times New Roman" w:hAnsi="Times New Roman" w:eastAsia="仿宋"/>
        </w:rPr>
        <w:t>问卷调查法</w:t>
      </w:r>
    </w:p>
    <w:p w14:paraId="6DDC9EED">
      <w:pPr>
        <w:pStyle w:val="167"/>
      </w:pPr>
      <w:r>
        <w:rPr>
          <w:rFonts w:ascii="Times New Roman" w:hAnsi="Times New Roman" w:eastAsia="仿宋"/>
        </w:rPr>
        <w:t>面向全体参与学生发放结构化调查问卷，共回收有效样本32份，问卷覆盖基础教育培养特征、大学工程教育体验、学习方式偏好、教育价值观四大模块。通过描述性统计与国别交叉分析，验证访谈结论的群体普适性，补充量化层面的证据支撑。</w:t>
      </w:r>
    </w:p>
    <w:p w14:paraId="159BE374">
      <w:pPr>
        <w:pStyle w:val="167"/>
      </w:pPr>
      <w:r>
        <w:rPr>
          <w:rFonts w:ascii="Times New Roman" w:hAnsi="Times New Roman" w:eastAsia="仿宋"/>
        </w:rPr>
        <w:t>文献研究法</w:t>
      </w:r>
    </w:p>
    <w:p w14:paraId="63C81FB1">
      <w:pPr>
        <w:pStyle w:val="167"/>
      </w:pPr>
      <w:r>
        <w:rPr>
          <w:rFonts w:ascii="Times New Roman" w:hAnsi="Times New Roman" w:eastAsia="仿宋"/>
        </w:rPr>
        <w:t>系统梳理国内外工程实践思维、项目式学习、中外工科教育模式对比、国际暑期学校教学优化等领域的相关研究成果，明确核心概念界定与经典分析框架，为实证观察与成因分析提供理论参照，确保研究的学术规范性。</w:t>
      </w:r>
    </w:p>
    <w:p w14:paraId="2D215B23">
      <w:pPr>
        <w:pStyle w:val="166"/>
        <w:keepNext/>
        <w:keepLines/>
      </w:pPr>
      <w:r>
        <w:rPr>
          <w:rFonts w:ascii="Times New Roman" w:hAnsi="Times New Roman" w:eastAsia="宋体"/>
        </w:rPr>
        <w:t>1.3.2技术路线</w:t>
      </w:r>
    </w:p>
    <w:p w14:paraId="39BCAD54">
      <w:pPr>
        <w:pStyle w:val="167"/>
      </w:pPr>
      <w:r>
        <w:rPr>
          <w:rFonts w:ascii="Times New Roman" w:hAnsi="Times New Roman" w:eastAsia="仿宋"/>
        </w:rPr>
        <w:t>本研究遵循“现象观察—差异提炼—成因溯源—策略输出”的递进式逻辑链条，分四个阶段有序推进：第一阶段为前期准备与调研设计阶段。系统梳理相关领域文献，明确工程实践思维的核心分析维度；结合无人机项目的实训流程与时间节点，设计观察提纲、访谈大纲与调查问卷，完成整体研究方案的设计与论证。第二阶段为实地调研与数据采集阶段。全程跟进5天实训项目，通过现场观察记录、工作日志收集、深度访谈、问卷发放等方式，完成行为数据、访谈文本、问卷数据等多源资料的采集，形成完整的实证研究资料库。第三阶段为数据分析与差异提炼阶段。对采集到的多源数据进行整理、编码与交叉分析，从行为模式、思维逻辑两个层面对比三国学生的核心差异，并结合教育经历数据，追溯差异形成的教育制度根源。第四阶段为策略提出与总结完善阶段。基于实证结论总结当前项目在课程、组队、指导、考核等方面存在的适配性问题，结合跨文化育人规律提出针对性的优化策略，最终凝练研究结论，梳理研究局限并展望后续方向。</w:t>
      </w:r>
    </w:p>
    <w:p w14:paraId="6025D792">
      <w:pPr>
        <w:pStyle w:val="165"/>
        <w:keepNext/>
        <w:keepLines/>
      </w:pPr>
      <w:r>
        <w:rPr>
          <w:rFonts w:ascii="Times New Roman" w:hAnsi="Times New Roman" w:eastAsia="宋体"/>
        </w:rPr>
        <w:t>1.4研究创新点与重难点</w:t>
      </w:r>
    </w:p>
    <w:p w14:paraId="4B4786E1">
      <w:pPr>
        <w:pStyle w:val="166"/>
        <w:keepNext/>
        <w:keepLines/>
      </w:pPr>
      <w:r>
        <w:rPr>
          <w:rFonts w:ascii="Times New Roman" w:hAnsi="Times New Roman" w:eastAsia="宋体"/>
        </w:rPr>
        <w:t>1.4.1研究创新点</w:t>
      </w:r>
    </w:p>
    <w:p w14:paraId="37AD266A">
      <w:pPr>
        <w:pStyle w:val="167"/>
      </w:pPr>
      <w:r>
        <w:rPr>
          <w:rFonts w:ascii="Times New Roman" w:hAnsi="Times New Roman" w:eastAsia="仿宋"/>
        </w:rPr>
        <w:t>研究场景的实证性。突破以往跨文化工程教育研究多依赖回溯性问卷、访谈的局限，基于真实、高强度的前沿技术实操项目开展沉浸式实地观察，直接捕捉学生在面对工程问题时的即时行为反应与决策过程，研究结论更贴近真实工程实践场景，具备更强的现实说服力。</w:t>
      </w:r>
    </w:p>
    <w:p w14:paraId="3050169C">
      <w:pPr>
        <w:pStyle w:val="167"/>
      </w:pPr>
      <w:r>
        <w:rPr>
          <w:rFonts w:ascii="Times New Roman" w:hAnsi="Times New Roman" w:eastAsia="仿宋"/>
        </w:rPr>
        <w:t>研究样本的拓展性。打破传统“中西二元对立”的对比分析框架，纳入南欧西班牙与拉美巴西两个差异化样本，既对比不同教育体系的培养特征，也关注同语系、不同发展水平国家工科育人的共性与差异，丰富了跨文化工程教育研究的样本维度与分析视角。</w:t>
      </w:r>
    </w:p>
    <w:p w14:paraId="57E716F7">
      <w:pPr>
        <w:pStyle w:val="168"/>
      </w:pPr>
      <w:r>
        <w:rPr>
          <w:rFonts w:ascii="Times New Roman" w:hAnsi="Times New Roman" w:eastAsia="仿宋"/>
        </w:rPr>
        <w:t>研究成果的落地性。研究始终锚定国际暑期学校的实际运营需求，所有实证分析最终落脚于项目优化的具体路径，从课程体系、组队模式、实训指导、任务设计、考核评价五个维度提出可直接落地的优化方案，研究成果具备明确的实践指导价值。</w:t>
      </w:r>
    </w:p>
    <w:p w14:paraId="67F70E79">
      <w:pPr>
        <w:pStyle w:val="166"/>
        <w:keepNext/>
        <w:keepLines/>
      </w:pPr>
      <w:r>
        <w:rPr>
          <w:rFonts w:ascii="Times New Roman" w:hAnsi="Times New Roman" w:eastAsia="宋体"/>
        </w:rPr>
        <w:t>1.4.2研究重难点</w:t>
      </w:r>
    </w:p>
    <w:p w14:paraId="2DDE3D75">
      <w:pPr>
        <w:pStyle w:val="167"/>
      </w:pPr>
      <w:r>
        <w:rPr>
          <w:rFonts w:ascii="Times New Roman" w:hAnsi="Times New Roman" w:eastAsia="仿宋"/>
        </w:rPr>
        <w:t>本研究的重点包括两个方面：一是精准区分表层行为差异与深层思维差异，避免将技术基础差异、操作习惯差异误判为思维模式差异，从复杂的行为表象中提炼出稳定、本质的工程思维逻辑特征；二是系统梳理教育模式与工程思维的关联机制，明确基础教育、高等教育、课外培养不同阶段对学生实践习惯的塑造作用，清晰呈现行为差异背后的教育根源。</w:t>
      </w:r>
    </w:p>
    <w:p w14:paraId="26746F7B">
      <w:pPr>
        <w:pStyle w:val="167"/>
      </w:pPr>
      <w:r>
        <w:rPr>
          <w:rFonts w:ascii="Times New Roman" w:hAnsi="Times New Roman" w:eastAsia="仿宋"/>
        </w:rPr>
        <w:t>本研究的难点主要体现在两个层面：一是教育成因的精准剥离。学生的工程实践行为同时受文化传统、教育制度、个人成长经历等多重因素影响，研究过程中需合理控制干扰变量，聚焦工科教育体系的核心塑造作用，避免归因泛化；二是优化策略的平衡性设计。国际暑期项目需同时适配不同国家学生的学习特点，如何设计既能发挥各方优势、又能弥补各自短板的实训模式，实现跨文化协作的双向赋能，是本研究在实践层面的核心难点。</w:t>
      </w:r>
    </w:p>
    <w:p w14:paraId="320A6CDB">
      <w:pPr>
        <w:pStyle w:val="164"/>
        <w:keepNext/>
        <w:keepLines/>
      </w:pPr>
      <w:r>
        <w:rPr>
          <w:rFonts w:ascii="Times New Roman" w:hAnsi="Times New Roman" w:eastAsia="宋体"/>
        </w:rPr>
        <w:t>二、文献综述</w:t>
      </w:r>
    </w:p>
    <w:p w14:paraId="02B595CE">
      <w:pPr>
        <w:pStyle w:val="167"/>
      </w:pPr>
      <w:r>
        <w:rPr>
          <w:rFonts w:ascii="Times New Roman" w:hAnsi="Times New Roman" w:eastAsia="仿宋"/>
        </w:rPr>
        <w:t>本章系统梳理工程实践思维与项目式学习、中外工科教育模式差异、国际暑期学校跨文化教学三个领域的相关研究成果，明确现有研究的核心结论与演进脉络，为本研究的实证观察与优化策略设计提供理论基础与参照框架。</w:t>
      </w:r>
    </w:p>
    <w:p w14:paraId="3759007D">
      <w:pPr>
        <w:pStyle w:val="165"/>
        <w:keepNext/>
        <w:keepLines/>
      </w:pPr>
      <w:r>
        <w:rPr>
          <w:rFonts w:ascii="Times New Roman" w:hAnsi="Times New Roman" w:eastAsia="宋体"/>
        </w:rPr>
        <w:t>2.1国内外工程实践思维与项目式学习研究现状</w:t>
      </w:r>
    </w:p>
    <w:p w14:paraId="0FB40510">
      <w:pPr>
        <w:pStyle w:val="167"/>
      </w:pPr>
      <w:r>
        <w:rPr>
          <w:rFonts w:ascii="Times New Roman" w:hAnsi="Times New Roman" w:eastAsia="仿宋"/>
        </w:rPr>
        <w:t>项目式学习（Project-Based Learning,PBL）是工程实践能力培育的核心教学载体，其理论发展与实践应用始终与工程思维的培养目标深度绑定。国内外相关研究大致沿着“理论内涵界定—教学模式建构—工程场景落地”的路径逐步深化。</w:t>
      </w:r>
    </w:p>
    <w:p w14:paraId="533F0F26">
      <w:pPr>
        <w:pStyle w:val="166"/>
        <w:keepNext/>
        <w:keepLines/>
      </w:pPr>
      <w:r>
        <w:rPr>
          <w:rFonts w:ascii="Times New Roman" w:hAnsi="Times New Roman" w:eastAsia="宋体"/>
        </w:rPr>
        <w:t>2.1.1国外研究脉络</w:t>
      </w:r>
    </w:p>
    <w:p w14:paraId="1AC346A3">
      <w:pPr>
        <w:pStyle w:val="167"/>
      </w:pPr>
      <w:r>
        <w:rPr>
          <w:rFonts w:ascii="Times New Roman" w:hAnsi="Times New Roman" w:eastAsia="仿宋"/>
        </w:rPr>
        <w:t>项目式学习的思想源头可追溯至杜威提出的“做中学”教育理念，强调学习者在真实任务中通过主动探究完成知识建构与能力养成。在此基础上，Krajcik等学者进一步提炼出项目式学习的三大核心理念：主动建构、情境学习与社会互动，明确了项目式学习以学生为主体、以真实问题为驱动、以协作探究为路径的基本特征</w:t>
      </w:r>
      <w:r>
        <w:rPr>
          <w:rFonts w:ascii="Times New Roman" w:hAnsi="Times New Roman" w:eastAsia="仿宋"/>
          <w:vertAlign w:val="superscript"/>
        </w:rPr>
        <w:t>[3]</w:t>
      </w:r>
      <w:r>
        <w:rPr>
          <w:rFonts w:ascii="Times New Roman" w:hAnsi="Times New Roman" w:eastAsia="仿宋"/>
        </w:rPr>
        <w:t>。</w:t>
      </w:r>
    </w:p>
    <w:p w14:paraId="4D444BD5">
      <w:pPr>
        <w:pStyle w:val="167"/>
      </w:pPr>
      <w:r>
        <w:rPr>
          <w:rFonts w:ascii="Times New Roman" w:hAnsi="Times New Roman" w:eastAsia="仿宋"/>
        </w:rPr>
        <w:t>在工程教育领域，国外研究重点聚焦于项目式学习对工程实践思维的培育机制。一方面，学界普遍认可工程实践思维是包含问题拆解、系统权衡、迭代试错、协作落地在内的综合能力体系，无法仅通过理论讲授获得，必须依托真实工程场景的沉浸式训练；另一方面，CDIO（构思—设计—实现—运作）等工程教育模式将项目式学习作为核心落地路径，验证了其在提升学生技术应用能力、团队协作能力与创新解决问题能力上的显著效果。随着工程技术的快速迭代，近年国外研究进一步关注前沿技术项目中的PBL适配性，探讨如何在机器人、无人机、智能系统等复杂实操项目中平衡技术学习与思维培育。</w:t>
      </w:r>
    </w:p>
    <w:p w14:paraId="26A2CE2C">
      <w:pPr>
        <w:pStyle w:val="166"/>
        <w:keepNext/>
        <w:keepLines/>
      </w:pPr>
      <w:r>
        <w:rPr>
          <w:rFonts w:ascii="Times New Roman" w:hAnsi="Times New Roman" w:eastAsia="宋体"/>
        </w:rPr>
        <w:t>2.1.2国内研究进展</w:t>
      </w:r>
    </w:p>
    <w:p w14:paraId="66406FB0">
      <w:pPr>
        <w:pStyle w:val="167"/>
      </w:pPr>
      <w:r>
        <w:rPr>
          <w:rFonts w:ascii="Times New Roman" w:hAnsi="Times New Roman" w:eastAsia="仿宋"/>
        </w:rPr>
        <w:t>国内对项目式学习的研究始于概念引介与本土化适配，早期研究多聚焦于其与综合实践活动、研究性学习、STEM教育的概念辨析，逐步明确了项目式学习“以真实问题为起点、以成果产出为导向、以知识整合为核心”的本质特征</w:t>
      </w:r>
      <w:r>
        <w:rPr>
          <w:rFonts w:ascii="Times New Roman" w:hAnsi="Times New Roman" w:eastAsia="仿宋"/>
          <w:vertAlign w:val="superscript"/>
        </w:rPr>
        <w:t>[1]</w:t>
      </w:r>
      <w:r>
        <w:rPr>
          <w:rFonts w:ascii="Times New Roman" w:hAnsi="Times New Roman" w:eastAsia="仿宋"/>
        </w:rPr>
        <w:t>。</w:t>
      </w:r>
    </w:p>
    <w:p w14:paraId="106C50BE">
      <w:pPr>
        <w:pStyle w:val="167"/>
      </w:pPr>
      <w:r>
        <w:rPr>
          <w:rFonts w:ascii="Times New Roman" w:hAnsi="Times New Roman" w:eastAsia="仿宋"/>
        </w:rPr>
        <w:t>在理论层面，近年研究逐步从应用经验总结转向本体论层面的深度建构。黄嘉莉等引入实践哲学视角，从本体论、认识论与方法论三个维度重构项目式学习的实践本体，提出“向善实践-理性自由-生成自我”的三维结构框架，指出项目式学习的核心并非完成项目本身，而是让学习者在真实问题解决中形成价值判断、完成理性建构、实现自我生成，为项目式学习的教学设计提供了更清晰的学理依据</w:t>
      </w:r>
      <w:r>
        <w:rPr>
          <w:rFonts w:ascii="Times New Roman" w:hAnsi="Times New Roman" w:eastAsia="仿宋"/>
          <w:vertAlign w:val="superscript"/>
        </w:rPr>
        <w:t>[1]</w:t>
      </w:r>
      <w:r>
        <w:rPr>
          <w:rFonts w:ascii="Times New Roman" w:hAnsi="Times New Roman" w:eastAsia="仿宋"/>
        </w:rPr>
        <w:t>。</w:t>
      </w:r>
    </w:p>
    <w:p w14:paraId="0CD42838">
      <w:pPr>
        <w:pStyle w:val="167"/>
      </w:pPr>
      <w:r>
        <w:rPr>
          <w:rFonts w:ascii="Times New Roman" w:hAnsi="Times New Roman" w:eastAsia="仿宋"/>
        </w:rPr>
        <w:t>在工程教育应用层面，国内研究已覆盖从低年级认知实习到高年级专业实训的全学段场景。李君等针对低年级工科认知实习的痛点，设计了“四阶段九步骤”的产出导向PBL教学流程，验证了即使学生知识储备存在缺口，通过脚手架支持与认知学徒制引导，项目式学习仍能有效提升学生的工程认知与实践能力</w:t>
      </w:r>
      <w:r>
        <w:rPr>
          <w:rFonts w:ascii="Times New Roman" w:hAnsi="Times New Roman" w:eastAsia="仿宋"/>
          <w:vertAlign w:val="superscript"/>
        </w:rPr>
        <w:t>[3]</w:t>
      </w:r>
      <w:r>
        <w:rPr>
          <w:rFonts w:ascii="Times New Roman" w:hAnsi="Times New Roman" w:eastAsia="仿宋"/>
        </w:rPr>
        <w:t>。路叶等则面向产业需求，将项目式学习与电池全生命周期场景结合，构建了模块化、多维度评价的教学模式，验证了其在培育系统思维、跨界协作等综合素养上的价值</w:t>
      </w:r>
      <w:r>
        <w:rPr>
          <w:rFonts w:ascii="Times New Roman" w:hAnsi="Times New Roman" w:eastAsia="仿宋"/>
          <w:vertAlign w:val="superscript"/>
        </w:rPr>
        <w:t>[2]</w:t>
      </w:r>
      <w:r>
        <w:rPr>
          <w:rFonts w:ascii="Times New Roman" w:hAnsi="Times New Roman" w:eastAsia="仿宋"/>
        </w:rPr>
        <w:t>。整体来看，国内工程领域的PBL研究已从“是否可行”的验证阶段，进入“如何优化”的深化阶段。</w:t>
      </w:r>
    </w:p>
    <w:p w14:paraId="7624ACAB">
      <w:pPr>
        <w:pStyle w:val="165"/>
        <w:keepNext/>
        <w:keepLines/>
      </w:pPr>
      <w:r>
        <w:rPr>
          <w:rFonts w:ascii="Times New Roman" w:hAnsi="Times New Roman" w:eastAsia="宋体"/>
        </w:rPr>
        <w:t>2.2中外工科教育模式与实践育人差异相关研究</w:t>
      </w:r>
    </w:p>
    <w:p w14:paraId="5177AD9A">
      <w:pPr>
        <w:pStyle w:val="167"/>
      </w:pPr>
      <w:r>
        <w:rPr>
          <w:rFonts w:ascii="Times New Roman" w:hAnsi="Times New Roman" w:eastAsia="仿宋"/>
        </w:rPr>
        <w:t>工程实践思维的差异根植于不同国家的工科教育体系，中外学界围绕培养目标、课程设置、实践体系等维度开展了大量对比研究，为理解思维差异的教育成因提供了宏观参照。</w:t>
      </w:r>
    </w:p>
    <w:p w14:paraId="1DFC5036">
      <w:pPr>
        <w:pStyle w:val="166"/>
        <w:keepNext/>
        <w:keepLines/>
      </w:pPr>
      <w:r>
        <w:rPr>
          <w:rFonts w:ascii="Times New Roman" w:hAnsi="Times New Roman" w:eastAsia="宋体"/>
        </w:rPr>
        <w:t>2.2.1国外典型工科教育模式的多元特征</w:t>
      </w:r>
    </w:p>
    <w:p w14:paraId="34F0387B">
      <w:pPr>
        <w:pStyle w:val="167"/>
      </w:pPr>
      <w:r>
        <w:rPr>
          <w:rFonts w:ascii="Times New Roman" w:hAnsi="Times New Roman" w:eastAsia="仿宋"/>
        </w:rPr>
        <w:t>全球范围内的工科教育形成了几种代表性模式，不同模式塑造了学生差异化的实践思维特质。美国工科教育以“通专融合、创新导向”为核心特征。以MIT为代表的顶尖高校，一方面强调扎实的数理与工程科学基础，另一方面高度重视人文社科与经济管理类课程的融入，经管类课程学分占比普遍达到5%以上，旨在培养兼具技术能力与综合素养的工程领袖人才</w:t>
      </w:r>
      <w:r>
        <w:rPr>
          <w:rFonts w:ascii="Times New Roman" w:hAnsi="Times New Roman" w:eastAsia="仿宋"/>
          <w:vertAlign w:val="superscript"/>
        </w:rPr>
        <w:t>[5]</w:t>
      </w:r>
      <w:r>
        <w:rPr>
          <w:rFonts w:ascii="Times New Roman" w:hAnsi="Times New Roman" w:eastAsia="仿宋"/>
        </w:rPr>
        <w:t>。其教学模式突出学生主体性，以探究式学习、项目制实训为主，鼓励学生在试错中形成创新思维与自主解决问题的能力</w:t>
      </w:r>
      <w:r>
        <w:rPr>
          <w:rFonts w:ascii="Times New Roman" w:hAnsi="Times New Roman" w:eastAsia="仿宋"/>
          <w:vertAlign w:val="superscript"/>
        </w:rPr>
        <w:t>[6]</w:t>
      </w:r>
      <w:r>
        <w:rPr>
          <w:rFonts w:ascii="Times New Roman" w:hAnsi="Times New Roman" w:eastAsia="仿宋"/>
        </w:rPr>
        <w:t>。</w:t>
      </w:r>
    </w:p>
    <w:p w14:paraId="7FBC4DD0">
      <w:pPr>
        <w:pStyle w:val="167"/>
      </w:pPr>
      <w:r>
        <w:rPr>
          <w:rFonts w:ascii="Times New Roman" w:hAnsi="Times New Roman" w:eastAsia="仿宋"/>
        </w:rPr>
        <w:t>法国精英工程师教育则呈现“强基础、宽口径、重实践”的特点。法国预科阶段通过高强度的数理训练筛选学生，工程师阶段则采用宽口径培养模式，开设大量工业管理、经济伦理类通识课程，同时通过“三段式实习”（蓝领实习、助理工程师实习、毕业实习）实现与产业的深度绑定，确保学生具备直面真实工程问题的综合能力</w:t>
      </w:r>
      <w:r>
        <w:rPr>
          <w:rFonts w:ascii="Times New Roman" w:hAnsi="Times New Roman" w:eastAsia="仿宋"/>
          <w:vertAlign w:val="superscript"/>
        </w:rPr>
        <w:t>[4]</w:t>
      </w:r>
      <w:r>
        <w:rPr>
          <w:rFonts w:ascii="Times New Roman" w:hAnsi="Times New Roman" w:eastAsia="仿宋"/>
        </w:rPr>
        <w:t>。潘大为等对中法核学院的研究显示，法国模式下的学生更擅长在复杂真实场景中整合多学科知识解决问题，但其对单一技术的深耕程度相对有限</w:t>
      </w:r>
      <w:r>
        <w:rPr>
          <w:rFonts w:ascii="Times New Roman" w:hAnsi="Times New Roman" w:eastAsia="仿宋"/>
          <w:vertAlign w:val="superscript"/>
        </w:rPr>
        <w:t>[4]</w:t>
      </w:r>
      <w:r>
        <w:rPr>
          <w:rFonts w:ascii="Times New Roman" w:hAnsi="Times New Roman" w:eastAsia="仿宋"/>
        </w:rPr>
        <w:t>。</w:t>
      </w:r>
    </w:p>
    <w:p w14:paraId="75E7BB83">
      <w:pPr>
        <w:pStyle w:val="167"/>
      </w:pPr>
      <w:r>
        <w:rPr>
          <w:rFonts w:ascii="Times New Roman" w:hAnsi="Times New Roman" w:eastAsia="仿宋"/>
        </w:rPr>
        <w:t>此外，西班牙、巴西等南欧与拉美国家的工科教育，受产业结构与教育传统影响，更突出实操导向与场景灵活性，教学中鼓励学生从实际问题切入，通过快速试错推进方案落地，在发散性创新与场景适配能力上形成了自身特色。</w:t>
      </w:r>
    </w:p>
    <w:p w14:paraId="1AD47901">
      <w:pPr>
        <w:pStyle w:val="166"/>
        <w:keepNext/>
        <w:keepLines/>
      </w:pPr>
      <w:r>
        <w:rPr>
          <w:rFonts w:ascii="Times New Roman" w:hAnsi="Times New Roman" w:eastAsia="宋体"/>
        </w:rPr>
        <w:t>2.2.2我国工科教育的发展与特征</w:t>
      </w:r>
    </w:p>
    <w:p w14:paraId="04F561EE">
      <w:pPr>
        <w:pStyle w:val="167"/>
      </w:pPr>
      <w:r>
        <w:rPr>
          <w:rFonts w:ascii="Times New Roman" w:hAnsi="Times New Roman" w:eastAsia="仿宋"/>
        </w:rPr>
        <w:t>我国工科教育起步于苏联模式下的专才培养，长期以培养标准化工程技术人才为目标，形成了“重理论、强基础、窄口径”的传统特征。樊耘等早期研究显示，我国高校工科专业以理工课程为绝对主体，经济管理与人文社科类课程占比仅为2%-4%，远低于发达国家平均水平；课程体系以必修课为主，学生自主选择空间有限，教学方式偏单向灌输</w:t>
      </w:r>
      <w:r>
        <w:rPr>
          <w:rFonts w:ascii="Times New Roman" w:hAnsi="Times New Roman" w:eastAsia="仿宋"/>
          <w:vertAlign w:val="superscript"/>
        </w:rPr>
        <w:t>[5]</w:t>
      </w:r>
      <w:r>
        <w:rPr>
          <w:rFonts w:ascii="Times New Roman" w:hAnsi="Times New Roman" w:eastAsia="仿宋"/>
        </w:rPr>
        <w:t>。</w:t>
      </w:r>
    </w:p>
    <w:p w14:paraId="75A41A05">
      <w:pPr>
        <w:pStyle w:val="167"/>
      </w:pPr>
      <w:r>
        <w:rPr>
          <w:rFonts w:ascii="Times New Roman" w:hAnsi="Times New Roman" w:eastAsia="仿宋"/>
        </w:rPr>
        <w:t>进入“新工科”建设阶段后，我国工科教育开始向“宽口径、强实践、重创新”转型，逐步增加实践实训环节与跨学科课程比重，但整体仍存在明显的路径依赖。任丽敏等指出，国内工科教育仍存在专业划分过细、知识体系割裂、实践环节与产业需求脱节等问题，学生普遍理论基础扎实，但在开放性问题解决、跨学科整合、自主创新探索等方面存在短板</w:t>
      </w:r>
      <w:r>
        <w:rPr>
          <w:rFonts w:ascii="Times New Roman" w:hAnsi="Times New Roman" w:eastAsia="仿宋"/>
          <w:vertAlign w:val="superscript"/>
        </w:rPr>
        <w:t>[6]</w:t>
      </w:r>
      <w:r>
        <w:rPr>
          <w:rFonts w:ascii="Times New Roman" w:hAnsi="Times New Roman" w:eastAsia="仿宋"/>
        </w:rPr>
        <w:t>。具体到工程实践中，国内学生更擅长遵循标准化流程完成既定任务，但面对非良构问题时的灵活应变与发散创新能力相对薄弱。</w:t>
      </w:r>
    </w:p>
    <w:p w14:paraId="11791E19">
      <w:pPr>
        <w:pStyle w:val="166"/>
        <w:keepNext/>
        <w:keepLines/>
      </w:pPr>
      <w:r>
        <w:rPr>
          <w:rFonts w:ascii="Times New Roman" w:hAnsi="Times New Roman" w:eastAsia="宋体"/>
        </w:rPr>
        <w:t>2.2.3中外实践育人的核心差异总结</w:t>
      </w:r>
    </w:p>
    <w:p w14:paraId="73BD19F7">
      <w:pPr>
        <w:pStyle w:val="167"/>
      </w:pPr>
      <w:r>
        <w:rPr>
          <w:rFonts w:ascii="Times New Roman" w:hAnsi="Times New Roman" w:eastAsia="仿宋"/>
        </w:rPr>
        <w:t>综合现有研究，中外工科教育在实践育人维度的差异可归纳为四个核心维度：一是培养目标差异：国外多以培育具备综合素养的工程从业者或管理者为目标，强调全人发展；国内以培养专业技术人才为核心导向，更侧重知识与技能的传递</w:t>
      </w:r>
      <w:r>
        <w:rPr>
          <w:rFonts w:ascii="Times New Roman" w:hAnsi="Times New Roman" w:eastAsia="仿宋"/>
          <w:vertAlign w:val="superscript"/>
        </w:rPr>
        <w:t>[5]</w:t>
      </w:r>
      <w:r>
        <w:rPr>
          <w:rFonts w:ascii="Times New Roman" w:hAnsi="Times New Roman" w:eastAsia="仿宋"/>
        </w:rPr>
        <w:t>。二是课程体系差异：国外普遍重视文理渗透与经管融合，课程弹性大、选修课占比高；国内以专业必修课为主体，跨学科与通识类课程占比偏低，灵活性不足</w:t>
      </w:r>
      <w:r>
        <w:rPr>
          <w:rFonts w:ascii="Times New Roman" w:hAnsi="Times New Roman" w:eastAsia="仿宋"/>
          <w:vertAlign w:val="superscript"/>
        </w:rPr>
        <w:t>[6]</w:t>
      </w:r>
      <w:r>
        <w:rPr>
          <w:rFonts w:ascii="Times New Roman" w:hAnsi="Times New Roman" w:eastAsia="仿宋"/>
        </w:rPr>
        <w:t>。三是实践模式差异：国外实践环节深度对接真实产业场景，强调学生自主探索与问题解决；国内实践多以课程实验、认知实习为主，任务标准化程度高，学生自主发挥空间有限</w:t>
      </w:r>
      <w:r>
        <w:rPr>
          <w:rFonts w:ascii="Times New Roman" w:hAnsi="Times New Roman" w:eastAsia="仿宋"/>
          <w:vertAlign w:val="superscript"/>
        </w:rPr>
        <w:t>[4]</w:t>
      </w:r>
      <w:r>
        <w:rPr>
          <w:rFonts w:ascii="Times New Roman" w:hAnsi="Times New Roman" w:eastAsia="仿宋"/>
        </w:rPr>
        <w:t>。四是思维导向差异：国外学生实践思维更偏向实操导向、发散创新，注重场景灵活适配；国内学生更偏向理论导向、规范严谨，擅长标准化流程执行</w:t>
      </w:r>
      <w:r>
        <w:rPr>
          <w:rFonts w:ascii="Times New Roman" w:hAnsi="Times New Roman" w:eastAsia="仿宋"/>
          <w:vertAlign w:val="superscript"/>
        </w:rPr>
        <w:t>[4][6]</w:t>
      </w:r>
      <w:r>
        <w:rPr>
          <w:rFonts w:ascii="Times New Roman" w:hAnsi="Times New Roman" w:eastAsia="仿宋"/>
        </w:rPr>
        <w:t>。</w:t>
      </w:r>
    </w:p>
    <w:p w14:paraId="09344035">
      <w:pPr>
        <w:pStyle w:val="165"/>
        <w:keepNext/>
        <w:keepLines/>
      </w:pPr>
      <w:r>
        <w:rPr>
          <w:rFonts w:ascii="Times New Roman" w:hAnsi="Times New Roman" w:eastAsia="宋体"/>
        </w:rPr>
        <w:t>2.3国际暑期学校跨文化教学优化研究综述</w:t>
      </w:r>
    </w:p>
    <w:p w14:paraId="6FA8FAFC">
      <w:pPr>
        <w:pStyle w:val="167"/>
      </w:pPr>
      <w:r>
        <w:rPr>
          <w:rFonts w:ascii="Times New Roman" w:hAnsi="Times New Roman" w:eastAsia="仿宋"/>
        </w:rPr>
        <w:t>国际暑期学校是跨国工科教育融合的重要载体，相关研究围绕其育人价值、现实挑战与优化策略逐步展开，为跨文化工程实践项目的设计提供了参考。</w:t>
      </w:r>
    </w:p>
    <w:p w14:paraId="4F3F994E">
      <w:pPr>
        <w:pStyle w:val="166"/>
        <w:keepNext/>
        <w:keepLines/>
      </w:pPr>
      <w:r>
        <w:rPr>
          <w:rFonts w:ascii="Times New Roman" w:hAnsi="Times New Roman" w:eastAsia="宋体"/>
        </w:rPr>
        <w:t>2.3.1国际暑期学校的双重育人价值</w:t>
      </w:r>
    </w:p>
    <w:p w14:paraId="3DBDB5AC">
      <w:pPr>
        <w:pStyle w:val="167"/>
      </w:pPr>
      <w:r>
        <w:rPr>
          <w:rFonts w:ascii="Times New Roman" w:hAnsi="Times New Roman" w:eastAsia="仿宋"/>
        </w:rPr>
        <w:t>现有研究普遍认可国际暑期学校兼具学术提升与跨文化交流的双重价值。王文文等以北航航空航天国际研究生暑期学校为例，指出国际暑期学校打破了学生国际交流的空间限制，能让学生在短期内接触学科前沿、结识全球同侪，既提升学术视野，又锻炼跨文化沟通能力，是低成本、广覆盖的国际化育人平台</w:t>
      </w:r>
      <w:r>
        <w:rPr>
          <w:rFonts w:ascii="Times New Roman" w:hAnsi="Times New Roman" w:eastAsia="仿宋"/>
          <w:vertAlign w:val="superscript"/>
        </w:rPr>
        <w:t>[7]</w:t>
      </w:r>
      <w:r>
        <w:rPr>
          <w:rFonts w:ascii="Times New Roman" w:hAnsi="Times New Roman" w:eastAsia="仿宋"/>
        </w:rPr>
        <w:t>。</w:t>
      </w:r>
    </w:p>
    <w:p w14:paraId="7A09025D">
      <w:pPr>
        <w:pStyle w:val="167"/>
      </w:pPr>
      <w:r>
        <w:rPr>
          <w:rFonts w:ascii="Times New Roman" w:hAnsi="Times New Roman" w:eastAsia="仿宋"/>
        </w:rPr>
        <w:t>刘骥等从“一带一路”教育共同体建设视角进一步指出，短期国际暑期学校的价值不止于知识传递，更在于认知重构与价值生成。通过沉浸式的跨文化互动，师生能够打破原有刻板印象，完成认知图式的顺应更新，逐步形成对教育共同体的价值认同，最终实现民心相通与文明互鉴的深层目标</w:t>
      </w:r>
      <w:r>
        <w:rPr>
          <w:rFonts w:ascii="Times New Roman" w:hAnsi="Times New Roman" w:eastAsia="仿宋"/>
          <w:vertAlign w:val="superscript"/>
        </w:rPr>
        <w:t>[8]</w:t>
      </w:r>
      <w:r>
        <w:rPr>
          <w:rFonts w:ascii="Times New Roman" w:hAnsi="Times New Roman" w:eastAsia="仿宋"/>
        </w:rPr>
        <w:t>。对于工科类暑期学校而言，技术实训项目为跨文化交流提供了具体载体，让学生在协作解决技术问题的过程中自然完成文化互动，实现专业能力与跨文化素养的同步提升。</w:t>
      </w:r>
    </w:p>
    <w:p w14:paraId="0C88E796">
      <w:pPr>
        <w:pStyle w:val="166"/>
        <w:keepNext/>
        <w:keepLines/>
      </w:pPr>
      <w:r>
        <w:rPr>
          <w:rFonts w:ascii="Times New Roman" w:hAnsi="Times New Roman" w:eastAsia="宋体"/>
        </w:rPr>
        <w:t>2.3.2跨文化工程实践项目的核心挑战</w:t>
      </w:r>
    </w:p>
    <w:p w14:paraId="3A4A71C9">
      <w:pPr>
        <w:pStyle w:val="167"/>
      </w:pPr>
      <w:r>
        <w:rPr>
          <w:rFonts w:ascii="Times New Roman" w:hAnsi="Times New Roman" w:eastAsia="仿宋"/>
        </w:rPr>
        <w:t>现有研究也揭示了国际暑期学校工程类项目面临的共性挑战。首先是跨文化协作的效率问题。中外学生在语言表达、思维方式、协作习惯上存在差异，容易出现沟通成本高、任务分工不畅、进度节奏不一致等问题，部分项目中甚至出现“各自为战”的情况，未能充分发挥混合组队的互补价值</w:t>
      </w:r>
      <w:r>
        <w:rPr>
          <w:rFonts w:ascii="Times New Roman" w:hAnsi="Times New Roman" w:eastAsia="仿宋"/>
          <w:vertAlign w:val="superscript"/>
        </w:rPr>
        <w:t>[7]</w:t>
      </w:r>
      <w:r>
        <w:rPr>
          <w:rFonts w:ascii="Times New Roman" w:hAnsi="Times New Roman" w:eastAsia="仿宋"/>
        </w:rPr>
        <w:t>。</w:t>
      </w:r>
    </w:p>
    <w:p w14:paraId="4152DBB7">
      <w:pPr>
        <w:pStyle w:val="167"/>
      </w:pPr>
      <w:r>
        <w:rPr>
          <w:rFonts w:ascii="Times New Roman" w:hAnsi="Times New Roman" w:eastAsia="仿宋"/>
        </w:rPr>
        <w:t>其次是教学适配性不足。现有暑期学校课程多采用统一设计，未充分考虑不同国家学生的知识基础、学习习惯与思维模式差异。中国学生理论基础扎实但实操创新偏弱，欧美、拉美学生动手能力强但理论体系不均，统一化的教学安排容易导致“部分学生跟不上、部分学生吃不饱”的问题</w:t>
      </w:r>
      <w:r>
        <w:rPr>
          <w:rFonts w:ascii="Times New Roman" w:hAnsi="Times New Roman" w:eastAsia="仿宋"/>
          <w:vertAlign w:val="superscript"/>
        </w:rPr>
        <w:t>[8]</w:t>
      </w:r>
      <w:r>
        <w:rPr>
          <w:rFonts w:ascii="Times New Roman" w:hAnsi="Times New Roman" w:eastAsia="仿宋"/>
        </w:rPr>
        <w:t>。</w:t>
      </w:r>
    </w:p>
    <w:p w14:paraId="693E4AE8">
      <w:pPr>
        <w:pStyle w:val="167"/>
      </w:pPr>
      <w:r>
        <w:rPr>
          <w:rFonts w:ascii="Times New Roman" w:hAnsi="Times New Roman" w:eastAsia="仿宋"/>
        </w:rPr>
        <w:t>最后是项目延续性有限。多数暑期学校周期为1-2周，活动安排以讲座、参观与短期实训为主，学生交流多停留在表层，项目结束后协作关系难以延续，未能充分转化为长期的学术合作与人际联结</w:t>
      </w:r>
      <w:r>
        <w:rPr>
          <w:rFonts w:ascii="Times New Roman" w:hAnsi="Times New Roman" w:eastAsia="仿宋"/>
          <w:vertAlign w:val="superscript"/>
        </w:rPr>
        <w:t>[7]</w:t>
      </w:r>
      <w:r>
        <w:rPr>
          <w:rFonts w:ascii="Times New Roman" w:hAnsi="Times New Roman" w:eastAsia="仿宋"/>
        </w:rPr>
        <w:t>。</w:t>
      </w:r>
    </w:p>
    <w:p w14:paraId="0284CD0A">
      <w:pPr>
        <w:pStyle w:val="166"/>
        <w:keepNext/>
        <w:keepLines/>
      </w:pPr>
      <w:r>
        <w:rPr>
          <w:rFonts w:ascii="Times New Roman" w:hAnsi="Times New Roman" w:eastAsia="宋体"/>
        </w:rPr>
        <w:t>2.3.3现有优化策略的研究进展</w:t>
      </w:r>
    </w:p>
    <w:p w14:paraId="3AA9C7EE">
      <w:pPr>
        <w:pStyle w:val="167"/>
      </w:pPr>
      <w:r>
        <w:rPr>
          <w:rFonts w:ascii="Times New Roman" w:hAnsi="Times New Roman" w:eastAsia="仿宋"/>
        </w:rPr>
        <w:t>针对上述问题，学界从多个维度提出了优化路径。在组队模式上，王文文等提出“中外学员结对子”模式，通过提前建立联络、明确伙伴分工，提升跨文化交流的深度与持续性；同时采用中外双班长制度，搭建协作沟通的桥梁</w:t>
      </w:r>
      <w:r>
        <w:rPr>
          <w:rFonts w:ascii="Times New Roman" w:hAnsi="Times New Roman" w:eastAsia="仿宋"/>
          <w:vertAlign w:val="superscript"/>
        </w:rPr>
        <w:t>[7]</w:t>
      </w:r>
      <w:r>
        <w:rPr>
          <w:rFonts w:ascii="Times New Roman" w:hAnsi="Times New Roman" w:eastAsia="仿宋"/>
        </w:rPr>
        <w:t>。</w:t>
      </w:r>
    </w:p>
    <w:p w14:paraId="53721A60">
      <w:pPr>
        <w:pStyle w:val="167"/>
      </w:pPr>
      <w:r>
        <w:rPr>
          <w:rFonts w:ascii="Times New Roman" w:hAnsi="Times New Roman" w:eastAsia="仿宋"/>
        </w:rPr>
        <w:t>在教学支持上，刘骥等提出“结构化认知配置”策略，建议项目前置语言与文化预备课程，降低入境初期的文化冲击；同时建立跨文化导师制与同伴互助小组，为学生提供及时的学习与心理支持，消解认知冲突带来的负面体验</w:t>
      </w:r>
      <w:r>
        <w:rPr>
          <w:rFonts w:ascii="Times New Roman" w:hAnsi="Times New Roman" w:eastAsia="仿宋"/>
          <w:vertAlign w:val="superscript"/>
        </w:rPr>
        <w:t>[8]</w:t>
      </w:r>
      <w:r>
        <w:rPr>
          <w:rFonts w:ascii="Times New Roman" w:hAnsi="Times New Roman" w:eastAsia="仿宋"/>
        </w:rPr>
        <w:t>。在评价体系上，路叶等提出的多维评价思路也被应用于跨文化项目，即从知识、能力、素</w:t>
      </w:r>
      <w:r>
        <w:rPr>
          <w:rFonts w:hint="eastAsia"/>
          <w:lang w:eastAsia="zh-CN"/>
        </w:rPr>
        <w:t>养等</w:t>
      </w:r>
      <w:bookmarkStart w:id="0" w:name="_GoBack"/>
      <w:bookmarkEnd w:id="0"/>
      <w:r>
        <w:rPr>
          <w:rFonts w:ascii="Times New Roman" w:hAnsi="Times New Roman" w:eastAsia="仿宋"/>
        </w:rPr>
        <w:t>多个维度开展过程性评价，兼顾不同文化背景学生的能力特长，避免单一标准的评价偏差</w:t>
      </w:r>
      <w:r>
        <w:rPr>
          <w:rFonts w:ascii="Times New Roman" w:hAnsi="Times New Roman" w:eastAsia="仿宋"/>
          <w:vertAlign w:val="superscript"/>
        </w:rPr>
        <w:t>[2]</w:t>
      </w:r>
      <w:r>
        <w:rPr>
          <w:rFonts w:ascii="Times New Roman" w:hAnsi="Times New Roman" w:eastAsia="仿宋"/>
        </w:rPr>
        <w:t>。</w:t>
      </w:r>
    </w:p>
    <w:p w14:paraId="02CC46B4">
      <w:pPr>
        <w:pStyle w:val="167"/>
      </w:pPr>
      <w:r>
        <w:rPr>
          <w:rFonts w:ascii="Times New Roman" w:hAnsi="Times New Roman" w:eastAsia="仿宋"/>
        </w:rPr>
        <w:t>从实践层面看，北航杭州国际校园已将国际暑期学校作为核心育人品牌，2026年暑期学校开设了人工智能、航空航天、未来飞行器等16个前沿项目，吸引了全球60个国家的千余名学子参与，其中无人机相关实训项目已成为跨文化工程实践的重要载体</w:t>
      </w:r>
      <w:r>
        <w:rPr>
          <w:rFonts w:ascii="Times New Roman" w:hAnsi="Times New Roman" w:eastAsia="仿宋"/>
          <w:vertAlign w:val="superscript"/>
        </w:rPr>
        <w:t>[9][10]</w:t>
      </w:r>
      <w:r>
        <w:rPr>
          <w:rFonts w:ascii="Times New Roman" w:hAnsi="Times New Roman" w:eastAsia="仿宋"/>
        </w:rPr>
        <w:t>。但整体而言，现有优化策略多聚焦于文化适应与沟通机制，针对中外学生工程实践思维差异，在课程设计、实训指导、任务设置、考核评价等核心教学环节的精准适配研究仍较为欠缺。</w:t>
      </w:r>
    </w:p>
    <w:p w14:paraId="63FA045F">
      <w:pPr>
        <w:pStyle w:val="165"/>
        <w:keepNext/>
        <w:keepLines/>
      </w:pPr>
      <w:r>
        <w:rPr>
          <w:rFonts w:ascii="Times New Roman" w:hAnsi="Times New Roman" w:eastAsia="宋体"/>
        </w:rPr>
        <w:t>2.4文献评述</w:t>
      </w:r>
    </w:p>
    <w:p w14:paraId="4DA643C7">
      <w:pPr>
        <w:pStyle w:val="167"/>
      </w:pPr>
      <w:r>
        <w:rPr>
          <w:rFonts w:ascii="Times New Roman" w:hAnsi="Times New Roman" w:eastAsia="仿宋"/>
        </w:rPr>
        <w:t>现有研究已在项目式学习理论、中外工科教育模式对比、国际暑期学校建设三个领域积累了丰富成果，为本研究奠定了坚实的理论基础，但仍存在三方面的研究空白：第一，微观实证研究不足。现有中外工程思维差异研究多基于宏观教育模式进行推演，缺乏基于真实高强度工程实操项目的微观行为观察与实证数据，对学生在具体技术问题解决中的行为差异、思维路径差异的刻画不够深入，难以支撑精细化的教学优化。第二，研究覆盖范围有限。现有中外对比研究多聚焦中美、中法等主流教育模式，针对西班牙、巴西等南欧与拉美国家学生与中国学生的混合组队场景研究极少，对不同文化背景学生在前沿技术项目（如无人机ROS、SLAM、路径规划）中的协作特征缺乏系统总结。第三，落地性优化策略不足。现有国际暑期学校优化建议多偏重于文化交流、语言支持等外围保障，针对课程体系、组队模式、实训指导、任务设计、考核评价等核心教学环节，如何适配中外学生的思维差异、实现优势互补的具体策略，缺乏结合具体项目的实证支撑与可操作方案。</w:t>
      </w:r>
    </w:p>
    <w:p w14:paraId="3A81E888">
      <w:pPr>
        <w:pStyle w:val="167"/>
      </w:pPr>
      <w:r>
        <w:rPr>
          <w:rFonts w:ascii="Times New Roman" w:hAnsi="Times New Roman" w:eastAsia="仿宋"/>
        </w:rPr>
        <w:t>基于此，本研究以无人机暑期中外混合组队项目为载体，通过实地观察、访谈与问卷等实证方法，聚焦中国、西班牙、巴西学生的工程实践行为与思维差异，溯源其教育成因，进而提出国际暑期学校项目的系统性优化策略，填补上述研究空白，为跨文化工程实践育人提供实证依据与落地路径。</w:t>
      </w:r>
    </w:p>
    <w:p w14:paraId="03F3A2BD">
      <w:pPr>
        <w:pStyle w:val="164"/>
        <w:keepNext/>
        <w:keepLines/>
      </w:pPr>
      <w:r>
        <w:rPr>
          <w:rFonts w:ascii="Times New Roman" w:hAnsi="Times New Roman" w:eastAsia="宋体" w:cs="Noto Serif CJK SC"/>
          <w:b/>
        </w:rPr>
        <w:t>三、研究设计</w:t>
      </w:r>
    </w:p>
    <w:p w14:paraId="132AA276">
      <w:pPr>
        <w:pStyle w:val="165"/>
        <w:keepNext/>
        <w:keepLines/>
      </w:pPr>
      <w:r>
        <w:rPr>
          <w:rFonts w:ascii="Times New Roman" w:hAnsi="Times New Roman" w:eastAsia="宋体" w:cs="Noto Serif CJK SC"/>
          <w:b/>
        </w:rPr>
        <w:t>1. 项目场景与任务内容</w:t>
      </w:r>
    </w:p>
    <w:p w14:paraId="451BCDF9">
      <w:pPr>
        <w:pStyle w:val="167"/>
      </w:pPr>
      <w:r>
        <w:rPr>
          <w:rFonts w:ascii="Times New Roman" w:hAnsi="Times New Roman" w:eastAsia="仿宋" w:cs="Noto Serif CJK SC"/>
        </w:rPr>
        <w:t>介绍国际暑期学校的时间、地点、参与人数、组队形式和教师配置。说明无人机项目的主要任务，包括环境配置、ROS系统操作、SLAM建图、路径规划、程序调试、飞行测试和成果展示等。</w:t>
      </w:r>
    </w:p>
    <w:p w14:paraId="621CF5CC">
      <w:pPr>
        <w:pStyle w:val="165"/>
        <w:keepNext/>
        <w:keepLines/>
      </w:pPr>
      <w:r>
        <w:rPr>
          <w:rFonts w:ascii="Times New Roman" w:hAnsi="Times New Roman" w:eastAsia="宋体" w:cs="Noto Serif CJK SC"/>
          <w:b/>
        </w:rPr>
        <w:t>2. 研究样本</w:t>
      </w:r>
    </w:p>
    <w:p w14:paraId="5DDE86A6">
      <w:pPr>
        <w:pStyle w:val="166"/>
        <w:keepNext/>
        <w:keepLines/>
      </w:pPr>
      <w:r>
        <w:rPr>
          <w:rFonts w:ascii="Times New Roman" w:hAnsi="Times New Roman" w:eastAsia="宋体" w:cs="Noto Serif CJK SC"/>
        </w:rPr>
        <w:t>2.1 研究目的与研究设计</w:t>
      </w:r>
    </w:p>
    <w:p w14:paraId="6E5C454F">
      <w:pPr>
        <w:pStyle w:val="167"/>
      </w:pPr>
      <w:r>
        <w:rPr>
          <w:rFonts w:ascii="Times New Roman" w:hAnsi="Times New Roman" w:eastAsia="仿宋" w:cs="Noto Serif CJK SC"/>
        </w:rPr>
        <w:t>BISS无人机项目汇聚了来自中国、西班牙、巴西等多个国家的学生，要求其在短时间内完成从无人机装配到飞行的完整工程项目。项目过程中，不同国家学生在问题解决路径、团队协作风格、学习方式等方面表现出显著差异。本研究旨在通过深度访谈与问卷调查相结合的方法，探究这些行为差异背后的深层成因——这些行为习惯根植于怎样的思维模式？又与其从小到大所接受的教育模式有何关联？</w:t>
      </w:r>
    </w:p>
    <w:p w14:paraId="2DA6C445">
      <w:pPr>
        <w:pStyle w:val="167"/>
      </w:pPr>
      <w:r>
        <w:rPr>
          <w:rFonts w:ascii="Times New Roman" w:hAnsi="Times New Roman" w:eastAsia="仿宋" w:cs="Noto Serif CJK SC"/>
        </w:rPr>
        <w:t>本研究采用解释性序列设计（Explanatory Sequential Design） ，先进行定性深度访谈以发现现象与生成假设，再通过问卷调查对假设进行量化验证与扩展。</w:t>
      </w:r>
    </w:p>
    <w:p w14:paraId="5DA48E73">
      <w:pPr>
        <w:pStyle w:val="167"/>
        <w:keepNext/>
        <w:spacing w:before="100" w:after="60"/>
        <w:jc w:val="center"/>
      </w:pPr>
      <w:r>
        <w:rPr>
          <w:rFonts w:ascii="Times New Roman" w:hAnsi="Times New Roman" w:eastAsia="仿宋" w:cs="Noto Serif CJK SC"/>
          <w:sz w:val="21"/>
        </w:rPr>
        <w:t>表1 调查设计表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760B6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07F978B8">
            <w:pPr>
              <w:pStyle w:val="167"/>
              <w:spacing w:before="0" w:after="0" w:line="240" w:lineRule="auto"/>
              <w:jc w:val="center"/>
            </w:pPr>
            <w:r>
              <w:rPr>
                <w:rFonts w:ascii="Times New Roman" w:hAnsi="Times New Roman" w:eastAsia="宋体" w:cs="Noto Serif CJK SC"/>
                <w:b/>
                <w:sz w:val="20"/>
              </w:rPr>
              <w:t>阶段</w:t>
            </w:r>
          </w:p>
        </w:tc>
        <w:tc>
          <w:tcPr>
            <w:tcW w:w="1836" w:type="dxa"/>
            <w:tcMar>
              <w:top w:w="70" w:type="dxa"/>
              <w:left w:w="70" w:type="dxa"/>
              <w:bottom w:w="70" w:type="dxa"/>
              <w:right w:w="70" w:type="dxa"/>
            </w:tcMar>
            <w:vAlign w:val="center"/>
          </w:tcPr>
          <w:p w14:paraId="3F4BFDCE">
            <w:pPr>
              <w:pStyle w:val="167"/>
              <w:spacing w:before="0" w:after="0" w:line="240" w:lineRule="auto"/>
              <w:jc w:val="center"/>
            </w:pPr>
            <w:r>
              <w:rPr>
                <w:rFonts w:ascii="Times New Roman" w:hAnsi="Times New Roman" w:eastAsia="宋体" w:cs="Noto Serif CJK SC"/>
                <w:b/>
                <w:sz w:val="20"/>
              </w:rPr>
              <w:t>调查方法</w:t>
            </w:r>
          </w:p>
        </w:tc>
        <w:tc>
          <w:tcPr>
            <w:tcW w:w="1836" w:type="dxa"/>
            <w:tcMar>
              <w:top w:w="70" w:type="dxa"/>
              <w:left w:w="70" w:type="dxa"/>
              <w:bottom w:w="70" w:type="dxa"/>
              <w:right w:w="70" w:type="dxa"/>
            </w:tcMar>
            <w:vAlign w:val="center"/>
          </w:tcPr>
          <w:p w14:paraId="31DFBC69">
            <w:pPr>
              <w:pStyle w:val="167"/>
              <w:spacing w:before="0" w:after="0" w:line="240" w:lineRule="auto"/>
              <w:jc w:val="center"/>
            </w:pPr>
            <w:r>
              <w:rPr>
                <w:rFonts w:ascii="Times New Roman" w:hAnsi="Times New Roman" w:eastAsia="宋体" w:cs="Noto Serif CJK SC"/>
                <w:b/>
                <w:sz w:val="20"/>
              </w:rPr>
              <w:t>目的</w:t>
            </w:r>
          </w:p>
        </w:tc>
        <w:tc>
          <w:tcPr>
            <w:tcW w:w="1836" w:type="dxa"/>
            <w:tcMar>
              <w:top w:w="70" w:type="dxa"/>
              <w:left w:w="70" w:type="dxa"/>
              <w:bottom w:w="70" w:type="dxa"/>
              <w:right w:w="70" w:type="dxa"/>
            </w:tcMar>
            <w:vAlign w:val="center"/>
          </w:tcPr>
          <w:p w14:paraId="6136D40A">
            <w:pPr>
              <w:pStyle w:val="167"/>
              <w:spacing w:before="0" w:after="0" w:line="240" w:lineRule="auto"/>
              <w:jc w:val="center"/>
            </w:pPr>
            <w:r>
              <w:rPr>
                <w:rFonts w:ascii="Times New Roman" w:hAnsi="Times New Roman" w:eastAsia="宋体" w:cs="Noto Serif CJK SC"/>
                <w:b/>
                <w:sz w:val="20"/>
              </w:rPr>
              <w:t>样本量</w:t>
            </w:r>
          </w:p>
        </w:tc>
        <w:tc>
          <w:tcPr>
            <w:tcW w:w="1836" w:type="dxa"/>
            <w:tcMar>
              <w:top w:w="70" w:type="dxa"/>
              <w:left w:w="70" w:type="dxa"/>
              <w:bottom w:w="70" w:type="dxa"/>
              <w:right w:w="70" w:type="dxa"/>
            </w:tcMar>
            <w:vAlign w:val="center"/>
          </w:tcPr>
          <w:p w14:paraId="256D6DA7">
            <w:pPr>
              <w:pStyle w:val="167"/>
              <w:spacing w:before="0" w:after="0" w:line="240" w:lineRule="auto"/>
              <w:jc w:val="center"/>
            </w:pPr>
            <w:r>
              <w:rPr>
                <w:rFonts w:ascii="Times New Roman" w:hAnsi="Times New Roman" w:eastAsia="宋体" w:cs="Noto Serif CJK SC"/>
                <w:b/>
                <w:sz w:val="20"/>
              </w:rPr>
              <w:t>分析方法</w:t>
            </w:r>
          </w:p>
        </w:tc>
      </w:tr>
      <w:tr w14:paraId="57C1F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6EBB8C94">
            <w:pPr>
              <w:pStyle w:val="167"/>
              <w:spacing w:before="0" w:after="0" w:line="240" w:lineRule="auto"/>
              <w:jc w:val="center"/>
            </w:pPr>
            <w:r>
              <w:rPr>
                <w:rFonts w:ascii="Times New Roman" w:hAnsi="Times New Roman" w:eastAsia="仿宋" w:cs="Noto Serif CJK SC"/>
                <w:b w:val="0"/>
                <w:sz w:val="20"/>
              </w:rPr>
              <w:t>第一阶段</w:t>
            </w:r>
          </w:p>
        </w:tc>
        <w:tc>
          <w:tcPr>
            <w:tcW w:w="1836" w:type="dxa"/>
            <w:tcMar>
              <w:top w:w="70" w:type="dxa"/>
              <w:left w:w="70" w:type="dxa"/>
              <w:bottom w:w="70" w:type="dxa"/>
              <w:right w:w="70" w:type="dxa"/>
            </w:tcMar>
            <w:vAlign w:val="center"/>
          </w:tcPr>
          <w:p w14:paraId="42DB11A5">
            <w:pPr>
              <w:pStyle w:val="167"/>
              <w:spacing w:before="0" w:after="0" w:line="240" w:lineRule="auto"/>
              <w:jc w:val="center"/>
            </w:pPr>
            <w:r>
              <w:rPr>
                <w:rFonts w:ascii="Times New Roman" w:hAnsi="Times New Roman" w:eastAsia="仿宋" w:cs="Noto Serif CJK SC"/>
                <w:b w:val="0"/>
                <w:sz w:val="20"/>
              </w:rPr>
              <w:t>半结构化深度访谈</w:t>
            </w:r>
          </w:p>
        </w:tc>
        <w:tc>
          <w:tcPr>
            <w:tcW w:w="1836" w:type="dxa"/>
            <w:tcMar>
              <w:top w:w="70" w:type="dxa"/>
              <w:left w:w="70" w:type="dxa"/>
              <w:bottom w:w="70" w:type="dxa"/>
              <w:right w:w="70" w:type="dxa"/>
            </w:tcMar>
            <w:vAlign w:val="center"/>
          </w:tcPr>
          <w:p w14:paraId="7B907C90">
            <w:pPr>
              <w:pStyle w:val="167"/>
              <w:spacing w:before="0" w:after="0" w:line="240" w:lineRule="auto"/>
              <w:jc w:val="center"/>
            </w:pPr>
            <w:r>
              <w:rPr>
                <w:rFonts w:ascii="Times New Roman" w:hAnsi="Times New Roman" w:eastAsia="仿宋" w:cs="Noto Serif CJK SC"/>
                <w:b w:val="0"/>
                <w:sz w:val="20"/>
              </w:rPr>
              <w:t>探索教育经历与行为习惯之间的关联，生成初步假设</w:t>
            </w:r>
          </w:p>
        </w:tc>
        <w:tc>
          <w:tcPr>
            <w:tcW w:w="1836" w:type="dxa"/>
            <w:tcMar>
              <w:top w:w="70" w:type="dxa"/>
              <w:left w:w="70" w:type="dxa"/>
              <w:bottom w:w="70" w:type="dxa"/>
              <w:right w:w="70" w:type="dxa"/>
            </w:tcMar>
            <w:vAlign w:val="center"/>
          </w:tcPr>
          <w:p w14:paraId="135364BD">
            <w:pPr>
              <w:pStyle w:val="167"/>
              <w:spacing w:before="0" w:after="0" w:line="240" w:lineRule="auto"/>
              <w:jc w:val="center"/>
            </w:pPr>
            <w:r>
              <w:rPr>
                <w:rFonts w:ascii="Times New Roman" w:hAnsi="Times New Roman" w:eastAsia="仿宋" w:cs="Noto Serif CJK SC"/>
                <w:b w:val="0"/>
                <w:sz w:val="20"/>
              </w:rPr>
              <w:t>5人（中2+西2+巴1）</w:t>
            </w:r>
          </w:p>
        </w:tc>
        <w:tc>
          <w:tcPr>
            <w:tcW w:w="1836" w:type="dxa"/>
            <w:tcMar>
              <w:top w:w="70" w:type="dxa"/>
              <w:left w:w="70" w:type="dxa"/>
              <w:bottom w:w="70" w:type="dxa"/>
              <w:right w:w="70" w:type="dxa"/>
            </w:tcMar>
            <w:vAlign w:val="center"/>
          </w:tcPr>
          <w:p w14:paraId="7352D2AA">
            <w:pPr>
              <w:pStyle w:val="167"/>
              <w:spacing w:before="0" w:after="0" w:line="240" w:lineRule="auto"/>
              <w:jc w:val="center"/>
            </w:pPr>
            <w:r>
              <w:rPr>
                <w:rFonts w:ascii="Times New Roman" w:hAnsi="Times New Roman" w:eastAsia="仿宋" w:cs="Noto Serif CJK SC"/>
                <w:b w:val="0"/>
                <w:sz w:val="20"/>
              </w:rPr>
              <w:t>主题分析法</w:t>
            </w:r>
          </w:p>
        </w:tc>
      </w:tr>
      <w:tr w14:paraId="0DCB8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8035141">
            <w:pPr>
              <w:pStyle w:val="167"/>
              <w:spacing w:before="0" w:after="0" w:line="240" w:lineRule="auto"/>
              <w:jc w:val="center"/>
            </w:pPr>
            <w:r>
              <w:rPr>
                <w:rFonts w:ascii="Times New Roman" w:hAnsi="Times New Roman" w:eastAsia="仿宋" w:cs="Noto Serif CJK SC"/>
                <w:b w:val="0"/>
                <w:sz w:val="20"/>
              </w:rPr>
              <w:t>第二阶段</w:t>
            </w:r>
          </w:p>
        </w:tc>
        <w:tc>
          <w:tcPr>
            <w:tcW w:w="1836" w:type="dxa"/>
            <w:tcMar>
              <w:top w:w="70" w:type="dxa"/>
              <w:left w:w="70" w:type="dxa"/>
              <w:bottom w:w="70" w:type="dxa"/>
              <w:right w:w="70" w:type="dxa"/>
            </w:tcMar>
            <w:vAlign w:val="center"/>
          </w:tcPr>
          <w:p w14:paraId="62FA78EB">
            <w:pPr>
              <w:pStyle w:val="167"/>
              <w:spacing w:before="0" w:after="0" w:line="240" w:lineRule="auto"/>
              <w:jc w:val="center"/>
            </w:pPr>
            <w:r>
              <w:rPr>
                <w:rFonts w:ascii="Times New Roman" w:hAnsi="Times New Roman" w:eastAsia="仿宋" w:cs="Noto Serif CJK SC"/>
                <w:b w:val="0"/>
                <w:sz w:val="20"/>
              </w:rPr>
              <w:t>结构化问卷调查</w:t>
            </w:r>
          </w:p>
        </w:tc>
        <w:tc>
          <w:tcPr>
            <w:tcW w:w="1836" w:type="dxa"/>
            <w:tcMar>
              <w:top w:w="70" w:type="dxa"/>
              <w:left w:w="70" w:type="dxa"/>
              <w:bottom w:w="70" w:type="dxa"/>
              <w:right w:w="70" w:type="dxa"/>
            </w:tcMar>
            <w:vAlign w:val="center"/>
          </w:tcPr>
          <w:p w14:paraId="50A55DDC">
            <w:pPr>
              <w:pStyle w:val="167"/>
              <w:spacing w:before="0" w:after="0" w:line="240" w:lineRule="auto"/>
              <w:jc w:val="center"/>
            </w:pPr>
            <w:r>
              <w:rPr>
                <w:rFonts w:ascii="Times New Roman" w:hAnsi="Times New Roman" w:eastAsia="仿宋" w:cs="Noto Serif CJK SC"/>
                <w:b w:val="0"/>
                <w:sz w:val="20"/>
              </w:rPr>
              <w:t>验证访谈发现，获取群体层面的统计规律</w:t>
            </w:r>
          </w:p>
        </w:tc>
        <w:tc>
          <w:tcPr>
            <w:tcW w:w="1836" w:type="dxa"/>
            <w:tcMar>
              <w:top w:w="70" w:type="dxa"/>
              <w:left w:w="70" w:type="dxa"/>
              <w:bottom w:w="70" w:type="dxa"/>
              <w:right w:w="70" w:type="dxa"/>
            </w:tcMar>
            <w:vAlign w:val="center"/>
          </w:tcPr>
          <w:p w14:paraId="66674CBE">
            <w:pPr>
              <w:pStyle w:val="167"/>
              <w:spacing w:before="0" w:after="0" w:line="240" w:lineRule="auto"/>
              <w:jc w:val="center"/>
            </w:pPr>
            <w:r>
              <w:rPr>
                <w:rFonts w:ascii="Times New Roman" w:hAnsi="Times New Roman" w:eastAsia="仿宋" w:cs="Noto Serif CJK SC"/>
                <w:b w:val="0"/>
                <w:sz w:val="20"/>
              </w:rPr>
              <w:t>32人（中9+西4+巴19）</w:t>
            </w:r>
          </w:p>
        </w:tc>
        <w:tc>
          <w:tcPr>
            <w:tcW w:w="1836" w:type="dxa"/>
            <w:tcMar>
              <w:top w:w="70" w:type="dxa"/>
              <w:left w:w="70" w:type="dxa"/>
              <w:bottom w:w="70" w:type="dxa"/>
              <w:right w:w="70" w:type="dxa"/>
            </w:tcMar>
            <w:vAlign w:val="center"/>
          </w:tcPr>
          <w:p w14:paraId="1C02BEA3">
            <w:pPr>
              <w:pStyle w:val="167"/>
              <w:spacing w:before="0" w:after="0" w:line="240" w:lineRule="auto"/>
              <w:jc w:val="center"/>
            </w:pPr>
            <w:r>
              <w:rPr>
                <w:rFonts w:ascii="Times New Roman" w:hAnsi="Times New Roman" w:eastAsia="仿宋" w:cs="Noto Serif CJK SC"/>
                <w:b w:val="0"/>
                <w:sz w:val="20"/>
              </w:rPr>
              <w:t>描述性统计与交叉分析</w:t>
            </w:r>
          </w:p>
        </w:tc>
      </w:tr>
    </w:tbl>
    <w:p w14:paraId="4CC7DC20">
      <w:pPr>
        <w:pStyle w:val="165"/>
        <w:keepNext/>
        <w:keepLines/>
      </w:pPr>
      <w:r>
        <w:rPr>
          <w:rFonts w:ascii="Times New Roman" w:hAnsi="Times New Roman" w:eastAsia="宋体" w:cs="Noto Serif CJK SC"/>
          <w:b/>
        </w:rPr>
        <w:t>3. 数据收集方法</w:t>
      </w:r>
    </w:p>
    <w:p w14:paraId="1A2EF4CD">
      <w:pPr>
        <w:pStyle w:val="167"/>
      </w:pPr>
      <w:r>
        <w:rPr>
          <w:rFonts w:ascii="Times New Roman" w:hAnsi="Times New Roman" w:eastAsia="仿宋" w:cs="Noto Serif CJK SC"/>
        </w:rPr>
        <w:t>访谈依据预先设计的半结构化访谈纲要，涵盖四大模块——教育经历全景扫描、科技教育的课堂体验、项目式学习经历与问题解决风格、教育理念与文化价值观。问卷设计基于访谈发现设计结构化问卷，涵盖四大模块——基础信息、思维方式、中小学教育、大学教育、教育价值观。</w:t>
      </w:r>
    </w:p>
    <w:p w14:paraId="2D3A820B">
      <w:pPr>
        <w:pStyle w:val="167"/>
      </w:pPr>
      <w:r>
        <w:rPr>
          <w:rFonts w:ascii="Times New Roman" w:hAnsi="Times New Roman" w:eastAsia="仿宋" w:cs="Noto Serif CJK SC"/>
        </w:rPr>
        <w:t>这种设计确保了"深度"与"广度"的互补：访谈提供因果机制层面的洞察，问卷提供统计规律层面的验证。</w:t>
      </w:r>
    </w:p>
    <w:p w14:paraId="4EC79704">
      <w:pPr>
        <w:pStyle w:val="166"/>
        <w:keepNext/>
        <w:keepLines/>
      </w:pPr>
      <w:r>
        <w:rPr>
          <w:rFonts w:ascii="Times New Roman" w:hAnsi="Times New Roman" w:eastAsia="宋体" w:cs="Noto Serif CJK SC"/>
          <w:b/>
        </w:rPr>
        <w:t>3.1 实地观察</w:t>
      </w:r>
    </w:p>
    <w:p w14:paraId="44396B07">
      <w:pPr>
        <w:pStyle w:val="167"/>
      </w:pPr>
      <w:r>
        <w:rPr>
          <w:rFonts w:ascii="Times New Roman" w:hAnsi="Times New Roman" w:eastAsia="仿宋" w:cs="Noto Serif CJK SC"/>
        </w:rPr>
        <w:t>按照统一观察表记录学生在技术学习、问题处理、分工协作、调试测试和成果汇报中的具体行为。观察内容应记录可见事实，例如“查阅官方文档后修改参数”“连续运行三次测试”“主动询问其他组员意见”，避免直接记录“缺乏主动性”“创新能力强”等评价性判断。</w:t>
      </w:r>
    </w:p>
    <w:p w14:paraId="7AA03EEF">
      <w:pPr>
        <w:pStyle w:val="166"/>
        <w:keepNext/>
        <w:keepLines/>
      </w:pPr>
      <w:r>
        <w:rPr>
          <w:rFonts w:ascii="Times New Roman" w:hAnsi="Times New Roman" w:eastAsia="宋体" w:cs="Noto Serif CJK SC"/>
          <w:b/>
        </w:rPr>
        <w:t>3.2 每日工作日志</w:t>
      </w:r>
    </w:p>
    <w:p w14:paraId="6737480D">
      <w:pPr>
        <w:pStyle w:val="167"/>
      </w:pPr>
      <w:r>
        <w:rPr>
          <w:rFonts w:ascii="Times New Roman" w:hAnsi="Times New Roman" w:eastAsia="仿宋" w:cs="Noto Serif CJK SC"/>
        </w:rPr>
        <w:t>每日记录任务目标、完成情况、出现的问题、解决过程、组内分工、关键决策和未解决事项。日志尽量由不同成员交叉确认，减少单一记录者的主观偏差。</w:t>
      </w:r>
    </w:p>
    <w:p w14:paraId="6CA43EFD">
      <w:pPr>
        <w:pStyle w:val="166"/>
        <w:keepNext/>
        <w:keepLines/>
      </w:pPr>
      <w:r>
        <w:rPr>
          <w:rFonts w:ascii="Times New Roman" w:hAnsi="Times New Roman" w:eastAsia="宋体" w:cs="Noto Serif CJK SC"/>
          <w:b/>
        </w:rPr>
        <w:t>3.3 半结构化访谈</w:t>
      </w:r>
    </w:p>
    <w:p w14:paraId="7A45746E">
      <w:pPr>
        <w:pStyle w:val="167"/>
      </w:pPr>
      <w:r>
        <w:rPr>
          <w:rFonts w:ascii="Times New Roman" w:hAnsi="Times New Roman" w:eastAsia="仿宋" w:cs="Noto Serif CJK SC"/>
        </w:rPr>
        <w:t>访谈对象应覆盖中国、西班牙和巴西学生，原则上不少于5人，并尽量保证不同国家样本的基本平衡。访谈内容包括：</w:t>
      </w:r>
    </w:p>
    <w:p w14:paraId="7954E861">
      <w:pPr>
        <w:pStyle w:val="168"/>
        <w:spacing w:after="20"/>
        <w:ind w:left="420" w:hanging="312"/>
      </w:pPr>
      <w:r>
        <w:rPr>
          <w:rFonts w:ascii="Times New Roman" w:hAnsi="Times New Roman" w:eastAsia="仿宋" w:cs="Noto Serif CJK SC"/>
        </w:rPr>
        <w:t>（1）既往工程实践和编程经历；</w:t>
      </w:r>
    </w:p>
    <w:p w14:paraId="7B96A767">
      <w:pPr>
        <w:pStyle w:val="168"/>
        <w:spacing w:after="20"/>
        <w:ind w:left="420" w:hanging="312"/>
      </w:pPr>
      <w:r>
        <w:rPr>
          <w:rFonts w:ascii="Times New Roman" w:hAnsi="Times New Roman" w:eastAsia="仿宋" w:cs="Noto Serif CJK SC"/>
        </w:rPr>
        <w:t>（2）面对陌生技术时通常采用的学习方法；</w:t>
      </w:r>
    </w:p>
    <w:p w14:paraId="5A2194C1">
      <w:pPr>
        <w:pStyle w:val="168"/>
        <w:spacing w:after="20"/>
        <w:ind w:left="420" w:hanging="312"/>
      </w:pPr>
      <w:r>
        <w:rPr>
          <w:rFonts w:ascii="Times New Roman" w:hAnsi="Times New Roman" w:eastAsia="仿宋" w:cs="Noto Serif CJK SC"/>
        </w:rPr>
        <w:t>（3）遇到程序错误或设备故障时的处理顺序；</w:t>
      </w:r>
    </w:p>
    <w:p w14:paraId="64473926">
      <w:pPr>
        <w:pStyle w:val="168"/>
        <w:spacing w:after="20"/>
        <w:ind w:left="420" w:hanging="312"/>
      </w:pPr>
      <w:r>
        <w:rPr>
          <w:rFonts w:ascii="Times New Roman" w:hAnsi="Times New Roman" w:eastAsia="仿宋" w:cs="Noto Serif CJK SC"/>
        </w:rPr>
        <w:t>（4）团队分工和表达不同意见的习惯；</w:t>
      </w:r>
    </w:p>
    <w:p w14:paraId="183E2729">
      <w:pPr>
        <w:pStyle w:val="168"/>
        <w:spacing w:after="20"/>
        <w:ind w:left="420" w:hanging="312"/>
      </w:pPr>
      <w:r>
        <w:rPr>
          <w:rFonts w:ascii="Times New Roman" w:hAnsi="Times New Roman" w:eastAsia="仿宋" w:cs="Noto Serif CJK SC"/>
        </w:rPr>
        <w:t>（5）基础教育和大学阶段的实践课程经历；</w:t>
      </w:r>
    </w:p>
    <w:p w14:paraId="53985B93">
      <w:pPr>
        <w:pStyle w:val="168"/>
        <w:spacing w:after="20"/>
        <w:ind w:left="420" w:hanging="312"/>
      </w:pPr>
      <w:r>
        <w:rPr>
          <w:rFonts w:ascii="Times New Roman" w:hAnsi="Times New Roman" w:eastAsia="仿宋" w:cs="Noto Serif CJK SC"/>
        </w:rPr>
        <w:t>（6）对本次国际暑期学校项目的评价和建议。</w:t>
      </w:r>
    </w:p>
    <w:p w14:paraId="35485ABF">
      <w:pPr>
        <w:pStyle w:val="166"/>
        <w:keepNext/>
        <w:keepLines/>
      </w:pPr>
      <w:r>
        <w:rPr>
          <w:rFonts w:ascii="Times New Roman" w:hAnsi="Times New Roman" w:eastAsia="宋体" w:cs="Noto Serif CJK SC"/>
          <w:b/>
        </w:rPr>
        <w:t>3.4 问卷调查</w:t>
      </w:r>
    </w:p>
    <w:p w14:paraId="6B2AE0BF">
      <w:pPr>
        <w:pStyle w:val="167"/>
      </w:pPr>
      <w:r>
        <w:rPr>
          <w:rFonts w:ascii="Times New Roman" w:hAnsi="Times New Roman" w:eastAsia="仿宋" w:cs="Noto Serif CJK SC"/>
        </w:rPr>
        <w:t>问卷主要调查学生的技术基础、项目经验、学习偏好、问题解决习惯、团队协作体验和课程满意度。说明问卷发放数量、回收数量、有效问卷数量及有效率。</w:t>
      </w:r>
    </w:p>
    <w:p w14:paraId="6AD4657F">
      <w:pPr>
        <w:pStyle w:val="166"/>
        <w:keepNext/>
        <w:keepLines/>
      </w:pPr>
      <w:r>
        <w:rPr>
          <w:rFonts w:ascii="Times New Roman" w:hAnsi="Times New Roman" w:eastAsia="宋体" w:cs="Noto Serif CJK SC"/>
          <w:b/>
        </w:rPr>
        <w:t>3.5 文献资料</w:t>
      </w:r>
    </w:p>
    <w:p w14:paraId="11E774D5">
      <w:pPr>
        <w:pStyle w:val="167"/>
      </w:pPr>
      <w:r>
        <w:rPr>
          <w:rFonts w:ascii="Times New Roman" w:hAnsi="Times New Roman" w:eastAsia="仿宋" w:cs="Noto Serif CJK SC"/>
        </w:rPr>
        <w:t>搜集项目式学习、工程教育、跨文化协作以及中国、西班牙和巴西工程教育的相关文献，为访谈材料和观察结果提供背景解释。</w:t>
      </w:r>
    </w:p>
    <w:p w14:paraId="2216F61C">
      <w:pPr>
        <w:pStyle w:val="165"/>
        <w:keepNext/>
        <w:keepLines/>
      </w:pPr>
      <w:r>
        <w:rPr>
          <w:rFonts w:ascii="Times New Roman" w:hAnsi="Times New Roman" w:eastAsia="宋体" w:cs="Noto Serif CJK SC"/>
          <w:b/>
        </w:rPr>
        <w:t>4. 数据整理与分析方法</w:t>
      </w:r>
    </w:p>
    <w:p w14:paraId="6DA93F8D">
      <w:pPr>
        <w:pStyle w:val="166"/>
        <w:keepNext/>
        <w:keepLines/>
      </w:pPr>
      <w:r>
        <w:rPr>
          <w:rFonts w:ascii="Times New Roman" w:hAnsi="Times New Roman" w:eastAsia="宋体" w:cs="Noto Serif CJK SC"/>
        </w:rPr>
        <w:t>4.1 分析框架说明</w:t>
      </w:r>
    </w:p>
    <w:p w14:paraId="57F25D51">
      <w:pPr>
        <w:pStyle w:val="167"/>
      </w:pPr>
      <w:r>
        <w:rPr>
          <w:rFonts w:ascii="Times New Roman" w:hAnsi="Times New Roman" w:eastAsia="仿宋" w:cs="Noto Serif CJK SC"/>
        </w:rPr>
        <w:t>本报告采用"教育制度特征→思维惯习→BISS项目行为表现"的因果链作为核心分析逻辑，具体包含以下五个对比维度：</w:t>
      </w:r>
    </w:p>
    <w:p w14:paraId="2A1D6B4A">
      <w:pPr>
        <w:pStyle w:val="167"/>
        <w:keepNext/>
        <w:spacing w:before="100" w:after="60"/>
        <w:jc w:val="center"/>
      </w:pPr>
      <w:r>
        <w:rPr>
          <w:rFonts w:ascii="Times New Roman" w:hAnsi="Times New Roman" w:eastAsia="仿宋" w:cs="Noto Serif CJK SC"/>
          <w:sz w:val="21"/>
        </w:rPr>
        <w:t>表2 相关维度信息表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59"/>
        <w:gridCol w:w="3059"/>
        <w:gridCol w:w="3059"/>
      </w:tblGrid>
      <w:tr w14:paraId="423FA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059" w:type="dxa"/>
            <w:tcMar>
              <w:top w:w="70" w:type="dxa"/>
              <w:left w:w="70" w:type="dxa"/>
              <w:bottom w:w="70" w:type="dxa"/>
              <w:right w:w="70" w:type="dxa"/>
            </w:tcMar>
            <w:vAlign w:val="center"/>
          </w:tcPr>
          <w:p w14:paraId="4B4AD4C2">
            <w:pPr>
              <w:pStyle w:val="167"/>
              <w:spacing w:before="0" w:after="0" w:line="240" w:lineRule="auto"/>
              <w:jc w:val="center"/>
            </w:pPr>
            <w:r>
              <w:rPr>
                <w:rFonts w:ascii="Times New Roman" w:hAnsi="Times New Roman" w:eastAsia="宋体" w:cs="Noto Serif CJK SC"/>
                <w:b/>
                <w:sz w:val="20"/>
              </w:rPr>
              <w:t>维度</w:t>
            </w:r>
          </w:p>
        </w:tc>
        <w:tc>
          <w:tcPr>
            <w:tcW w:w="3059" w:type="dxa"/>
            <w:tcMar>
              <w:top w:w="70" w:type="dxa"/>
              <w:left w:w="70" w:type="dxa"/>
              <w:bottom w:w="70" w:type="dxa"/>
              <w:right w:w="70" w:type="dxa"/>
            </w:tcMar>
            <w:vAlign w:val="center"/>
          </w:tcPr>
          <w:p w14:paraId="2993B4F7">
            <w:pPr>
              <w:pStyle w:val="167"/>
              <w:spacing w:before="0" w:after="0" w:line="240" w:lineRule="auto"/>
              <w:jc w:val="center"/>
            </w:pPr>
            <w:r>
              <w:rPr>
                <w:rFonts w:ascii="Times New Roman" w:hAnsi="Times New Roman" w:eastAsia="宋体" w:cs="Noto Serif CJK SC"/>
                <w:b/>
                <w:sz w:val="20"/>
              </w:rPr>
              <w:t>操作化定义</w:t>
            </w:r>
          </w:p>
        </w:tc>
        <w:tc>
          <w:tcPr>
            <w:tcW w:w="3059" w:type="dxa"/>
            <w:tcMar>
              <w:top w:w="70" w:type="dxa"/>
              <w:left w:w="70" w:type="dxa"/>
              <w:bottom w:w="70" w:type="dxa"/>
              <w:right w:w="70" w:type="dxa"/>
            </w:tcMar>
            <w:vAlign w:val="center"/>
          </w:tcPr>
          <w:p w14:paraId="1BBCDA69">
            <w:pPr>
              <w:pStyle w:val="167"/>
              <w:spacing w:before="0" w:after="0" w:line="240" w:lineRule="auto"/>
              <w:jc w:val="center"/>
            </w:pPr>
            <w:r>
              <w:rPr>
                <w:rFonts w:ascii="Times New Roman" w:hAnsi="Times New Roman" w:eastAsia="宋体" w:cs="Noto Serif CJK SC"/>
                <w:b/>
                <w:sz w:val="20"/>
              </w:rPr>
              <w:t>考察问题</w:t>
            </w:r>
          </w:p>
        </w:tc>
      </w:tr>
      <w:tr w14:paraId="08F88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59" w:type="dxa"/>
            <w:tcMar>
              <w:top w:w="70" w:type="dxa"/>
              <w:left w:w="70" w:type="dxa"/>
              <w:bottom w:w="70" w:type="dxa"/>
              <w:right w:w="70" w:type="dxa"/>
            </w:tcMar>
            <w:vAlign w:val="center"/>
          </w:tcPr>
          <w:p w14:paraId="3EEF01CD">
            <w:pPr>
              <w:pStyle w:val="167"/>
              <w:spacing w:before="0" w:after="0" w:line="240" w:lineRule="auto"/>
              <w:jc w:val="center"/>
            </w:pPr>
            <w:r>
              <w:rPr>
                <w:rFonts w:ascii="Times New Roman" w:hAnsi="Times New Roman" w:eastAsia="仿宋" w:cs="Noto Serif CJK SC"/>
                <w:b w:val="0"/>
                <w:sz w:val="20"/>
              </w:rPr>
              <w:t>知识获取路径</w:t>
            </w:r>
          </w:p>
        </w:tc>
        <w:tc>
          <w:tcPr>
            <w:tcW w:w="3059" w:type="dxa"/>
            <w:tcMar>
              <w:top w:w="70" w:type="dxa"/>
              <w:left w:w="70" w:type="dxa"/>
              <w:bottom w:w="70" w:type="dxa"/>
              <w:right w:w="70" w:type="dxa"/>
            </w:tcMar>
            <w:vAlign w:val="center"/>
          </w:tcPr>
          <w:p w14:paraId="0ED3E3E7">
            <w:pPr>
              <w:pStyle w:val="167"/>
              <w:spacing w:before="0" w:after="0" w:line="240" w:lineRule="auto"/>
              <w:jc w:val="center"/>
            </w:pPr>
            <w:r>
              <w:rPr>
                <w:rFonts w:ascii="Times New Roman" w:hAnsi="Times New Roman" w:eastAsia="仿宋" w:cs="Noto Serif CJK SC"/>
                <w:b w:val="0"/>
                <w:sz w:val="20"/>
              </w:rPr>
              <w:t>学生如何习得新知识（先学后用/边做边学/用中求学）</w:t>
            </w:r>
          </w:p>
        </w:tc>
        <w:tc>
          <w:tcPr>
            <w:tcW w:w="3059" w:type="dxa"/>
            <w:tcMar>
              <w:top w:w="70" w:type="dxa"/>
              <w:left w:w="70" w:type="dxa"/>
              <w:bottom w:w="70" w:type="dxa"/>
              <w:right w:w="70" w:type="dxa"/>
            </w:tcMar>
            <w:vAlign w:val="center"/>
          </w:tcPr>
          <w:p w14:paraId="0D629915">
            <w:pPr>
              <w:pStyle w:val="167"/>
              <w:spacing w:before="0" w:after="0" w:line="240" w:lineRule="auto"/>
              <w:jc w:val="center"/>
            </w:pPr>
            <w:r>
              <w:rPr>
                <w:rFonts w:ascii="Times New Roman" w:hAnsi="Times New Roman" w:eastAsia="仿宋" w:cs="Noto Serif CJK SC"/>
                <w:b w:val="0"/>
                <w:sz w:val="20"/>
              </w:rPr>
              <w:t>访谈Q5 - Q8 / 问卷Q2</w:t>
            </w:r>
          </w:p>
        </w:tc>
      </w:tr>
      <w:tr w14:paraId="38624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59" w:type="dxa"/>
            <w:tcMar>
              <w:top w:w="70" w:type="dxa"/>
              <w:left w:w="70" w:type="dxa"/>
              <w:bottom w:w="70" w:type="dxa"/>
              <w:right w:w="70" w:type="dxa"/>
            </w:tcMar>
            <w:vAlign w:val="center"/>
          </w:tcPr>
          <w:p w14:paraId="3864B595">
            <w:pPr>
              <w:pStyle w:val="167"/>
              <w:spacing w:before="0" w:after="0" w:line="240" w:lineRule="auto"/>
              <w:jc w:val="center"/>
            </w:pPr>
            <w:r>
              <w:rPr>
                <w:rFonts w:ascii="Times New Roman" w:hAnsi="Times New Roman" w:eastAsia="仿宋" w:cs="Noto Serif CJK SC"/>
                <w:b w:val="0"/>
                <w:sz w:val="20"/>
              </w:rPr>
              <w:t>问题解决第一反应</w:t>
            </w:r>
          </w:p>
        </w:tc>
        <w:tc>
          <w:tcPr>
            <w:tcW w:w="3059" w:type="dxa"/>
            <w:tcMar>
              <w:top w:w="70" w:type="dxa"/>
              <w:left w:w="70" w:type="dxa"/>
              <w:bottom w:w="70" w:type="dxa"/>
              <w:right w:w="70" w:type="dxa"/>
            </w:tcMar>
            <w:vAlign w:val="center"/>
          </w:tcPr>
          <w:p w14:paraId="41AFA75F">
            <w:pPr>
              <w:pStyle w:val="167"/>
              <w:spacing w:before="0" w:after="0" w:line="240" w:lineRule="auto"/>
              <w:jc w:val="center"/>
            </w:pPr>
            <w:r>
              <w:rPr>
                <w:rFonts w:ascii="Times New Roman" w:hAnsi="Times New Roman" w:eastAsia="仿宋" w:cs="Noto Serif CJK SC"/>
                <w:b w:val="0"/>
                <w:sz w:val="20"/>
              </w:rPr>
              <w:t>遇到未知技术问题时首选的求助/应对策略</w:t>
            </w:r>
          </w:p>
        </w:tc>
        <w:tc>
          <w:tcPr>
            <w:tcW w:w="3059" w:type="dxa"/>
            <w:tcMar>
              <w:top w:w="70" w:type="dxa"/>
              <w:left w:w="70" w:type="dxa"/>
              <w:bottom w:w="70" w:type="dxa"/>
              <w:right w:w="70" w:type="dxa"/>
            </w:tcMar>
            <w:vAlign w:val="center"/>
          </w:tcPr>
          <w:p w14:paraId="5F1D6ACE">
            <w:pPr>
              <w:pStyle w:val="167"/>
              <w:spacing w:before="0" w:after="0" w:line="240" w:lineRule="auto"/>
              <w:jc w:val="center"/>
            </w:pPr>
            <w:r>
              <w:rPr>
                <w:rFonts w:ascii="Times New Roman" w:hAnsi="Times New Roman" w:eastAsia="仿宋" w:cs="Noto Serif CJK SC"/>
                <w:b w:val="0"/>
                <w:sz w:val="20"/>
              </w:rPr>
              <w:t>访谈Q11 - Q12</w:t>
            </w:r>
          </w:p>
        </w:tc>
      </w:tr>
      <w:tr w14:paraId="7340E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59" w:type="dxa"/>
            <w:tcMar>
              <w:top w:w="70" w:type="dxa"/>
              <w:left w:w="70" w:type="dxa"/>
              <w:bottom w:w="70" w:type="dxa"/>
              <w:right w:w="70" w:type="dxa"/>
            </w:tcMar>
            <w:vAlign w:val="center"/>
          </w:tcPr>
          <w:p w14:paraId="603AD5EA">
            <w:pPr>
              <w:pStyle w:val="167"/>
              <w:spacing w:before="0" w:after="0" w:line="240" w:lineRule="auto"/>
              <w:jc w:val="center"/>
            </w:pPr>
            <w:r>
              <w:rPr>
                <w:rFonts w:ascii="Times New Roman" w:hAnsi="Times New Roman" w:eastAsia="仿宋" w:cs="Noto Serif CJK SC"/>
                <w:b w:val="0"/>
                <w:sz w:val="20"/>
              </w:rPr>
              <w:t>对权威的态度</w:t>
            </w:r>
          </w:p>
        </w:tc>
        <w:tc>
          <w:tcPr>
            <w:tcW w:w="3059" w:type="dxa"/>
            <w:tcMar>
              <w:top w:w="70" w:type="dxa"/>
              <w:left w:w="70" w:type="dxa"/>
              <w:bottom w:w="70" w:type="dxa"/>
              <w:right w:w="70" w:type="dxa"/>
            </w:tcMar>
            <w:vAlign w:val="center"/>
          </w:tcPr>
          <w:p w14:paraId="653B4A8A">
            <w:pPr>
              <w:pStyle w:val="167"/>
              <w:spacing w:before="0" w:after="0" w:line="240" w:lineRule="auto"/>
              <w:jc w:val="center"/>
            </w:pPr>
            <w:r>
              <w:rPr>
                <w:rFonts w:ascii="Times New Roman" w:hAnsi="Times New Roman" w:eastAsia="仿宋" w:cs="Noto Serif CJK SC"/>
                <w:b w:val="0"/>
                <w:sz w:val="20"/>
              </w:rPr>
              <w:t>对教师/导师指导角色的认知与互动方式</w:t>
            </w:r>
          </w:p>
        </w:tc>
        <w:tc>
          <w:tcPr>
            <w:tcW w:w="3059" w:type="dxa"/>
            <w:tcMar>
              <w:top w:w="70" w:type="dxa"/>
              <w:left w:w="70" w:type="dxa"/>
              <w:bottom w:w="70" w:type="dxa"/>
              <w:right w:w="70" w:type="dxa"/>
            </w:tcMar>
            <w:vAlign w:val="center"/>
          </w:tcPr>
          <w:p w14:paraId="7639D2A3">
            <w:pPr>
              <w:pStyle w:val="167"/>
              <w:spacing w:before="0" w:after="0" w:line="240" w:lineRule="auto"/>
              <w:jc w:val="center"/>
            </w:pPr>
            <w:r>
              <w:rPr>
                <w:rFonts w:ascii="Times New Roman" w:hAnsi="Times New Roman" w:eastAsia="仿宋" w:cs="Noto Serif CJK SC"/>
                <w:b w:val="0"/>
                <w:sz w:val="20"/>
              </w:rPr>
              <w:t>访谈Q3,Q8,Q12 / 问卷Q3</w:t>
            </w:r>
          </w:p>
        </w:tc>
      </w:tr>
      <w:tr w14:paraId="71C89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59" w:type="dxa"/>
            <w:tcMar>
              <w:top w:w="70" w:type="dxa"/>
              <w:left w:w="70" w:type="dxa"/>
              <w:bottom w:w="70" w:type="dxa"/>
              <w:right w:w="70" w:type="dxa"/>
            </w:tcMar>
            <w:vAlign w:val="center"/>
          </w:tcPr>
          <w:p w14:paraId="6A5246AF">
            <w:pPr>
              <w:pStyle w:val="167"/>
              <w:spacing w:before="0" w:after="0" w:line="240" w:lineRule="auto"/>
              <w:jc w:val="center"/>
            </w:pPr>
            <w:r>
              <w:rPr>
                <w:rFonts w:ascii="Times New Roman" w:hAnsi="Times New Roman" w:eastAsia="仿宋" w:cs="Noto Serif CJK SC"/>
                <w:b w:val="0"/>
                <w:sz w:val="20"/>
              </w:rPr>
              <w:t>团队角色偏好</w:t>
            </w:r>
          </w:p>
        </w:tc>
        <w:tc>
          <w:tcPr>
            <w:tcW w:w="3059" w:type="dxa"/>
            <w:tcMar>
              <w:top w:w="70" w:type="dxa"/>
              <w:left w:w="70" w:type="dxa"/>
              <w:bottom w:w="70" w:type="dxa"/>
              <w:right w:w="70" w:type="dxa"/>
            </w:tcMar>
            <w:vAlign w:val="center"/>
          </w:tcPr>
          <w:p w14:paraId="6A05876D">
            <w:pPr>
              <w:pStyle w:val="167"/>
              <w:spacing w:before="0" w:after="0" w:line="240" w:lineRule="auto"/>
              <w:jc w:val="center"/>
            </w:pPr>
            <w:r>
              <w:rPr>
                <w:rFonts w:ascii="Times New Roman" w:hAnsi="Times New Roman" w:eastAsia="仿宋" w:cs="Noto Serif CJK SC"/>
                <w:b w:val="0"/>
                <w:sz w:val="20"/>
              </w:rPr>
              <w:t>在团队项目中主动承担的角色类型</w:t>
            </w:r>
          </w:p>
        </w:tc>
        <w:tc>
          <w:tcPr>
            <w:tcW w:w="3059" w:type="dxa"/>
            <w:tcMar>
              <w:top w:w="70" w:type="dxa"/>
              <w:left w:w="70" w:type="dxa"/>
              <w:bottom w:w="70" w:type="dxa"/>
              <w:right w:w="70" w:type="dxa"/>
            </w:tcMar>
            <w:vAlign w:val="center"/>
          </w:tcPr>
          <w:p w14:paraId="60C687A2">
            <w:pPr>
              <w:pStyle w:val="167"/>
              <w:spacing w:before="0" w:after="0" w:line="240" w:lineRule="auto"/>
              <w:jc w:val="center"/>
            </w:pPr>
            <w:r>
              <w:rPr>
                <w:rFonts w:ascii="Times New Roman" w:hAnsi="Times New Roman" w:eastAsia="仿宋" w:cs="Noto Serif CJK SC"/>
                <w:b w:val="0"/>
                <w:sz w:val="20"/>
              </w:rPr>
              <w:t>访谈Q13 / 问卷Q4</w:t>
            </w:r>
          </w:p>
        </w:tc>
      </w:tr>
      <w:tr w14:paraId="3EBA5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59" w:type="dxa"/>
            <w:tcMar>
              <w:top w:w="70" w:type="dxa"/>
              <w:left w:w="70" w:type="dxa"/>
              <w:bottom w:w="70" w:type="dxa"/>
              <w:right w:w="70" w:type="dxa"/>
            </w:tcMar>
            <w:vAlign w:val="center"/>
          </w:tcPr>
          <w:p w14:paraId="6BAACA6A">
            <w:pPr>
              <w:pStyle w:val="167"/>
              <w:spacing w:before="0" w:after="0" w:line="240" w:lineRule="auto"/>
              <w:jc w:val="center"/>
            </w:pPr>
            <w:r>
              <w:rPr>
                <w:rFonts w:ascii="Times New Roman" w:hAnsi="Times New Roman" w:eastAsia="仿宋" w:cs="Noto Serif CJK SC"/>
                <w:b w:val="0"/>
                <w:sz w:val="20"/>
              </w:rPr>
              <w:t>试错成本感知</w:t>
            </w:r>
          </w:p>
        </w:tc>
        <w:tc>
          <w:tcPr>
            <w:tcW w:w="3059" w:type="dxa"/>
            <w:tcMar>
              <w:top w:w="70" w:type="dxa"/>
              <w:left w:w="70" w:type="dxa"/>
              <w:bottom w:w="70" w:type="dxa"/>
              <w:right w:w="70" w:type="dxa"/>
            </w:tcMar>
            <w:vAlign w:val="center"/>
          </w:tcPr>
          <w:p w14:paraId="6B9123CC">
            <w:pPr>
              <w:pStyle w:val="167"/>
              <w:spacing w:before="0" w:after="0" w:line="240" w:lineRule="auto"/>
              <w:jc w:val="center"/>
            </w:pPr>
            <w:r>
              <w:rPr>
                <w:rFonts w:ascii="Times New Roman" w:hAnsi="Times New Roman" w:eastAsia="仿宋" w:cs="Noto Serif CJK SC"/>
                <w:b w:val="0"/>
                <w:sz w:val="20"/>
              </w:rPr>
              <w:t>对犯错的态度（恐惧/接纳/工具性）</w:t>
            </w:r>
          </w:p>
        </w:tc>
        <w:tc>
          <w:tcPr>
            <w:tcW w:w="3059" w:type="dxa"/>
            <w:tcMar>
              <w:top w:w="70" w:type="dxa"/>
              <w:left w:w="70" w:type="dxa"/>
              <w:bottom w:w="70" w:type="dxa"/>
              <w:right w:w="70" w:type="dxa"/>
            </w:tcMar>
            <w:vAlign w:val="center"/>
          </w:tcPr>
          <w:p w14:paraId="1E174625">
            <w:pPr>
              <w:pStyle w:val="167"/>
              <w:spacing w:before="0" w:after="0" w:line="240" w:lineRule="auto"/>
              <w:jc w:val="center"/>
            </w:pPr>
            <w:r>
              <w:rPr>
                <w:rFonts w:ascii="Times New Roman" w:hAnsi="Times New Roman" w:eastAsia="仿宋" w:cs="Noto Serif CJK SC"/>
                <w:b w:val="0"/>
                <w:sz w:val="20"/>
              </w:rPr>
              <w:t>访谈Q16</w:t>
            </w:r>
          </w:p>
        </w:tc>
      </w:tr>
    </w:tbl>
    <w:p w14:paraId="0030BC30">
      <w:pPr>
        <w:pStyle w:val="167"/>
      </w:pPr>
      <w:r>
        <w:rPr>
          <w:rFonts w:ascii="Times New Roman" w:hAnsi="Times New Roman" w:eastAsia="仿宋" w:cs="Noto Serif CJK SC"/>
        </w:rPr>
        <w:t>对观察日志和访谈材料进行分类编码。建议设置以下编码类别：资料查找、主动提问、任务拆解、方案讨论、直接测试、错误记录、参数调整、成员协商、角色分工、冲突处理、复盘总结。通过观察记录、访谈回答、问卷数据和项目成果进行相互验证；对于不同材料之间不一致的情况，应如实呈现并分析原因。</w:t>
      </w:r>
    </w:p>
    <w:p w14:paraId="06D7A8A2">
      <w:pPr>
        <w:pStyle w:val="165"/>
        <w:keepNext/>
        <w:keepLines/>
      </w:pPr>
      <w:r>
        <w:rPr>
          <w:rFonts w:ascii="Times New Roman" w:hAnsi="Times New Roman" w:eastAsia="宋体" w:cs="Noto Serif CJK SC"/>
          <w:b/>
        </w:rPr>
        <w:t>5. 研究伦理与质量控制</w:t>
      </w:r>
    </w:p>
    <w:p w14:paraId="78A001AE">
      <w:pPr>
        <w:pStyle w:val="167"/>
      </w:pPr>
      <w:r>
        <w:rPr>
          <w:rFonts w:ascii="Times New Roman" w:hAnsi="Times New Roman" w:eastAsia="仿宋" w:cs="Noto Serif CJK SC"/>
        </w:rPr>
        <w:t>在访谈和问卷前取得参与者同意，对姓名和个人信息进行匿名处理。报告中避免使用带有优劣判断和文化刻板印象的表述。说明观察者身份可能对参与者行为产生的影响，并通过统一记录标准、多人核对和保留反例提高研究可信度。</w:t>
      </w:r>
    </w:p>
    <w:p w14:paraId="65D1A9DE">
      <w:r>
        <w:rPr>
          <w:rFonts w:ascii="Times New Roman" w:hAnsi="Times New Roman" w:eastAsia="仿宋"/>
        </w:rPr>
        <w:br w:type="page"/>
      </w:r>
    </w:p>
    <w:p w14:paraId="157725B1">
      <w:pPr>
        <w:pStyle w:val="164"/>
        <w:keepNext/>
        <w:keepLines/>
      </w:pPr>
      <w:r>
        <w:rPr>
          <w:rFonts w:ascii="Times New Roman" w:hAnsi="Times New Roman" w:eastAsia="宋体" w:cs="Noto Serif CJK SC"/>
          <w:b/>
        </w:rPr>
        <w:t>四、无人机项目中的工程实践行为观察结果</w:t>
      </w:r>
    </w:p>
    <w:p w14:paraId="0CFC378D">
      <w:pPr>
        <w:pStyle w:val="165"/>
        <w:keepNext/>
        <w:keepLines/>
      </w:pPr>
      <w:r>
        <w:rPr>
          <w:rFonts w:ascii="Times New Roman" w:hAnsi="Times New Roman" w:eastAsia="宋体" w:cs="Noto Serif CJK SC"/>
          <w:b/>
        </w:rPr>
        <w:t>1. 样本与项目实施概况</w:t>
      </w:r>
    </w:p>
    <w:p w14:paraId="34D12F7D">
      <w:pPr>
        <w:pStyle w:val="167"/>
      </w:pPr>
      <w:r>
        <w:rPr>
          <w:rFonts w:ascii="Times New Roman" w:hAnsi="Times New Roman" w:eastAsia="仿宋" w:cs="Noto Serif CJK SC"/>
        </w:rPr>
        <w:t>本章基于为期 5 天的 Crazyflie 无人机暑期项目实地观察，围绕 ROS 环境部署、传感器应用、自主建图与路径规划等前沿技术学习场景，系统对比中西学生在 “做中学” 模式下的问题解决行为差异，同时总结两类群体的学习路径共性。</w:t>
      </w:r>
    </w:p>
    <w:p w14:paraId="5BDFB547">
      <w:pPr>
        <w:pStyle w:val="166"/>
        <w:keepNext/>
        <w:keepLines/>
      </w:pPr>
      <w:r>
        <w:rPr>
          <w:rFonts w:ascii="Times New Roman" w:hAnsi="Times New Roman" w:eastAsia="宋体" w:cs="Noto Serif CJK SC"/>
        </w:rPr>
        <w:t>1.1 项目进程与问题场景的阶段演化</w:t>
      </w:r>
    </w:p>
    <w:p w14:paraId="77552051">
      <w:pPr>
        <w:pStyle w:val="167"/>
      </w:pPr>
      <w:r>
        <w:rPr>
          <w:rFonts w:ascii="Times New Roman" w:hAnsi="Times New Roman" w:eastAsia="仿宋" w:cs="Noto Serif CJK SC"/>
        </w:rPr>
        <w:t>本次项目采用阶梯式难度设计，全程以真实任务驱动学习，问题类型随项目推进持续迭代，为行为观察提供了连续且分层的场景：</w:t>
      </w:r>
    </w:p>
    <w:p w14:paraId="6C39129D">
      <w:pPr>
        <w:pStyle w:val="168"/>
      </w:pPr>
      <w:r>
        <w:rPr>
          <w:rFonts w:ascii="Times New Roman" w:hAnsi="Times New Roman" w:eastAsia="仿宋" w:cs="Noto Serif CJK SC"/>
        </w:rPr>
        <w:t>1. 基础搭建阶段（Day 1）：核心任务为虚拟机配置、ROS 环境部署与无人机硬件驱动，问题以软件依赖冲突、环境变量配置错误、硬件连接异常等工程配置类问题为主，80% 以上故障源于非算法类工程细节。</w:t>
      </w:r>
    </w:p>
    <w:p w14:paraId="301BF0DC">
      <w:pPr>
        <w:pStyle w:val="168"/>
      </w:pPr>
      <w:r>
        <w:rPr>
          <w:rFonts w:ascii="Times New Roman" w:hAnsi="Times New Roman" w:eastAsia="仿宋" w:cs="Noto Serif CJK SC"/>
        </w:rPr>
        <w:t>2. 单传感器应用阶段（Day 2）：聚焦 Multi-ranger 测距传感器原理与避障功能实现，问题从配置故障转向传感器数据解读、控制逻辑调试等算法适配类问题，同时伴随跨语言沟通带来的协作障碍。</w:t>
      </w:r>
    </w:p>
    <w:p w14:paraId="02443E32">
      <w:pPr>
        <w:pStyle w:val="168"/>
      </w:pPr>
      <w:r>
        <w:rPr>
          <w:rFonts w:ascii="Times New Roman" w:hAnsi="Times New Roman" w:eastAsia="仿宋" w:cs="Noto Serif CJK SC"/>
        </w:rPr>
        <w:t>3. 系统综合阶段（Day 3）：任务升级为沿墙飞行、自主探索与简易建图，问题集中于预设路径与真实环境的偏差修正、自主决策逻辑设计等系统级问题，要求学生整合前期知识完成方案原创设计。</w:t>
      </w:r>
    </w:p>
    <w:p w14:paraId="77B653FC">
      <w:pPr>
        <w:pStyle w:val="168"/>
      </w:pPr>
      <w:r>
        <w:rPr>
          <w:rFonts w:ascii="Times New Roman" w:hAnsi="Times New Roman" w:eastAsia="仿宋" w:cs="Noto Serif CJK SC"/>
        </w:rPr>
        <w:t>4. 竞赛落地阶段（Day 4-5）：以创意展示与竞速挑战为载体，问题覆盖环境扰动、机体状态变化、多模块协同等系统化工程问题，学生需在时间压力下完成多轮迭代优化。</w:t>
      </w:r>
    </w:p>
    <w:p w14:paraId="0274848C">
      <w:pPr>
        <w:pStyle w:val="165"/>
        <w:keepNext/>
        <w:keepLines/>
      </w:pPr>
      <w:r>
        <w:rPr>
          <w:rFonts w:ascii="Times New Roman" w:hAnsi="Times New Roman" w:eastAsia="宋体" w:cs="Noto Serif CJK SC"/>
          <w:b/>
        </w:rPr>
        <w:t>2. 技术学习路径的共性与差异</w:t>
      </w:r>
    </w:p>
    <w:p w14:paraId="44998C18">
      <w:pPr>
        <w:pStyle w:val="166"/>
        <w:keepNext/>
        <w:keepLines/>
      </w:pPr>
      <w:r>
        <w:rPr>
          <w:rFonts w:ascii="Times New Roman" w:hAnsi="Times New Roman" w:eastAsia="宋体" w:cs="Noto Serif CJK SC"/>
        </w:rPr>
        <w:t>2.1 目标导向偏好：任务达成优先 vs 原理认知优先</w:t>
      </w:r>
    </w:p>
    <w:p w14:paraId="56E71CCE">
      <w:pPr>
        <w:pStyle w:val="167"/>
      </w:pPr>
      <w:r>
        <w:rPr>
          <w:rFonts w:ascii="Times New Roman" w:hAnsi="Times New Roman" w:eastAsia="仿宋" w:cs="Noto Serif CJK SC"/>
        </w:rPr>
        <w:t>在问题解决的深度偏好上，中国学生呈现出更强的任务导向：项目前期更关注 “如何实现功能”，以完成当前实验步骤为首要目标；随着项目复杂度提升，才逐步延伸至对算法逻辑与底层原理的思考。</w:t>
      </w:r>
    </w:p>
    <w:p w14:paraId="2FCA6A51">
      <w:pPr>
        <w:pStyle w:val="167"/>
      </w:pPr>
      <w:r>
        <w:rPr>
          <w:rFonts w:ascii="Times New Roman" w:hAnsi="Times New Roman" w:eastAsia="仿宋" w:cs="Noto Serif CJK SC"/>
        </w:rPr>
        <w:t>外籍学生的认知探索属性更突出：在中期系统设计阶段，更早开始追问 “算法的适用边界是什么”“为什么采用该控制逻辑” 等原理性问题，更倾向于在理解底层逻辑的基础上调整方案，而非仅满足于功能跑通。</w:t>
      </w:r>
    </w:p>
    <w:p w14:paraId="1393B8DA">
      <w:pPr>
        <w:pStyle w:val="168"/>
      </w:pPr>
      <w:r>
        <w:rPr>
          <w:rFonts w:ascii="Times New Roman" w:hAnsi="Times New Roman" w:eastAsia="仿宋" w:cs="Noto Serif CJK SC"/>
        </w:rPr>
        <w:t>AI 工具是两类学生共同依赖的核心辅助手段，覆盖报错解释、代码解读、参数调优建议等场景。但双方均未形成对 AI 的完全依赖，普遍会通过官方文档验证、实机测试校验的方式甄别 AI 输出的准确性，形成 “AI 辅助 — 人工验证” 的稳定使用范式。</w:t>
      </w:r>
    </w:p>
    <w:p w14:paraId="3008A1AC">
      <w:pPr>
        <w:pStyle w:val="165"/>
        <w:keepNext/>
        <w:keepLines/>
      </w:pPr>
      <w:r>
        <w:rPr>
          <w:rFonts w:ascii="Times New Roman" w:hAnsi="Times New Roman" w:eastAsia="宋体" w:cs="Noto Serif CJK SC"/>
          <w:b/>
        </w:rPr>
        <w:t>3. 工程问题发现与问题拆解</w:t>
      </w:r>
    </w:p>
    <w:p w14:paraId="67A8B4AF">
      <w:pPr>
        <w:pStyle w:val="166"/>
        <w:keepNext/>
        <w:keepLines/>
      </w:pPr>
      <w:r>
        <w:rPr>
          <w:rFonts w:ascii="Times New Roman" w:hAnsi="Times New Roman" w:eastAsia="宋体" w:cs="Noto Serif CJK SC"/>
        </w:rPr>
        <w:t>3.1 中西学生问题解决的核心行为差异</w:t>
      </w:r>
    </w:p>
    <w:p w14:paraId="60C9FF54">
      <w:pPr>
        <w:pStyle w:val="167"/>
      </w:pPr>
      <w:r>
        <w:rPr>
          <w:rFonts w:ascii="Times New Roman" w:hAnsi="Times New Roman" w:eastAsia="仿宋" w:cs="Noto Serif CJK SC"/>
        </w:rPr>
        <w:t>基于全周期跟踪观察，中西学生在信息获取策略、目标导向偏好、协作求助模式三个维度呈现出稳定的行为差异：</w:t>
      </w:r>
    </w:p>
    <w:p w14:paraId="4D11D668">
      <w:pPr>
        <w:pStyle w:val="166"/>
        <w:keepNext/>
        <w:keepLines/>
      </w:pPr>
      <w:r>
        <w:rPr>
          <w:rFonts w:ascii="Times New Roman" w:hAnsi="Times New Roman" w:eastAsia="宋体" w:cs="Noto Serif CJK SC"/>
        </w:rPr>
        <w:t>3.2 信息获取路径：求助咨询优先 vs 自主检索优先</w:t>
      </w:r>
    </w:p>
    <w:p w14:paraId="2DA3C291">
      <w:pPr>
        <w:pStyle w:val="167"/>
      </w:pPr>
      <w:r>
        <w:rPr>
          <w:rFonts w:ascii="Times New Roman" w:hAnsi="Times New Roman" w:eastAsia="仿宋" w:cs="Noto Serif CJK SC"/>
        </w:rPr>
        <w:t>问题定位的初始路径差异最为显著。中国学生普遍采用 “人际求助 — 工具辅助 — 资料验证” 的路径：遇到故障时优先向同组同学、助教咨询现成解决方案，再结合网络教程、AI 工具完成落地，核心诉求是缩短排错时间、快速推进任务。</w:t>
      </w:r>
    </w:p>
    <w:p w14:paraId="72EC2AD3">
      <w:pPr>
        <w:pStyle w:val="167"/>
      </w:pPr>
      <w:r>
        <w:rPr>
          <w:rFonts w:ascii="Times New Roman" w:hAnsi="Times New Roman" w:eastAsia="仿宋" w:cs="Noto Serif CJK SC"/>
        </w:rPr>
        <w:t>外籍学生则遵循 “文档检索 — 自主排查 — 人际求助” 的路径：初始阶段优先查阅官方文档、GitHub README 与 Issue 区，结合报错信息自主定位根因，在独立尝试无果后才向他人求助，展现出更强的原生文档阅读习惯与自主检索意识。</w:t>
      </w:r>
    </w:p>
    <w:p w14:paraId="45EE2A60">
      <w:pPr>
        <w:pStyle w:val="165"/>
        <w:keepNext/>
        <w:keepLines/>
      </w:pPr>
      <w:r>
        <w:rPr>
          <w:rFonts w:ascii="Times New Roman" w:hAnsi="Times New Roman" w:eastAsia="宋体" w:cs="Noto Serif CJK SC"/>
          <w:b/>
        </w:rPr>
        <w:t>4. 方案选择与调试迭代</w:t>
      </w:r>
    </w:p>
    <w:p w14:paraId="49F2F9ED">
      <w:pPr>
        <w:pStyle w:val="166"/>
        <w:keepNext/>
        <w:keepLines/>
      </w:pPr>
      <w:r>
        <w:rPr>
          <w:rFonts w:ascii="Times New Roman" w:hAnsi="Times New Roman" w:eastAsia="宋体" w:cs="Noto Serif CJK SC"/>
        </w:rPr>
        <w:t>4.1 行为模式的共性与学习路径收敛</w:t>
      </w:r>
    </w:p>
    <w:p w14:paraId="7195DD7E">
      <w:pPr>
        <w:pStyle w:val="167"/>
      </w:pPr>
      <w:r>
        <w:rPr>
          <w:rFonts w:ascii="Times New Roman" w:hAnsi="Times New Roman" w:eastAsia="仿宋" w:cs="Noto Serif CJK SC"/>
        </w:rPr>
        <w:t>尽管初始行为习惯存在差异，但在项目式学习的驱动下，中西学生的学习路径与能力成长呈现出高度一致性：统一的 “做中学” 迭代闭环。所有学生均遵循 “发现现象 — 分析原因 — 修改方案 — 实飞验证 — 总结沉淀” 的学习闭环，知识获取并非来自前置讲授，而是在问题解决过程中主动补充。两类学生同步完成了从 “按教程复刻执行” 到 “自主设计工程方案” 的能力跃迁。</w:t>
      </w:r>
    </w:p>
    <w:p w14:paraId="385CAD04">
      <w:pPr>
        <w:pStyle w:val="165"/>
        <w:keepNext/>
        <w:keepLines/>
      </w:pPr>
      <w:r>
        <w:rPr>
          <w:rFonts w:ascii="Times New Roman" w:hAnsi="Times New Roman" w:eastAsia="宋体" w:cs="Noto Serif CJK SC"/>
          <w:b/>
        </w:rPr>
        <w:t>5. 团队分工与跨文化协作</w:t>
      </w:r>
    </w:p>
    <w:p w14:paraId="2FCB5746">
      <w:pPr>
        <w:pStyle w:val="166"/>
        <w:keepNext/>
        <w:keepLines/>
      </w:pPr>
      <w:r>
        <w:rPr>
          <w:rFonts w:ascii="Times New Roman" w:hAnsi="Times New Roman" w:eastAsia="宋体" w:cs="Noto Serif CJK SC"/>
        </w:rPr>
        <w:t>5.1 协作模式：口头协同为主 vs 非语言协同为主</w:t>
      </w:r>
    </w:p>
    <w:p w14:paraId="4ACBDEB5">
      <w:pPr>
        <w:pStyle w:val="167"/>
      </w:pPr>
      <w:r>
        <w:rPr>
          <w:rFonts w:ascii="Times New Roman" w:hAnsi="Times New Roman" w:eastAsia="仿宋" w:cs="Noto Serif CJK SC"/>
        </w:rPr>
        <w:t>团队协作层面，中国学生更依赖实时口头沟通，通过集体讨论快速排查问题，人际协作密度更高；在跨文化组队中，外籍学生更倾向于通过代码演示、操作演示、任务拆分文档等非语言方式对齐进度，对语言沟通的依赖度更低。进入综合任务阶段后，两类团队均形成了 “代码开发 — 飞行测试 — 策略优化” 的明确分工，协作效率逐步趋同。</w:t>
      </w:r>
    </w:p>
    <w:p w14:paraId="1AAC668D">
      <w:pPr>
        <w:pStyle w:val="168"/>
      </w:pPr>
      <w:r>
        <w:rPr>
          <w:rFonts w:ascii="Times New Roman" w:hAnsi="Times New Roman" w:eastAsia="仿宋" w:cs="Noto Serif CJK SC"/>
        </w:rPr>
        <w:t>项目初期，跨文化组队受语言表达习惯、技术背景差异的影响，协作多停留在任务拆分后的独立执行层面，跨成员沟通存在一定壁垒，需依赖翻译工具、简单操作演示完成基础信息对齐。随着项目复杂度从单点技术任务向系统级综合任务升级，中西学生的协作深度持续提升。不同文化背景的学生基于自身能力特质形成互补分工 —— 中国学生擅长快速推进任务落地与集体排错，外籍学生擅长文档梳理与底层逻辑架构，二者在代码开发、飞行测试、策略优化等环节形成稳定配合。至综合竞赛阶段，团队已完成从 “个体分散分工” 到 “整体系统协同” 的跃迁，跨文化差异从初始的沟通阻碍转化为多元视角互补的优势，有效支撑了复杂工程任务的落地。</w:t>
      </w:r>
    </w:p>
    <w:p w14:paraId="456E99C4">
      <w:pPr>
        <w:pStyle w:val="165"/>
        <w:keepNext/>
        <w:keepLines/>
      </w:pPr>
      <w:r>
        <w:rPr>
          <w:rFonts w:ascii="Times New Roman" w:hAnsi="Times New Roman" w:eastAsia="宋体" w:cs="Noto Serif CJK SC"/>
          <w:b/>
        </w:rPr>
        <w:t>6. 任务完成与成果复盘</w:t>
      </w:r>
    </w:p>
    <w:p w14:paraId="4E27D10A">
      <w:pPr>
        <w:pStyle w:val="167"/>
      </w:pPr>
      <w:r>
        <w:rPr>
          <w:rFonts w:ascii="Times New Roman" w:hAnsi="Times New Roman" w:eastAsia="仿宋" w:cs="Noto Serif CJK SC"/>
        </w:rPr>
        <w:t>比较各组的任务完成度、成果稳定性、展示效果、创新尝试以及项目结束后的反思总结。成果评价不仅包括最终是否成功，还应包括解决问题的过程、团队参与程度和知识迁移情况。</w:t>
      </w:r>
    </w:p>
    <w:p w14:paraId="56531B21">
      <w:pPr>
        <w:pStyle w:val="165"/>
        <w:keepNext/>
        <w:keepLines/>
      </w:pPr>
      <w:r>
        <w:rPr>
          <w:rFonts w:ascii="Times New Roman" w:hAnsi="Times New Roman" w:eastAsia="宋体" w:cs="Noto Serif CJK SC"/>
          <w:b/>
        </w:rPr>
        <w:t>7. 本章小结</w:t>
      </w:r>
    </w:p>
    <w:p w14:paraId="7FBF814A">
      <w:pPr>
        <w:pStyle w:val="167"/>
      </w:pPr>
      <w:r>
        <w:rPr>
          <w:rFonts w:ascii="Times New Roman" w:hAnsi="Times New Roman" w:eastAsia="仿宋" w:cs="Noto Serif CJK SC"/>
        </w:rPr>
        <w:t>中西学生在工程实践中的行为差异，本质是不同教育文化背景下形成的路径偏好差异：中国学生的任务优先策略，适配快速落地的效率需求；外籍学生的认知优先策略，利于深层原理的掌握与迁移。而项目驱动的 “做中学” 模式具备跨文化普适性，能够有效推动不同背景的学生突破初始习惯差异，最终同步形成工程思维与问题解决能力。</w:t>
      </w:r>
    </w:p>
    <w:p w14:paraId="1CE34F31">
      <w:r>
        <w:rPr>
          <w:rFonts w:ascii="Times New Roman" w:hAnsi="Times New Roman" w:eastAsia="仿宋"/>
        </w:rPr>
        <w:br w:type="page"/>
      </w:r>
    </w:p>
    <w:p w14:paraId="51A1174E">
      <w:pPr>
        <w:pStyle w:val="164"/>
        <w:keepNext/>
        <w:keepLines/>
      </w:pPr>
      <w:r>
        <w:rPr>
          <w:rFonts w:ascii="Times New Roman" w:hAnsi="Times New Roman" w:eastAsia="宋体" w:cs="Noto Serif CJK SC"/>
          <w:b/>
        </w:rPr>
        <w:t>五、工程实践行为差异的可能影响因素</w:t>
      </w:r>
    </w:p>
    <w:p w14:paraId="415C735A">
      <w:pPr>
        <w:pStyle w:val="165"/>
        <w:keepNext/>
        <w:keepLines/>
      </w:pPr>
      <w:r>
        <w:rPr>
          <w:rFonts w:ascii="Times New Roman" w:hAnsi="Times New Roman" w:eastAsia="宋体" w:cs="Noto Serif CJK SC"/>
          <w:b/>
        </w:rPr>
        <w:t>1. 个人技术基础和项目经验</w:t>
      </w:r>
    </w:p>
    <w:p w14:paraId="07F10B45">
      <w:pPr>
        <w:pStyle w:val="166"/>
        <w:keepNext/>
        <w:keepLines/>
      </w:pPr>
      <w:r>
        <w:rPr>
          <w:rFonts w:ascii="Times New Roman" w:hAnsi="Times New Roman" w:eastAsia="宋体" w:cs="Noto Serif CJK SC"/>
        </w:rPr>
        <w:t>1.1 三国受访者教育背景画像</w:t>
      </w:r>
    </w:p>
    <w:p w14:paraId="6389D5CC">
      <w:pPr>
        <w:pStyle w:val="167"/>
      </w:pPr>
      <w:r>
        <w:rPr>
          <w:rFonts w:ascii="Times New Roman" w:hAnsi="Times New Roman" w:eastAsia="仿宋" w:cs="Noto Serif CJK SC"/>
        </w:rPr>
        <w:t>根据采访与问卷信息总结，中国受访学生均在国内完成完整基础教育，编程相关启蒙仅依靠高中课外拓展课程，在校常规教学中缺少系统性工程实操训练，本科阶段专业选择多受行业热门趋势、就业前景等外部社会因素驱动，在校参与的项目实践多为标准化课程作业与网页开发类简易实训，仅有少数学生拥有硬件焊接、控制逻辑开发类完整工程实操经历。问卷群体中近九成学生年龄集中在 18 至 22 岁，全部无海外学习经历，三分之二群体更倾向遵循教师指导、按固定流程完成学习任务。</w:t>
      </w:r>
    </w:p>
    <w:p w14:paraId="201109EB">
      <w:pPr>
        <w:pStyle w:val="167"/>
      </w:pPr>
      <w:r>
        <w:rPr>
          <w:rFonts w:ascii="Times New Roman" w:hAnsi="Times New Roman" w:eastAsia="仿宋" w:cs="Noto Serif CJK SC"/>
        </w:rPr>
        <w:t>西班牙学生自技术高中阶段即可接触标准化编程、信息安全类课程，编程启蒙早于其余两国学生，部分学生在校期间拥有海外工科项目参与经历，大学阶段专业分为软件工程、计算机与管理学交叉方向、人工智能算法研究三类，不同授课教师的教学风格差异明显，学习偏好分布均匀无明显偏向。问卷样本全部为 18 至 22 岁工程类专业学生，无海外求学经历，半数学生基础教育阶段依托线上课程完成知识学习。</w:t>
      </w:r>
    </w:p>
    <w:p w14:paraId="4910B1D4">
      <w:pPr>
        <w:pStyle w:val="167"/>
      </w:pPr>
      <w:r>
        <w:rPr>
          <w:rFonts w:ascii="Times New Roman" w:hAnsi="Times New Roman" w:eastAsia="仿宋" w:cs="Noto Serif CJK SC"/>
        </w:rPr>
        <w:t>巴西受访学生的基础教育阶段普遍缺失工程、科技类系统化教学，课堂以教师单向讲授为主，在校阶段几乎没有动手实训机会，学生的实操能力大多来源于野外水文勘测等课外一线工作场景，受地区经济水平限制，无人机等高端工程设备对普通学生而言存在较高接触门槛。问卷样本近七成年龄超过 25 岁，工程类专业占比刚过半数，超六成学生从未拥有海外学习经历，超过半数群体明确偏好项目驱动、边做边学的实践型学习模式。</w:t>
      </w:r>
    </w:p>
    <w:p w14:paraId="0D12CBB5">
      <w:pPr>
        <w:pStyle w:val="165"/>
        <w:keepNext/>
        <w:keepLines/>
      </w:pPr>
      <w:r>
        <w:rPr>
          <w:rFonts w:ascii="Times New Roman" w:hAnsi="Times New Roman" w:eastAsia="宋体" w:cs="Noto Serif CJK SC"/>
          <w:b/>
        </w:rPr>
        <w:t>2. 基础教育阶段的实践经历</w:t>
      </w:r>
    </w:p>
    <w:p w14:paraId="52FAB052">
      <w:pPr>
        <w:pStyle w:val="166"/>
        <w:keepNext/>
        <w:keepLines/>
      </w:pPr>
      <w:r>
        <w:rPr>
          <w:rFonts w:ascii="Times New Roman" w:hAnsi="Times New Roman" w:eastAsia="宋体" w:cs="Noto Serif CJK SC"/>
        </w:rPr>
        <w:t>2.1 中小学教学方式：单向讲授普及度高，互动实践教学供给不足</w:t>
      </w:r>
    </w:p>
    <w:p w14:paraId="6C277966">
      <w:pPr>
        <w:pStyle w:val="167"/>
        <w:keepNext/>
        <w:spacing w:before="100" w:after="60"/>
        <w:jc w:val="center"/>
      </w:pPr>
      <w:r>
        <w:rPr>
          <w:rFonts w:ascii="Times New Roman" w:hAnsi="Times New Roman" w:eastAsia="仿宋" w:cs="Noto Serif CJK SC"/>
          <w:sz w:val="21"/>
        </w:rPr>
        <w:t>表3 不同教学方式在各国及总体的占比表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26B1B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0F95A63A">
            <w:pPr>
              <w:pStyle w:val="167"/>
              <w:spacing w:before="0" w:after="0" w:line="240" w:lineRule="auto"/>
              <w:jc w:val="center"/>
            </w:pPr>
            <w:r>
              <w:rPr>
                <w:rFonts w:ascii="Times New Roman" w:hAnsi="Times New Roman" w:eastAsia="宋体" w:cs="Noto Serif CJK SC"/>
                <w:b/>
                <w:sz w:val="20"/>
              </w:rPr>
              <w:t>教学方式</w:t>
            </w:r>
          </w:p>
        </w:tc>
        <w:tc>
          <w:tcPr>
            <w:tcW w:w="1836" w:type="dxa"/>
            <w:tcMar>
              <w:top w:w="70" w:type="dxa"/>
              <w:left w:w="70" w:type="dxa"/>
              <w:bottom w:w="70" w:type="dxa"/>
              <w:right w:w="70" w:type="dxa"/>
            </w:tcMar>
            <w:vAlign w:val="center"/>
          </w:tcPr>
          <w:p w14:paraId="00D23FA0">
            <w:pPr>
              <w:pStyle w:val="167"/>
              <w:spacing w:before="0" w:after="0" w:line="240" w:lineRule="auto"/>
              <w:jc w:val="center"/>
            </w:pPr>
            <w:r>
              <w:rPr>
                <w:rFonts w:ascii="Times New Roman" w:hAnsi="Times New Roman" w:eastAsia="宋体" w:cs="Noto Serif CJK SC"/>
                <w:b/>
                <w:sz w:val="20"/>
              </w:rPr>
              <w:t>中国（占比）</w:t>
            </w:r>
          </w:p>
        </w:tc>
        <w:tc>
          <w:tcPr>
            <w:tcW w:w="1836" w:type="dxa"/>
            <w:tcMar>
              <w:top w:w="70" w:type="dxa"/>
              <w:left w:w="70" w:type="dxa"/>
              <w:bottom w:w="70" w:type="dxa"/>
              <w:right w:w="70" w:type="dxa"/>
            </w:tcMar>
            <w:vAlign w:val="center"/>
          </w:tcPr>
          <w:p w14:paraId="0B81ED2D">
            <w:pPr>
              <w:pStyle w:val="167"/>
              <w:spacing w:before="0" w:after="0" w:line="240" w:lineRule="auto"/>
              <w:jc w:val="center"/>
            </w:pPr>
            <w:r>
              <w:rPr>
                <w:rFonts w:ascii="Times New Roman" w:hAnsi="Times New Roman" w:eastAsia="宋体" w:cs="Noto Serif CJK SC"/>
                <w:b/>
                <w:sz w:val="20"/>
              </w:rPr>
              <w:t>西班牙（占比）</w:t>
            </w:r>
          </w:p>
        </w:tc>
        <w:tc>
          <w:tcPr>
            <w:tcW w:w="1836" w:type="dxa"/>
            <w:tcMar>
              <w:top w:w="70" w:type="dxa"/>
              <w:left w:w="70" w:type="dxa"/>
              <w:bottom w:w="70" w:type="dxa"/>
              <w:right w:w="70" w:type="dxa"/>
            </w:tcMar>
            <w:vAlign w:val="center"/>
          </w:tcPr>
          <w:p w14:paraId="469317A3">
            <w:pPr>
              <w:pStyle w:val="167"/>
              <w:spacing w:before="0" w:after="0" w:line="240" w:lineRule="auto"/>
              <w:jc w:val="center"/>
            </w:pPr>
            <w:r>
              <w:rPr>
                <w:rFonts w:ascii="Times New Roman" w:hAnsi="Times New Roman" w:eastAsia="宋体" w:cs="Noto Serif CJK SC"/>
                <w:b/>
                <w:sz w:val="20"/>
              </w:rPr>
              <w:t>巴西（占比）</w:t>
            </w:r>
          </w:p>
        </w:tc>
        <w:tc>
          <w:tcPr>
            <w:tcW w:w="1836" w:type="dxa"/>
            <w:tcMar>
              <w:top w:w="70" w:type="dxa"/>
              <w:left w:w="70" w:type="dxa"/>
              <w:bottom w:w="70" w:type="dxa"/>
              <w:right w:w="70" w:type="dxa"/>
            </w:tcMar>
            <w:vAlign w:val="center"/>
          </w:tcPr>
          <w:p w14:paraId="0A1AA117">
            <w:pPr>
              <w:pStyle w:val="167"/>
              <w:spacing w:before="0" w:after="0" w:line="240" w:lineRule="auto"/>
              <w:jc w:val="center"/>
            </w:pPr>
            <w:r>
              <w:rPr>
                <w:rFonts w:ascii="Times New Roman" w:hAnsi="Times New Roman" w:eastAsia="宋体" w:cs="Noto Serif CJK SC"/>
                <w:b/>
                <w:sz w:val="20"/>
              </w:rPr>
              <w:t>总体（占比）</w:t>
            </w:r>
          </w:p>
        </w:tc>
      </w:tr>
      <w:tr w14:paraId="69736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ABA0B59">
            <w:pPr>
              <w:pStyle w:val="167"/>
              <w:spacing w:before="0" w:after="0" w:line="240" w:lineRule="auto"/>
              <w:jc w:val="center"/>
            </w:pPr>
            <w:r>
              <w:rPr>
                <w:rFonts w:ascii="Times New Roman" w:hAnsi="Times New Roman" w:eastAsia="仿宋" w:cs="Noto Serif CJK SC"/>
                <w:b w:val="0"/>
                <w:sz w:val="20"/>
              </w:rPr>
              <w:t>老师讲授为主，被动听讲</w:t>
            </w:r>
          </w:p>
        </w:tc>
        <w:tc>
          <w:tcPr>
            <w:tcW w:w="1836" w:type="dxa"/>
            <w:tcMar>
              <w:top w:w="70" w:type="dxa"/>
              <w:left w:w="70" w:type="dxa"/>
              <w:bottom w:w="70" w:type="dxa"/>
              <w:right w:w="70" w:type="dxa"/>
            </w:tcMar>
            <w:vAlign w:val="center"/>
          </w:tcPr>
          <w:p w14:paraId="1DCBA27F">
            <w:pPr>
              <w:pStyle w:val="167"/>
              <w:spacing w:before="0" w:after="0" w:line="240" w:lineRule="auto"/>
              <w:jc w:val="center"/>
            </w:pPr>
            <w:r>
              <w:rPr>
                <w:rFonts w:ascii="Times New Roman" w:hAnsi="Times New Roman" w:eastAsia="仿宋" w:cs="Noto Serif CJK SC"/>
                <w:b w:val="0"/>
                <w:sz w:val="20"/>
              </w:rPr>
              <w:t>100.0%</w:t>
            </w:r>
          </w:p>
        </w:tc>
        <w:tc>
          <w:tcPr>
            <w:tcW w:w="1836" w:type="dxa"/>
            <w:tcMar>
              <w:top w:w="70" w:type="dxa"/>
              <w:left w:w="70" w:type="dxa"/>
              <w:bottom w:w="70" w:type="dxa"/>
              <w:right w:w="70" w:type="dxa"/>
            </w:tcMar>
            <w:vAlign w:val="center"/>
          </w:tcPr>
          <w:p w14:paraId="77ECBC57">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70EC7402">
            <w:pPr>
              <w:pStyle w:val="167"/>
              <w:spacing w:before="0" w:after="0" w:line="240" w:lineRule="auto"/>
              <w:jc w:val="center"/>
            </w:pPr>
            <w:r>
              <w:rPr>
                <w:rFonts w:ascii="Times New Roman" w:hAnsi="Times New Roman" w:eastAsia="仿宋" w:cs="Noto Serif CJK SC"/>
                <w:b w:val="0"/>
                <w:sz w:val="20"/>
              </w:rPr>
              <w:t>68.4%</w:t>
            </w:r>
          </w:p>
        </w:tc>
        <w:tc>
          <w:tcPr>
            <w:tcW w:w="1836" w:type="dxa"/>
            <w:tcMar>
              <w:top w:w="70" w:type="dxa"/>
              <w:left w:w="70" w:type="dxa"/>
              <w:bottom w:w="70" w:type="dxa"/>
              <w:right w:w="70" w:type="dxa"/>
            </w:tcMar>
            <w:vAlign w:val="center"/>
          </w:tcPr>
          <w:p w14:paraId="5566EF0C">
            <w:pPr>
              <w:pStyle w:val="167"/>
              <w:spacing w:before="0" w:after="0" w:line="240" w:lineRule="auto"/>
              <w:jc w:val="center"/>
            </w:pPr>
            <w:r>
              <w:rPr>
                <w:rFonts w:ascii="Times New Roman" w:hAnsi="Times New Roman" w:eastAsia="仿宋" w:cs="Noto Serif CJK SC"/>
                <w:b w:val="0"/>
                <w:sz w:val="20"/>
              </w:rPr>
              <w:t>75.0%</w:t>
            </w:r>
          </w:p>
        </w:tc>
      </w:tr>
      <w:tr w14:paraId="292BD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9EF7166">
            <w:pPr>
              <w:pStyle w:val="167"/>
              <w:spacing w:before="0" w:after="0" w:line="240" w:lineRule="auto"/>
              <w:jc w:val="center"/>
            </w:pPr>
            <w:r>
              <w:rPr>
                <w:rFonts w:ascii="Times New Roman" w:hAnsi="Times New Roman" w:eastAsia="仿宋" w:cs="Noto Serif CJK SC"/>
                <w:b w:val="0"/>
                <w:sz w:val="20"/>
              </w:rPr>
              <w:t>师生互动/课堂讨论</w:t>
            </w:r>
          </w:p>
        </w:tc>
        <w:tc>
          <w:tcPr>
            <w:tcW w:w="1836" w:type="dxa"/>
            <w:tcMar>
              <w:top w:w="70" w:type="dxa"/>
              <w:left w:w="70" w:type="dxa"/>
              <w:bottom w:w="70" w:type="dxa"/>
              <w:right w:w="70" w:type="dxa"/>
            </w:tcMar>
            <w:vAlign w:val="center"/>
          </w:tcPr>
          <w:p w14:paraId="1F885C3D">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58DB1F31">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CF3B46E">
            <w:pPr>
              <w:pStyle w:val="167"/>
              <w:spacing w:before="0" w:after="0" w:line="240" w:lineRule="auto"/>
              <w:jc w:val="center"/>
            </w:pPr>
            <w:r>
              <w:rPr>
                <w:rFonts w:ascii="Times New Roman" w:hAnsi="Times New Roman" w:eastAsia="仿宋" w:cs="Noto Serif CJK SC"/>
                <w:b w:val="0"/>
                <w:sz w:val="20"/>
              </w:rPr>
              <w:t>5.3%</w:t>
            </w:r>
          </w:p>
        </w:tc>
        <w:tc>
          <w:tcPr>
            <w:tcW w:w="1836" w:type="dxa"/>
            <w:tcMar>
              <w:top w:w="70" w:type="dxa"/>
              <w:left w:w="70" w:type="dxa"/>
              <w:bottom w:w="70" w:type="dxa"/>
              <w:right w:w="70" w:type="dxa"/>
            </w:tcMar>
            <w:vAlign w:val="center"/>
          </w:tcPr>
          <w:p w14:paraId="5C7155F1">
            <w:pPr>
              <w:pStyle w:val="167"/>
              <w:spacing w:before="0" w:after="0" w:line="240" w:lineRule="auto"/>
              <w:jc w:val="center"/>
            </w:pPr>
            <w:r>
              <w:rPr>
                <w:rFonts w:ascii="Times New Roman" w:hAnsi="Times New Roman" w:eastAsia="仿宋" w:cs="Noto Serif CJK SC"/>
                <w:b w:val="0"/>
                <w:sz w:val="20"/>
              </w:rPr>
              <w:t>3.1%</w:t>
            </w:r>
          </w:p>
        </w:tc>
      </w:tr>
      <w:tr w14:paraId="11A33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7ED0140">
            <w:pPr>
              <w:pStyle w:val="167"/>
              <w:spacing w:before="0" w:after="0" w:line="240" w:lineRule="auto"/>
              <w:jc w:val="center"/>
            </w:pPr>
            <w:r>
              <w:rPr>
                <w:rFonts w:ascii="Times New Roman" w:hAnsi="Times New Roman" w:eastAsia="仿宋" w:cs="Noto Serif CJK SC"/>
                <w:b w:val="0"/>
                <w:sz w:val="20"/>
              </w:rPr>
              <w:t>项目式/动手实践</w:t>
            </w:r>
          </w:p>
        </w:tc>
        <w:tc>
          <w:tcPr>
            <w:tcW w:w="1836" w:type="dxa"/>
            <w:tcMar>
              <w:top w:w="70" w:type="dxa"/>
              <w:left w:w="70" w:type="dxa"/>
              <w:bottom w:w="70" w:type="dxa"/>
              <w:right w:w="70" w:type="dxa"/>
            </w:tcMar>
            <w:vAlign w:val="center"/>
          </w:tcPr>
          <w:p w14:paraId="1D994D68">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72FD1D20">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51C66F76">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45425EED">
            <w:pPr>
              <w:pStyle w:val="167"/>
              <w:spacing w:before="0" w:after="0" w:line="240" w:lineRule="auto"/>
              <w:jc w:val="center"/>
            </w:pPr>
            <w:r>
              <w:rPr>
                <w:rFonts w:ascii="Times New Roman" w:hAnsi="Times New Roman" w:eastAsia="仿宋" w:cs="Noto Serif CJK SC"/>
                <w:b w:val="0"/>
                <w:sz w:val="20"/>
              </w:rPr>
              <w:t>6.2%</w:t>
            </w:r>
          </w:p>
        </w:tc>
      </w:tr>
      <w:tr w14:paraId="59992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21FE25E1">
            <w:pPr>
              <w:pStyle w:val="167"/>
              <w:spacing w:before="0" w:after="0" w:line="240" w:lineRule="auto"/>
              <w:jc w:val="center"/>
            </w:pPr>
            <w:r>
              <w:rPr>
                <w:rFonts w:ascii="Times New Roman" w:hAnsi="Times New Roman" w:eastAsia="仿宋" w:cs="Noto Serif CJK SC"/>
                <w:b w:val="0"/>
                <w:sz w:val="20"/>
              </w:rPr>
              <w:t>线上学习为主</w:t>
            </w:r>
          </w:p>
        </w:tc>
        <w:tc>
          <w:tcPr>
            <w:tcW w:w="1836" w:type="dxa"/>
            <w:tcMar>
              <w:top w:w="70" w:type="dxa"/>
              <w:left w:w="70" w:type="dxa"/>
              <w:bottom w:w="70" w:type="dxa"/>
              <w:right w:w="70" w:type="dxa"/>
            </w:tcMar>
            <w:vAlign w:val="center"/>
          </w:tcPr>
          <w:p w14:paraId="0A44B203">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681A37E1">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0F95DE7F">
            <w:pPr>
              <w:pStyle w:val="167"/>
              <w:spacing w:before="0" w:after="0" w:line="240" w:lineRule="auto"/>
              <w:jc w:val="center"/>
            </w:pPr>
            <w:r>
              <w:rPr>
                <w:rFonts w:ascii="Times New Roman" w:hAnsi="Times New Roman" w:eastAsia="仿宋" w:cs="Noto Serif CJK SC"/>
                <w:b w:val="0"/>
                <w:sz w:val="20"/>
              </w:rPr>
              <w:t>15.8%</w:t>
            </w:r>
          </w:p>
        </w:tc>
        <w:tc>
          <w:tcPr>
            <w:tcW w:w="1836" w:type="dxa"/>
            <w:tcMar>
              <w:top w:w="70" w:type="dxa"/>
              <w:left w:w="70" w:type="dxa"/>
              <w:bottom w:w="70" w:type="dxa"/>
              <w:right w:w="70" w:type="dxa"/>
            </w:tcMar>
            <w:vAlign w:val="center"/>
          </w:tcPr>
          <w:p w14:paraId="3745A185">
            <w:pPr>
              <w:pStyle w:val="167"/>
              <w:spacing w:before="0" w:after="0" w:line="240" w:lineRule="auto"/>
              <w:jc w:val="center"/>
            </w:pPr>
            <w:r>
              <w:rPr>
                <w:rFonts w:ascii="Times New Roman" w:hAnsi="Times New Roman" w:eastAsia="仿宋" w:cs="Noto Serif CJK SC"/>
                <w:b w:val="0"/>
                <w:sz w:val="20"/>
              </w:rPr>
              <w:t>15.6%</w:t>
            </w:r>
          </w:p>
        </w:tc>
      </w:tr>
    </w:tbl>
    <w:p w14:paraId="1D3E43C3">
      <w:pPr>
        <w:pStyle w:val="167"/>
      </w:pPr>
      <w:r>
        <w:rPr>
          <w:rFonts w:ascii="Times New Roman" w:hAnsi="Times New Roman" w:eastAsia="仿宋" w:cs="Noto Serif CJK SC"/>
        </w:rPr>
        <w:t>由表可知，三国中小学教育均以"讲授式"为主导（总体75%），中国100%为讲授式，是所有群体中单一教学模式占比最高的。项目式学习和课堂讨论在三国基础教育中均属边缘实践（分别仅占6.25%和3.12%）。西班牙50%选择"线上学习为主"值得注意，可能与疫情或特定学校模式有关。</w:t>
      </w:r>
    </w:p>
    <w:p w14:paraId="1E717D47">
      <w:pPr>
        <w:pStyle w:val="166"/>
        <w:keepNext/>
        <w:keepLines/>
      </w:pPr>
      <w:r>
        <w:rPr>
          <w:rFonts w:ascii="Times New Roman" w:hAnsi="Times New Roman" w:eastAsia="宋体" w:cs="Noto Serif CJK SC"/>
        </w:rPr>
        <w:t>2.2 三国中小学能力培养结构对比：应试导向突出，团队协作教育缺位</w:t>
      </w:r>
    </w:p>
    <w:p w14:paraId="3081AEDE">
      <w:pPr>
        <w:pStyle w:val="167"/>
        <w:keepNext/>
        <w:spacing w:before="100" w:after="60"/>
        <w:jc w:val="center"/>
      </w:pPr>
      <w:r>
        <w:rPr>
          <w:rFonts w:ascii="Times New Roman" w:hAnsi="Times New Roman" w:eastAsia="仿宋" w:cs="Noto Serif CJK SC"/>
          <w:sz w:val="21"/>
        </w:rPr>
        <w:t>表4 不同国家各项能力占比表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47E29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3F55C843">
            <w:pPr>
              <w:pStyle w:val="167"/>
              <w:spacing w:before="0" w:after="0" w:line="240" w:lineRule="auto"/>
              <w:jc w:val="center"/>
            </w:pPr>
            <w:r>
              <w:rPr>
                <w:rFonts w:ascii="Times New Roman" w:hAnsi="Times New Roman" w:eastAsia="宋体" w:cs="Noto Serif CJK SC"/>
                <w:b/>
                <w:sz w:val="20"/>
              </w:rPr>
              <w:t>能力</w:t>
            </w:r>
          </w:p>
        </w:tc>
        <w:tc>
          <w:tcPr>
            <w:tcW w:w="1836" w:type="dxa"/>
            <w:tcMar>
              <w:top w:w="70" w:type="dxa"/>
              <w:left w:w="70" w:type="dxa"/>
              <w:bottom w:w="70" w:type="dxa"/>
              <w:right w:w="70" w:type="dxa"/>
            </w:tcMar>
            <w:vAlign w:val="center"/>
          </w:tcPr>
          <w:p w14:paraId="0E80BFE9">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6B84709E">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163C888B">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1A3A58AB">
            <w:pPr>
              <w:pStyle w:val="167"/>
              <w:spacing w:before="0" w:after="0" w:line="240" w:lineRule="auto"/>
              <w:jc w:val="center"/>
            </w:pPr>
            <w:r>
              <w:rPr>
                <w:rFonts w:ascii="Times New Roman" w:hAnsi="Times New Roman" w:eastAsia="宋体" w:cs="Noto Serif CJK SC"/>
                <w:b/>
                <w:sz w:val="20"/>
              </w:rPr>
              <w:t>总体</w:t>
            </w:r>
          </w:p>
        </w:tc>
      </w:tr>
      <w:tr w14:paraId="2542C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11852B7">
            <w:pPr>
              <w:pStyle w:val="167"/>
              <w:spacing w:before="0" w:after="0" w:line="240" w:lineRule="auto"/>
              <w:jc w:val="center"/>
            </w:pPr>
            <w:r>
              <w:rPr>
                <w:rFonts w:ascii="Times New Roman" w:hAnsi="Times New Roman" w:eastAsia="仿宋" w:cs="Noto Serif CJK SC"/>
                <w:b w:val="0"/>
                <w:sz w:val="20"/>
              </w:rPr>
              <w:t>记忆和背诵能力</w:t>
            </w:r>
          </w:p>
        </w:tc>
        <w:tc>
          <w:tcPr>
            <w:tcW w:w="1836" w:type="dxa"/>
            <w:tcMar>
              <w:top w:w="70" w:type="dxa"/>
              <w:left w:w="70" w:type="dxa"/>
              <w:bottom w:w="70" w:type="dxa"/>
              <w:right w:w="70" w:type="dxa"/>
            </w:tcMar>
            <w:vAlign w:val="center"/>
          </w:tcPr>
          <w:p w14:paraId="58C4F36F">
            <w:pPr>
              <w:pStyle w:val="167"/>
              <w:spacing w:before="0" w:after="0" w:line="240" w:lineRule="auto"/>
              <w:jc w:val="center"/>
            </w:pPr>
            <w:r>
              <w:rPr>
                <w:rFonts w:ascii="Times New Roman" w:hAnsi="Times New Roman" w:eastAsia="仿宋" w:cs="Noto Serif CJK SC"/>
                <w:b w:val="0"/>
                <w:sz w:val="20"/>
              </w:rPr>
              <w:t>77.8%</w:t>
            </w:r>
          </w:p>
        </w:tc>
        <w:tc>
          <w:tcPr>
            <w:tcW w:w="1836" w:type="dxa"/>
            <w:tcMar>
              <w:top w:w="70" w:type="dxa"/>
              <w:left w:w="70" w:type="dxa"/>
              <w:bottom w:w="70" w:type="dxa"/>
              <w:right w:w="70" w:type="dxa"/>
            </w:tcMar>
            <w:vAlign w:val="center"/>
          </w:tcPr>
          <w:p w14:paraId="0A1F18C7">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2E768412">
            <w:pPr>
              <w:pStyle w:val="167"/>
              <w:spacing w:before="0" w:after="0" w:line="240" w:lineRule="auto"/>
              <w:jc w:val="center"/>
            </w:pPr>
            <w:r>
              <w:rPr>
                <w:rFonts w:ascii="Times New Roman" w:hAnsi="Times New Roman" w:eastAsia="仿宋" w:cs="Noto Serif CJK SC"/>
                <w:b w:val="0"/>
                <w:sz w:val="20"/>
              </w:rPr>
              <w:t>63.2%</w:t>
            </w:r>
          </w:p>
        </w:tc>
        <w:tc>
          <w:tcPr>
            <w:tcW w:w="1836" w:type="dxa"/>
            <w:tcMar>
              <w:top w:w="70" w:type="dxa"/>
              <w:left w:w="70" w:type="dxa"/>
              <w:bottom w:w="70" w:type="dxa"/>
              <w:right w:w="70" w:type="dxa"/>
            </w:tcMar>
            <w:vAlign w:val="center"/>
          </w:tcPr>
          <w:p w14:paraId="2C332531">
            <w:pPr>
              <w:pStyle w:val="167"/>
              <w:spacing w:before="0" w:after="0" w:line="240" w:lineRule="auto"/>
              <w:jc w:val="center"/>
            </w:pPr>
            <w:r>
              <w:rPr>
                <w:rFonts w:ascii="Times New Roman" w:hAnsi="Times New Roman" w:eastAsia="仿宋" w:cs="Noto Serif CJK SC"/>
                <w:b w:val="0"/>
                <w:sz w:val="20"/>
              </w:rPr>
              <w:t>65.6%</w:t>
            </w:r>
          </w:p>
        </w:tc>
      </w:tr>
      <w:tr w14:paraId="23EE7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36D2D12">
            <w:pPr>
              <w:pStyle w:val="167"/>
              <w:spacing w:before="0" w:after="0" w:line="240" w:lineRule="auto"/>
              <w:jc w:val="center"/>
            </w:pPr>
            <w:r>
              <w:rPr>
                <w:rFonts w:ascii="Times New Roman" w:hAnsi="Times New Roman" w:eastAsia="仿宋" w:cs="Noto Serif CJK SC"/>
                <w:b w:val="0"/>
                <w:sz w:val="20"/>
              </w:rPr>
              <w:t>逻辑推理与解题能力</w:t>
            </w:r>
          </w:p>
        </w:tc>
        <w:tc>
          <w:tcPr>
            <w:tcW w:w="1836" w:type="dxa"/>
            <w:tcMar>
              <w:top w:w="70" w:type="dxa"/>
              <w:left w:w="70" w:type="dxa"/>
              <w:bottom w:w="70" w:type="dxa"/>
              <w:right w:w="70" w:type="dxa"/>
            </w:tcMar>
            <w:vAlign w:val="center"/>
          </w:tcPr>
          <w:p w14:paraId="59944227">
            <w:pPr>
              <w:pStyle w:val="167"/>
              <w:spacing w:before="0" w:after="0" w:line="240" w:lineRule="auto"/>
              <w:jc w:val="center"/>
            </w:pPr>
            <w:r>
              <w:rPr>
                <w:rFonts w:ascii="Times New Roman" w:hAnsi="Times New Roman" w:eastAsia="仿宋" w:cs="Noto Serif CJK SC"/>
                <w:b w:val="0"/>
                <w:sz w:val="20"/>
              </w:rPr>
              <w:t>88.9%</w:t>
            </w:r>
          </w:p>
        </w:tc>
        <w:tc>
          <w:tcPr>
            <w:tcW w:w="1836" w:type="dxa"/>
            <w:tcMar>
              <w:top w:w="70" w:type="dxa"/>
              <w:left w:w="70" w:type="dxa"/>
              <w:bottom w:w="70" w:type="dxa"/>
              <w:right w:w="70" w:type="dxa"/>
            </w:tcMar>
            <w:vAlign w:val="center"/>
          </w:tcPr>
          <w:p w14:paraId="3B678254">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38F8DAF8">
            <w:pPr>
              <w:pStyle w:val="167"/>
              <w:spacing w:before="0" w:after="0" w:line="240" w:lineRule="auto"/>
              <w:jc w:val="center"/>
            </w:pPr>
            <w:r>
              <w:rPr>
                <w:rFonts w:ascii="Times New Roman" w:hAnsi="Times New Roman" w:eastAsia="仿宋" w:cs="Noto Serif CJK SC"/>
                <w:b w:val="0"/>
                <w:sz w:val="20"/>
              </w:rPr>
              <w:t>57.9%</w:t>
            </w:r>
          </w:p>
        </w:tc>
        <w:tc>
          <w:tcPr>
            <w:tcW w:w="1836" w:type="dxa"/>
            <w:tcMar>
              <w:top w:w="70" w:type="dxa"/>
              <w:left w:w="70" w:type="dxa"/>
              <w:bottom w:w="70" w:type="dxa"/>
              <w:right w:w="70" w:type="dxa"/>
            </w:tcMar>
            <w:vAlign w:val="center"/>
          </w:tcPr>
          <w:p w14:paraId="7F4C9279">
            <w:pPr>
              <w:pStyle w:val="167"/>
              <w:spacing w:before="0" w:after="0" w:line="240" w:lineRule="auto"/>
              <w:jc w:val="center"/>
            </w:pPr>
            <w:r>
              <w:rPr>
                <w:rFonts w:ascii="Times New Roman" w:hAnsi="Times New Roman" w:eastAsia="仿宋" w:cs="Noto Serif CJK SC"/>
                <w:b w:val="0"/>
                <w:sz w:val="20"/>
              </w:rPr>
              <w:t>62.5%</w:t>
            </w:r>
          </w:p>
        </w:tc>
      </w:tr>
      <w:tr w14:paraId="09F26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61BF8BA2">
            <w:pPr>
              <w:pStyle w:val="167"/>
              <w:spacing w:before="0" w:after="0" w:line="240" w:lineRule="auto"/>
              <w:jc w:val="center"/>
            </w:pPr>
            <w:r>
              <w:rPr>
                <w:rFonts w:ascii="Times New Roman" w:hAnsi="Times New Roman" w:eastAsia="仿宋" w:cs="Noto Serif CJK SC"/>
                <w:b w:val="0"/>
                <w:sz w:val="20"/>
              </w:rPr>
              <w:t>批判性思维与独立表达</w:t>
            </w:r>
          </w:p>
        </w:tc>
        <w:tc>
          <w:tcPr>
            <w:tcW w:w="1836" w:type="dxa"/>
            <w:tcMar>
              <w:top w:w="70" w:type="dxa"/>
              <w:left w:w="70" w:type="dxa"/>
              <w:bottom w:w="70" w:type="dxa"/>
              <w:right w:w="70" w:type="dxa"/>
            </w:tcMar>
            <w:vAlign w:val="center"/>
          </w:tcPr>
          <w:p w14:paraId="5FB6A76B">
            <w:pPr>
              <w:pStyle w:val="167"/>
              <w:spacing w:before="0" w:after="0" w:line="240" w:lineRule="auto"/>
              <w:jc w:val="center"/>
            </w:pPr>
            <w:r>
              <w:rPr>
                <w:rFonts w:ascii="Times New Roman" w:hAnsi="Times New Roman" w:eastAsia="仿宋" w:cs="Noto Serif CJK SC"/>
                <w:b w:val="0"/>
                <w:sz w:val="20"/>
              </w:rPr>
              <w:t>11.1%</w:t>
            </w:r>
          </w:p>
        </w:tc>
        <w:tc>
          <w:tcPr>
            <w:tcW w:w="1836" w:type="dxa"/>
            <w:tcMar>
              <w:top w:w="70" w:type="dxa"/>
              <w:left w:w="70" w:type="dxa"/>
              <w:bottom w:w="70" w:type="dxa"/>
              <w:right w:w="70" w:type="dxa"/>
            </w:tcMar>
            <w:vAlign w:val="center"/>
          </w:tcPr>
          <w:p w14:paraId="1BA6CA20">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5C33E19D">
            <w:pPr>
              <w:pStyle w:val="167"/>
              <w:spacing w:before="0" w:after="0" w:line="240" w:lineRule="auto"/>
              <w:jc w:val="center"/>
            </w:pPr>
            <w:r>
              <w:rPr>
                <w:rFonts w:ascii="Times New Roman" w:hAnsi="Times New Roman" w:eastAsia="仿宋" w:cs="Noto Serif CJK SC"/>
                <w:b w:val="0"/>
                <w:sz w:val="20"/>
              </w:rPr>
              <w:t>15.8%</w:t>
            </w:r>
          </w:p>
        </w:tc>
        <w:tc>
          <w:tcPr>
            <w:tcW w:w="1836" w:type="dxa"/>
            <w:tcMar>
              <w:top w:w="70" w:type="dxa"/>
              <w:left w:w="70" w:type="dxa"/>
              <w:bottom w:w="70" w:type="dxa"/>
              <w:right w:w="70" w:type="dxa"/>
            </w:tcMar>
            <w:vAlign w:val="center"/>
          </w:tcPr>
          <w:p w14:paraId="2A624A8B">
            <w:pPr>
              <w:pStyle w:val="167"/>
              <w:spacing w:before="0" w:after="0" w:line="240" w:lineRule="auto"/>
              <w:jc w:val="center"/>
            </w:pPr>
            <w:r>
              <w:rPr>
                <w:rFonts w:ascii="Times New Roman" w:hAnsi="Times New Roman" w:eastAsia="仿宋" w:cs="Noto Serif CJK SC"/>
                <w:b w:val="0"/>
                <w:sz w:val="20"/>
              </w:rPr>
              <w:t>18.8%</w:t>
            </w:r>
          </w:p>
        </w:tc>
      </w:tr>
      <w:tr w14:paraId="25E62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14517211">
            <w:pPr>
              <w:pStyle w:val="167"/>
              <w:spacing w:before="0" w:after="0" w:line="240" w:lineRule="auto"/>
              <w:jc w:val="center"/>
            </w:pPr>
            <w:r>
              <w:rPr>
                <w:rFonts w:ascii="Times New Roman" w:hAnsi="Times New Roman" w:eastAsia="仿宋" w:cs="Noto Serif CJK SC"/>
                <w:b w:val="0"/>
                <w:sz w:val="20"/>
              </w:rPr>
              <w:t>动手实践与创新能力</w:t>
            </w:r>
          </w:p>
        </w:tc>
        <w:tc>
          <w:tcPr>
            <w:tcW w:w="1836" w:type="dxa"/>
            <w:tcMar>
              <w:top w:w="70" w:type="dxa"/>
              <w:left w:w="70" w:type="dxa"/>
              <w:bottom w:w="70" w:type="dxa"/>
              <w:right w:w="70" w:type="dxa"/>
            </w:tcMar>
            <w:vAlign w:val="center"/>
          </w:tcPr>
          <w:p w14:paraId="2757CFF7">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5AE8752">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486F6CF7">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14AC1E0C">
            <w:pPr>
              <w:pStyle w:val="167"/>
              <w:spacing w:before="0" w:after="0" w:line="240" w:lineRule="auto"/>
              <w:jc w:val="center"/>
            </w:pPr>
            <w:r>
              <w:rPr>
                <w:rFonts w:ascii="Times New Roman" w:hAnsi="Times New Roman" w:eastAsia="仿宋" w:cs="Noto Serif CJK SC"/>
                <w:b w:val="0"/>
                <w:sz w:val="20"/>
              </w:rPr>
              <w:t>9.4%</w:t>
            </w:r>
          </w:p>
        </w:tc>
      </w:tr>
      <w:tr w14:paraId="22713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30C4035">
            <w:pPr>
              <w:pStyle w:val="167"/>
              <w:spacing w:before="0" w:after="0" w:line="240" w:lineRule="auto"/>
              <w:jc w:val="center"/>
            </w:pPr>
            <w:r>
              <w:rPr>
                <w:rFonts w:ascii="Times New Roman" w:hAnsi="Times New Roman" w:eastAsia="仿宋" w:cs="Noto Serif CJK SC"/>
                <w:b w:val="0"/>
                <w:sz w:val="20"/>
              </w:rPr>
              <w:t>团队协作与沟通能力</w:t>
            </w:r>
          </w:p>
        </w:tc>
        <w:tc>
          <w:tcPr>
            <w:tcW w:w="1836" w:type="dxa"/>
            <w:tcMar>
              <w:top w:w="70" w:type="dxa"/>
              <w:left w:w="70" w:type="dxa"/>
              <w:bottom w:w="70" w:type="dxa"/>
              <w:right w:w="70" w:type="dxa"/>
            </w:tcMar>
            <w:vAlign w:val="center"/>
          </w:tcPr>
          <w:p w14:paraId="091CF4B0">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4797FBD3">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9D5168B">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5E6E3C45">
            <w:pPr>
              <w:pStyle w:val="167"/>
              <w:spacing w:before="0" w:after="0" w:line="240" w:lineRule="auto"/>
              <w:jc w:val="center"/>
            </w:pPr>
            <w:r>
              <w:rPr>
                <w:rFonts w:ascii="Times New Roman" w:hAnsi="Times New Roman" w:eastAsia="仿宋" w:cs="Noto Serif CJK SC"/>
                <w:b w:val="0"/>
                <w:sz w:val="20"/>
              </w:rPr>
              <w:t>0.0%</w:t>
            </w:r>
          </w:p>
        </w:tc>
      </w:tr>
    </w:tbl>
    <w:p w14:paraId="75CFDF45">
      <w:pPr>
        <w:pStyle w:val="167"/>
      </w:pPr>
      <w:r>
        <w:rPr>
          <w:rFonts w:ascii="Times New Roman" w:hAnsi="Times New Roman" w:eastAsia="仿宋" w:cs="Noto Serif CJK SC"/>
        </w:rPr>
        <w:t>对于中国中小学重视能力而言，记忆（77.78%）和解题（88.89%）能力培养占比均为三国最高，且远高于批判性思维（11.11%）。这是典型的应试教育能力培养结构。西班牙50%选择批判性思维与独立表达能力，为三国最高，与其受访者S2"不同教授有不同偏好，部分鼓励提问"的描述一致。巴西重视能力中记忆（63.16%）和解题（57.89%）仍为主导，但批判性思维（15.79%）和动手实践（10.53%）已有一定存在感。</w:t>
      </w:r>
    </w:p>
    <w:p w14:paraId="23034848">
      <w:pPr>
        <w:pStyle w:val="167"/>
      </w:pPr>
      <w:r>
        <w:rPr>
          <w:rFonts w:ascii="Times New Roman" w:hAnsi="Times New Roman" w:eastAsia="仿宋" w:cs="Noto Serif CJK SC"/>
        </w:rPr>
        <w:t>同时，团队协作能力在三国基础教育中均为0%——这一发现极具冲击力：无论中国、西班牙还是巴西，中小学阶段均不系统培养团队协作能力。这意味着学生在进入大学或职场时，团队协作技能几乎完全依赖课外或自学。</w:t>
      </w:r>
    </w:p>
    <w:p w14:paraId="158D680C">
      <w:pPr>
        <w:pStyle w:val="166"/>
        <w:keepNext/>
        <w:keepLines/>
      </w:pPr>
      <w:r>
        <w:rPr>
          <w:rFonts w:ascii="Times New Roman" w:hAnsi="Times New Roman" w:eastAsia="宋体" w:cs="Noto Serif CJK SC"/>
        </w:rPr>
        <w:t>2.3 科技类课程地位：重视程度不均衡，区域资源差距明显</w:t>
      </w:r>
    </w:p>
    <w:p w14:paraId="1A73B08C">
      <w:pPr>
        <w:pStyle w:val="167"/>
        <w:keepNext/>
        <w:spacing w:before="100" w:after="60"/>
        <w:jc w:val="center"/>
      </w:pPr>
      <w:r>
        <w:rPr>
          <w:rFonts w:ascii="Times New Roman" w:hAnsi="Times New Roman" w:eastAsia="仿宋" w:cs="Noto Serif CJK SC"/>
          <w:sz w:val="21"/>
        </w:rPr>
        <w:t>表5 科技类课程地位占比情况表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42033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0B1CE0C7">
            <w:pPr>
              <w:pStyle w:val="167"/>
              <w:spacing w:before="0" w:after="0" w:line="240" w:lineRule="auto"/>
              <w:jc w:val="center"/>
            </w:pPr>
            <w:r>
              <w:rPr>
                <w:rFonts w:ascii="Times New Roman" w:hAnsi="Times New Roman" w:eastAsia="宋体" w:cs="Noto Serif CJK SC"/>
                <w:b/>
                <w:sz w:val="20"/>
              </w:rPr>
              <w:t>科技类课程地位</w:t>
            </w:r>
          </w:p>
        </w:tc>
        <w:tc>
          <w:tcPr>
            <w:tcW w:w="1836" w:type="dxa"/>
            <w:tcMar>
              <w:top w:w="70" w:type="dxa"/>
              <w:left w:w="70" w:type="dxa"/>
              <w:bottom w:w="70" w:type="dxa"/>
              <w:right w:w="70" w:type="dxa"/>
            </w:tcMar>
            <w:vAlign w:val="center"/>
          </w:tcPr>
          <w:p w14:paraId="1B161C7F">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73DDF8D7">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666D8BFE">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7A41306C">
            <w:pPr>
              <w:pStyle w:val="167"/>
              <w:spacing w:before="0" w:after="0" w:line="240" w:lineRule="auto"/>
              <w:jc w:val="center"/>
            </w:pPr>
            <w:r>
              <w:rPr>
                <w:rFonts w:ascii="Times New Roman" w:hAnsi="Times New Roman" w:eastAsia="宋体" w:cs="Noto Serif CJK SC"/>
                <w:b/>
                <w:sz w:val="20"/>
              </w:rPr>
              <w:t>总体</w:t>
            </w:r>
          </w:p>
        </w:tc>
      </w:tr>
      <w:tr w14:paraId="7A42C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1C2D761">
            <w:pPr>
              <w:pStyle w:val="167"/>
              <w:spacing w:before="0" w:after="0" w:line="240" w:lineRule="auto"/>
              <w:jc w:val="center"/>
            </w:pPr>
            <w:r>
              <w:rPr>
                <w:rFonts w:ascii="Times New Roman" w:hAnsi="Times New Roman" w:eastAsia="仿宋" w:cs="Noto Serif CJK SC"/>
                <w:b w:val="0"/>
                <w:sz w:val="20"/>
              </w:rPr>
              <w:t>主科，纳入核心考试</w:t>
            </w:r>
          </w:p>
        </w:tc>
        <w:tc>
          <w:tcPr>
            <w:tcW w:w="1836" w:type="dxa"/>
            <w:tcMar>
              <w:top w:w="70" w:type="dxa"/>
              <w:left w:w="70" w:type="dxa"/>
              <w:bottom w:w="70" w:type="dxa"/>
              <w:right w:w="70" w:type="dxa"/>
            </w:tcMar>
            <w:vAlign w:val="center"/>
          </w:tcPr>
          <w:p w14:paraId="6FDA8386">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61C5B62">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3349F0CF">
            <w:pPr>
              <w:pStyle w:val="167"/>
              <w:spacing w:before="0" w:after="0" w:line="240" w:lineRule="auto"/>
              <w:jc w:val="center"/>
            </w:pPr>
            <w:r>
              <w:rPr>
                <w:rFonts w:ascii="Times New Roman" w:hAnsi="Times New Roman" w:eastAsia="仿宋" w:cs="Noto Serif CJK SC"/>
                <w:b w:val="0"/>
                <w:sz w:val="20"/>
              </w:rPr>
              <w:t>42.1%</w:t>
            </w:r>
          </w:p>
        </w:tc>
        <w:tc>
          <w:tcPr>
            <w:tcW w:w="1836" w:type="dxa"/>
            <w:tcMar>
              <w:top w:w="70" w:type="dxa"/>
              <w:left w:w="70" w:type="dxa"/>
              <w:bottom w:w="70" w:type="dxa"/>
              <w:right w:w="70" w:type="dxa"/>
            </w:tcMar>
            <w:vAlign w:val="center"/>
          </w:tcPr>
          <w:p w14:paraId="5E15A3EE">
            <w:pPr>
              <w:pStyle w:val="167"/>
              <w:spacing w:before="0" w:after="0" w:line="240" w:lineRule="auto"/>
              <w:jc w:val="center"/>
            </w:pPr>
            <w:r>
              <w:rPr>
                <w:rFonts w:ascii="Times New Roman" w:hAnsi="Times New Roman" w:eastAsia="仿宋" w:cs="Noto Serif CJK SC"/>
                <w:b w:val="0"/>
                <w:sz w:val="20"/>
              </w:rPr>
              <w:t>31.3%</w:t>
            </w:r>
          </w:p>
        </w:tc>
      </w:tr>
      <w:tr w14:paraId="46F1B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3C669A26">
            <w:pPr>
              <w:pStyle w:val="167"/>
              <w:spacing w:before="0" w:after="0" w:line="240" w:lineRule="auto"/>
              <w:jc w:val="center"/>
            </w:pPr>
            <w:r>
              <w:rPr>
                <w:rFonts w:ascii="Times New Roman" w:hAnsi="Times New Roman" w:eastAsia="仿宋" w:cs="Noto Serif CJK SC"/>
                <w:b w:val="0"/>
                <w:sz w:val="20"/>
              </w:rPr>
              <w:t>副科，考试占比低</w:t>
            </w:r>
          </w:p>
        </w:tc>
        <w:tc>
          <w:tcPr>
            <w:tcW w:w="1836" w:type="dxa"/>
            <w:tcMar>
              <w:top w:w="70" w:type="dxa"/>
              <w:left w:w="70" w:type="dxa"/>
              <w:bottom w:w="70" w:type="dxa"/>
              <w:right w:w="70" w:type="dxa"/>
            </w:tcMar>
            <w:vAlign w:val="center"/>
          </w:tcPr>
          <w:p w14:paraId="12628579">
            <w:pPr>
              <w:pStyle w:val="167"/>
              <w:spacing w:before="0" w:after="0" w:line="240" w:lineRule="auto"/>
              <w:jc w:val="center"/>
            </w:pPr>
            <w:r>
              <w:rPr>
                <w:rFonts w:ascii="Times New Roman" w:hAnsi="Times New Roman" w:eastAsia="仿宋" w:cs="Noto Serif CJK SC"/>
                <w:b w:val="0"/>
                <w:sz w:val="20"/>
              </w:rPr>
              <w:t>88.9%</w:t>
            </w:r>
          </w:p>
        </w:tc>
        <w:tc>
          <w:tcPr>
            <w:tcW w:w="1836" w:type="dxa"/>
            <w:tcMar>
              <w:top w:w="70" w:type="dxa"/>
              <w:left w:w="70" w:type="dxa"/>
              <w:bottom w:w="70" w:type="dxa"/>
              <w:right w:w="70" w:type="dxa"/>
            </w:tcMar>
            <w:vAlign w:val="center"/>
          </w:tcPr>
          <w:p w14:paraId="2937E3EF">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6FE57FCF">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4713FF32">
            <w:pPr>
              <w:pStyle w:val="167"/>
              <w:spacing w:before="0" w:after="0" w:line="240" w:lineRule="auto"/>
              <w:jc w:val="center"/>
            </w:pPr>
            <w:r>
              <w:rPr>
                <w:rFonts w:ascii="Times New Roman" w:hAnsi="Times New Roman" w:eastAsia="仿宋" w:cs="Noto Serif CJK SC"/>
                <w:b w:val="0"/>
                <w:sz w:val="20"/>
              </w:rPr>
              <w:t>34.4%</w:t>
            </w:r>
          </w:p>
        </w:tc>
      </w:tr>
      <w:tr w14:paraId="07272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12854249">
            <w:pPr>
              <w:pStyle w:val="167"/>
              <w:spacing w:before="0" w:after="0" w:line="240" w:lineRule="auto"/>
              <w:jc w:val="center"/>
            </w:pPr>
            <w:r>
              <w:rPr>
                <w:rFonts w:ascii="Times New Roman" w:hAnsi="Times New Roman" w:eastAsia="仿宋" w:cs="Noto Serif CJK SC"/>
                <w:b w:val="0"/>
                <w:sz w:val="20"/>
              </w:rPr>
              <w:t>基本没有开设</w:t>
            </w:r>
          </w:p>
        </w:tc>
        <w:tc>
          <w:tcPr>
            <w:tcW w:w="1836" w:type="dxa"/>
            <w:tcMar>
              <w:top w:w="70" w:type="dxa"/>
              <w:left w:w="70" w:type="dxa"/>
              <w:bottom w:w="70" w:type="dxa"/>
              <w:right w:w="70" w:type="dxa"/>
            </w:tcMar>
            <w:vAlign w:val="center"/>
          </w:tcPr>
          <w:p w14:paraId="3CF37745">
            <w:pPr>
              <w:pStyle w:val="167"/>
              <w:spacing w:before="0" w:after="0" w:line="240" w:lineRule="auto"/>
              <w:jc w:val="center"/>
            </w:pPr>
            <w:r>
              <w:rPr>
                <w:rFonts w:ascii="Times New Roman" w:hAnsi="Times New Roman" w:eastAsia="仿宋" w:cs="Noto Serif CJK SC"/>
                <w:b w:val="0"/>
                <w:sz w:val="20"/>
              </w:rPr>
              <w:t>11.1%</w:t>
            </w:r>
          </w:p>
        </w:tc>
        <w:tc>
          <w:tcPr>
            <w:tcW w:w="1836" w:type="dxa"/>
            <w:tcMar>
              <w:top w:w="70" w:type="dxa"/>
              <w:left w:w="70" w:type="dxa"/>
              <w:bottom w:w="70" w:type="dxa"/>
              <w:right w:w="70" w:type="dxa"/>
            </w:tcMar>
            <w:vAlign w:val="center"/>
          </w:tcPr>
          <w:p w14:paraId="61E2C45B">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036C360A">
            <w:pPr>
              <w:pStyle w:val="167"/>
              <w:spacing w:before="0" w:after="0" w:line="240" w:lineRule="auto"/>
              <w:jc w:val="center"/>
            </w:pPr>
            <w:r>
              <w:rPr>
                <w:rFonts w:ascii="Times New Roman" w:hAnsi="Times New Roman" w:eastAsia="仿宋" w:cs="Noto Serif CJK SC"/>
                <w:b w:val="0"/>
                <w:sz w:val="20"/>
              </w:rPr>
              <w:t>36.8%</w:t>
            </w:r>
          </w:p>
        </w:tc>
        <w:tc>
          <w:tcPr>
            <w:tcW w:w="1836" w:type="dxa"/>
            <w:tcMar>
              <w:top w:w="70" w:type="dxa"/>
              <w:left w:w="70" w:type="dxa"/>
              <w:bottom w:w="70" w:type="dxa"/>
              <w:right w:w="70" w:type="dxa"/>
            </w:tcMar>
            <w:vAlign w:val="center"/>
          </w:tcPr>
          <w:p w14:paraId="1714D335">
            <w:pPr>
              <w:pStyle w:val="167"/>
              <w:spacing w:before="0" w:after="0" w:line="240" w:lineRule="auto"/>
              <w:jc w:val="center"/>
            </w:pPr>
            <w:r>
              <w:rPr>
                <w:rFonts w:ascii="Times New Roman" w:hAnsi="Times New Roman" w:eastAsia="仿宋" w:cs="Noto Serif CJK SC"/>
                <w:b w:val="0"/>
                <w:sz w:val="20"/>
              </w:rPr>
              <w:t>28.1%</w:t>
            </w:r>
          </w:p>
        </w:tc>
      </w:tr>
      <w:tr w14:paraId="4A8D8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7D98B071">
            <w:pPr>
              <w:pStyle w:val="167"/>
              <w:spacing w:before="0" w:after="0" w:line="240" w:lineRule="auto"/>
              <w:jc w:val="center"/>
            </w:pPr>
            <w:r>
              <w:rPr>
                <w:rFonts w:ascii="Times New Roman" w:hAnsi="Times New Roman" w:eastAsia="仿宋" w:cs="Noto Serif CJK SC"/>
                <w:b w:val="0"/>
                <w:sz w:val="20"/>
              </w:rPr>
              <w:t>兴趣类课程</w:t>
            </w:r>
          </w:p>
        </w:tc>
        <w:tc>
          <w:tcPr>
            <w:tcW w:w="1836" w:type="dxa"/>
            <w:tcMar>
              <w:top w:w="70" w:type="dxa"/>
              <w:left w:w="70" w:type="dxa"/>
              <w:bottom w:w="70" w:type="dxa"/>
              <w:right w:w="70" w:type="dxa"/>
            </w:tcMar>
            <w:vAlign w:val="center"/>
          </w:tcPr>
          <w:p w14:paraId="61726902">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3808EDE8">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04E7AC45">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60B46389">
            <w:pPr>
              <w:pStyle w:val="167"/>
              <w:spacing w:before="0" w:after="0" w:line="240" w:lineRule="auto"/>
              <w:jc w:val="center"/>
            </w:pPr>
            <w:r>
              <w:rPr>
                <w:rFonts w:ascii="Times New Roman" w:hAnsi="Times New Roman" w:eastAsia="仿宋" w:cs="Noto Serif CJK SC"/>
                <w:b w:val="0"/>
                <w:sz w:val="20"/>
              </w:rPr>
              <w:t>6.3%</w:t>
            </w:r>
          </w:p>
        </w:tc>
      </w:tr>
    </w:tbl>
    <w:p w14:paraId="05AE79A5">
      <w:pPr>
        <w:pStyle w:val="167"/>
      </w:pPr>
      <w:r>
        <w:rPr>
          <w:rFonts w:ascii="Times New Roman" w:hAnsi="Times New Roman" w:eastAsia="仿宋" w:cs="Noto Serif CJK SC"/>
        </w:rPr>
        <w:t>由表发现，与基础学科相比，中国的科技类课程88.89%为"副科" ，考试占比低。科技教育在中国基础教育中处于边缘位置。巴西呈现两极分化：42.11%为主科，36.84%基本没有开设——反映巴西教育体系内部的高度不均（与受访者来自</w:t>
      </w:r>
      <w:r>
        <w:rPr>
          <w:rFonts w:hint="eastAsia" w:cs="Noto Serif CJK SC"/>
          <w:lang w:val="en-US" w:eastAsia="zh-CN"/>
        </w:rPr>
        <w:t>不同学校和</w:t>
      </w:r>
      <w:r>
        <w:rPr>
          <w:rFonts w:ascii="Times New Roman" w:hAnsi="Times New Roman" w:eastAsia="仿宋" w:cs="Noto Serif CJK SC"/>
        </w:rPr>
        <w:t>地区可能相关）。西班牙50%将科技类课程列为主科，与其"编程4.0"国家计划的政策背景一致。</w:t>
      </w:r>
    </w:p>
    <w:p w14:paraId="404B417A">
      <w:pPr>
        <w:pStyle w:val="166"/>
        <w:keepNext/>
        <w:keepLines/>
      </w:pPr>
      <w:r>
        <w:rPr>
          <w:rFonts w:ascii="Times New Roman" w:hAnsi="Times New Roman" w:eastAsia="宋体" w:cs="Noto Serif CJK SC"/>
        </w:rPr>
        <w:t>2.4 中小学科技类课程教学方式：理论主导，巴西"无实验"比例最高</w:t>
      </w:r>
    </w:p>
    <w:p w14:paraId="5BD938F2">
      <w:pPr>
        <w:pStyle w:val="167"/>
        <w:keepNext/>
        <w:spacing w:before="100" w:after="60"/>
        <w:jc w:val="center"/>
      </w:pPr>
      <w:r>
        <w:rPr>
          <w:rFonts w:ascii="Times New Roman" w:hAnsi="Times New Roman" w:eastAsia="仿宋" w:cs="Noto Serif CJK SC"/>
          <w:sz w:val="21"/>
        </w:rPr>
        <w:t>表6 科技类课程教学方式占比情况表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2AF5E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16A9189C">
            <w:pPr>
              <w:pStyle w:val="167"/>
              <w:spacing w:before="0" w:after="0" w:line="240" w:lineRule="auto"/>
              <w:jc w:val="center"/>
            </w:pPr>
            <w:r>
              <w:rPr>
                <w:rFonts w:ascii="Times New Roman" w:hAnsi="Times New Roman" w:eastAsia="宋体" w:cs="Noto Serif CJK SC"/>
                <w:b/>
                <w:sz w:val="20"/>
              </w:rPr>
              <w:t>科技类课程教学方式</w:t>
            </w:r>
          </w:p>
        </w:tc>
        <w:tc>
          <w:tcPr>
            <w:tcW w:w="1836" w:type="dxa"/>
            <w:tcMar>
              <w:top w:w="70" w:type="dxa"/>
              <w:left w:w="70" w:type="dxa"/>
              <w:bottom w:w="70" w:type="dxa"/>
              <w:right w:w="70" w:type="dxa"/>
            </w:tcMar>
            <w:vAlign w:val="center"/>
          </w:tcPr>
          <w:p w14:paraId="671A015C">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308774F1">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4276F109">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020361BC">
            <w:pPr>
              <w:pStyle w:val="167"/>
              <w:spacing w:before="0" w:after="0" w:line="240" w:lineRule="auto"/>
              <w:jc w:val="center"/>
            </w:pPr>
            <w:r>
              <w:rPr>
                <w:rFonts w:ascii="Times New Roman" w:hAnsi="Times New Roman" w:eastAsia="宋体" w:cs="Noto Serif CJK SC"/>
                <w:b/>
                <w:sz w:val="20"/>
              </w:rPr>
              <w:t>总体</w:t>
            </w:r>
          </w:p>
        </w:tc>
      </w:tr>
      <w:tr w14:paraId="6EACC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AB45AA5">
            <w:pPr>
              <w:pStyle w:val="167"/>
              <w:spacing w:before="0" w:after="0" w:line="240" w:lineRule="auto"/>
              <w:jc w:val="center"/>
            </w:pPr>
            <w:r>
              <w:rPr>
                <w:rFonts w:ascii="Times New Roman" w:hAnsi="Times New Roman" w:eastAsia="仿宋" w:cs="Noto Serif CJK SC"/>
                <w:b w:val="0"/>
                <w:sz w:val="20"/>
              </w:rPr>
              <w:t>理论为主，实验为辅</w:t>
            </w:r>
          </w:p>
        </w:tc>
        <w:tc>
          <w:tcPr>
            <w:tcW w:w="1836" w:type="dxa"/>
            <w:tcMar>
              <w:top w:w="70" w:type="dxa"/>
              <w:left w:w="70" w:type="dxa"/>
              <w:bottom w:w="70" w:type="dxa"/>
              <w:right w:w="70" w:type="dxa"/>
            </w:tcMar>
            <w:vAlign w:val="center"/>
          </w:tcPr>
          <w:p w14:paraId="0CC99AC0">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52A01F41">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17F9293B">
            <w:pPr>
              <w:pStyle w:val="167"/>
              <w:spacing w:before="0" w:after="0" w:line="240" w:lineRule="auto"/>
              <w:jc w:val="center"/>
            </w:pPr>
            <w:r>
              <w:rPr>
                <w:rFonts w:ascii="Times New Roman" w:hAnsi="Times New Roman" w:eastAsia="仿宋" w:cs="Noto Serif CJK SC"/>
                <w:b w:val="0"/>
                <w:sz w:val="20"/>
              </w:rPr>
              <w:t>31.6%</w:t>
            </w:r>
          </w:p>
        </w:tc>
        <w:tc>
          <w:tcPr>
            <w:tcW w:w="1836" w:type="dxa"/>
            <w:tcMar>
              <w:top w:w="70" w:type="dxa"/>
              <w:left w:w="70" w:type="dxa"/>
              <w:bottom w:w="70" w:type="dxa"/>
              <w:right w:w="70" w:type="dxa"/>
            </w:tcMar>
            <w:vAlign w:val="center"/>
          </w:tcPr>
          <w:p w14:paraId="1F3BB2A0">
            <w:pPr>
              <w:pStyle w:val="167"/>
              <w:spacing w:before="0" w:after="0" w:line="240" w:lineRule="auto"/>
              <w:jc w:val="center"/>
            </w:pPr>
            <w:r>
              <w:rPr>
                <w:rFonts w:ascii="Times New Roman" w:hAnsi="Times New Roman" w:eastAsia="仿宋" w:cs="Noto Serif CJK SC"/>
                <w:b w:val="0"/>
                <w:sz w:val="20"/>
              </w:rPr>
              <w:t>31.2%</w:t>
            </w:r>
          </w:p>
        </w:tc>
      </w:tr>
      <w:tr w14:paraId="49FCF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220F0AD8">
            <w:pPr>
              <w:pStyle w:val="167"/>
              <w:spacing w:before="0" w:after="0" w:line="240" w:lineRule="auto"/>
              <w:jc w:val="center"/>
            </w:pPr>
            <w:r>
              <w:rPr>
                <w:rFonts w:ascii="Times New Roman" w:hAnsi="Times New Roman" w:eastAsia="仿宋" w:cs="Noto Serif CJK SC"/>
                <w:b w:val="0"/>
                <w:sz w:val="20"/>
              </w:rPr>
              <w:t>纯理论，无实验/操作</w:t>
            </w:r>
          </w:p>
        </w:tc>
        <w:tc>
          <w:tcPr>
            <w:tcW w:w="1836" w:type="dxa"/>
            <w:tcMar>
              <w:top w:w="70" w:type="dxa"/>
              <w:left w:w="70" w:type="dxa"/>
              <w:bottom w:w="70" w:type="dxa"/>
              <w:right w:w="70" w:type="dxa"/>
            </w:tcMar>
            <w:vAlign w:val="center"/>
          </w:tcPr>
          <w:p w14:paraId="7EDA1AEA">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47616FA1">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66EB7219">
            <w:pPr>
              <w:pStyle w:val="167"/>
              <w:spacing w:before="0" w:after="0" w:line="240" w:lineRule="auto"/>
              <w:jc w:val="center"/>
            </w:pPr>
            <w:r>
              <w:rPr>
                <w:rFonts w:ascii="Times New Roman" w:hAnsi="Times New Roman" w:eastAsia="仿宋" w:cs="Noto Serif CJK SC"/>
                <w:b w:val="0"/>
                <w:sz w:val="20"/>
              </w:rPr>
              <w:t>42.1%</w:t>
            </w:r>
          </w:p>
        </w:tc>
        <w:tc>
          <w:tcPr>
            <w:tcW w:w="1836" w:type="dxa"/>
            <w:tcMar>
              <w:top w:w="70" w:type="dxa"/>
              <w:left w:w="70" w:type="dxa"/>
              <w:bottom w:w="70" w:type="dxa"/>
              <w:right w:w="70" w:type="dxa"/>
            </w:tcMar>
            <w:vAlign w:val="center"/>
          </w:tcPr>
          <w:p w14:paraId="3F3EA7FF">
            <w:pPr>
              <w:pStyle w:val="167"/>
              <w:spacing w:before="0" w:after="0" w:line="240" w:lineRule="auto"/>
              <w:jc w:val="center"/>
            </w:pPr>
            <w:r>
              <w:rPr>
                <w:rFonts w:ascii="Times New Roman" w:hAnsi="Times New Roman" w:eastAsia="仿宋" w:cs="Noto Serif CJK SC"/>
                <w:b w:val="0"/>
                <w:sz w:val="20"/>
              </w:rPr>
              <w:t>37.5%</w:t>
            </w:r>
          </w:p>
        </w:tc>
      </w:tr>
      <w:tr w14:paraId="083BF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28F96508">
            <w:pPr>
              <w:pStyle w:val="167"/>
              <w:spacing w:before="0" w:after="0" w:line="240" w:lineRule="auto"/>
              <w:jc w:val="center"/>
            </w:pPr>
            <w:r>
              <w:rPr>
                <w:rFonts w:ascii="Times New Roman" w:hAnsi="Times New Roman" w:eastAsia="仿宋" w:cs="Noto Serif CJK SC"/>
                <w:b w:val="0"/>
                <w:sz w:val="20"/>
              </w:rPr>
              <w:t>实验为主，理论为辅</w:t>
            </w:r>
          </w:p>
        </w:tc>
        <w:tc>
          <w:tcPr>
            <w:tcW w:w="1836" w:type="dxa"/>
            <w:tcMar>
              <w:top w:w="70" w:type="dxa"/>
              <w:left w:w="70" w:type="dxa"/>
              <w:bottom w:w="70" w:type="dxa"/>
              <w:right w:w="70" w:type="dxa"/>
            </w:tcMar>
            <w:vAlign w:val="center"/>
          </w:tcPr>
          <w:p w14:paraId="20BA9067">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0EFADA2E">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613574E">
            <w:pPr>
              <w:pStyle w:val="167"/>
              <w:spacing w:before="0" w:after="0" w:line="240" w:lineRule="auto"/>
              <w:jc w:val="center"/>
            </w:pPr>
            <w:r>
              <w:rPr>
                <w:rFonts w:ascii="Times New Roman" w:hAnsi="Times New Roman" w:eastAsia="仿宋" w:cs="Noto Serif CJK SC"/>
                <w:b w:val="0"/>
                <w:sz w:val="20"/>
              </w:rPr>
              <w:t>15.8%</w:t>
            </w:r>
          </w:p>
        </w:tc>
        <w:tc>
          <w:tcPr>
            <w:tcW w:w="1836" w:type="dxa"/>
            <w:tcMar>
              <w:top w:w="70" w:type="dxa"/>
              <w:left w:w="70" w:type="dxa"/>
              <w:bottom w:w="70" w:type="dxa"/>
              <w:right w:w="70" w:type="dxa"/>
            </w:tcMar>
            <w:vAlign w:val="center"/>
          </w:tcPr>
          <w:p w14:paraId="1F801BBC">
            <w:pPr>
              <w:pStyle w:val="167"/>
              <w:spacing w:before="0" w:after="0" w:line="240" w:lineRule="auto"/>
              <w:jc w:val="center"/>
            </w:pPr>
            <w:r>
              <w:rPr>
                <w:rFonts w:ascii="Times New Roman" w:hAnsi="Times New Roman" w:eastAsia="仿宋" w:cs="Noto Serif CJK SC"/>
                <w:b w:val="0"/>
                <w:sz w:val="20"/>
              </w:rPr>
              <w:t>18.8%</w:t>
            </w:r>
          </w:p>
        </w:tc>
      </w:tr>
      <w:tr w14:paraId="20308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2ADF2909">
            <w:pPr>
              <w:pStyle w:val="167"/>
              <w:spacing w:before="0" w:after="0" w:line="240" w:lineRule="auto"/>
              <w:jc w:val="center"/>
            </w:pPr>
            <w:r>
              <w:rPr>
                <w:rFonts w:ascii="Times New Roman" w:hAnsi="Times New Roman" w:eastAsia="仿宋" w:cs="Noto Serif CJK SC"/>
                <w:b w:val="0"/>
                <w:sz w:val="20"/>
              </w:rPr>
              <w:t>纯实验/操作</w:t>
            </w:r>
          </w:p>
        </w:tc>
        <w:tc>
          <w:tcPr>
            <w:tcW w:w="1836" w:type="dxa"/>
            <w:tcMar>
              <w:top w:w="70" w:type="dxa"/>
              <w:left w:w="70" w:type="dxa"/>
              <w:bottom w:w="70" w:type="dxa"/>
              <w:right w:w="70" w:type="dxa"/>
            </w:tcMar>
            <w:vAlign w:val="center"/>
          </w:tcPr>
          <w:p w14:paraId="27EAD610">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41173DC2">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6F329181">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3EE75C11">
            <w:pPr>
              <w:pStyle w:val="167"/>
              <w:spacing w:before="0" w:after="0" w:line="240" w:lineRule="auto"/>
              <w:jc w:val="center"/>
            </w:pPr>
            <w:r>
              <w:rPr>
                <w:rFonts w:ascii="Times New Roman" w:hAnsi="Times New Roman" w:eastAsia="仿宋" w:cs="Noto Serif CJK SC"/>
                <w:b w:val="0"/>
                <w:sz w:val="20"/>
              </w:rPr>
              <w:t>9.4%</w:t>
            </w:r>
          </w:p>
        </w:tc>
      </w:tr>
    </w:tbl>
    <w:p w14:paraId="28F2C40A">
      <w:pPr>
        <w:pStyle w:val="167"/>
      </w:pPr>
      <w:r>
        <w:rPr>
          <w:rFonts w:ascii="Times New Roman" w:hAnsi="Times New Roman" w:eastAsia="仿宋" w:cs="Noto Serif CJK SC"/>
        </w:rPr>
        <w:t>三国科技类课程均以理论讲授为主导，"纯理论无实验"占总体37.50%，为最大类别。西班牙50%、巴西42.11%的科技课程纯理论讲授，"动手实验"在三国中小学科技教育中均为弱势。这解释了为何BISS项目对多数学生来说是"首次高强度动手实践"。</w:t>
      </w:r>
    </w:p>
    <w:p w14:paraId="51231ED0">
      <w:pPr>
        <w:pStyle w:val="165"/>
        <w:keepNext/>
        <w:keepLines/>
      </w:pPr>
      <w:r>
        <w:rPr>
          <w:rFonts w:ascii="Times New Roman" w:hAnsi="Times New Roman" w:eastAsia="宋体" w:cs="Noto Serif CJK SC"/>
          <w:b/>
        </w:rPr>
        <w:t>3. 高等教育阶段的课程与实践培养</w:t>
      </w:r>
    </w:p>
    <w:p w14:paraId="0ABAD2A7">
      <w:pPr>
        <w:pStyle w:val="166"/>
        <w:keepNext/>
        <w:keepLines/>
      </w:pPr>
      <w:r>
        <w:rPr>
          <w:rFonts w:ascii="Times New Roman" w:hAnsi="Times New Roman" w:eastAsia="宋体" w:cs="Noto Serif CJK SC"/>
        </w:rPr>
        <w:t>3.1 大学专业学习更强调的能力</w:t>
      </w:r>
    </w:p>
    <w:p w14:paraId="1B5688F7">
      <w:pPr>
        <w:pStyle w:val="167"/>
        <w:keepNext/>
        <w:spacing w:before="100" w:after="60"/>
        <w:jc w:val="center"/>
      </w:pPr>
      <w:r>
        <w:rPr>
          <w:rFonts w:ascii="Times New Roman" w:hAnsi="Times New Roman" w:eastAsia="仿宋" w:cs="Noto Serif CJK SC"/>
          <w:sz w:val="21"/>
        </w:rPr>
        <w:t>表7 不同国家各项能力占比情况表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7AAA9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2374B802">
            <w:pPr>
              <w:pStyle w:val="167"/>
              <w:spacing w:before="0" w:after="0" w:line="240" w:lineRule="auto"/>
              <w:jc w:val="center"/>
            </w:pPr>
            <w:r>
              <w:rPr>
                <w:rFonts w:ascii="Times New Roman" w:hAnsi="Times New Roman" w:eastAsia="宋体" w:cs="Noto Serif CJK SC"/>
                <w:b/>
                <w:sz w:val="20"/>
              </w:rPr>
              <w:t>能力</w:t>
            </w:r>
          </w:p>
        </w:tc>
        <w:tc>
          <w:tcPr>
            <w:tcW w:w="1836" w:type="dxa"/>
            <w:tcMar>
              <w:top w:w="70" w:type="dxa"/>
              <w:left w:w="70" w:type="dxa"/>
              <w:bottom w:w="70" w:type="dxa"/>
              <w:right w:w="70" w:type="dxa"/>
            </w:tcMar>
            <w:vAlign w:val="center"/>
          </w:tcPr>
          <w:p w14:paraId="49CB3CBF">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3F5E24D5">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56577521">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4CAED907">
            <w:pPr>
              <w:pStyle w:val="167"/>
              <w:spacing w:before="0" w:after="0" w:line="240" w:lineRule="auto"/>
              <w:jc w:val="center"/>
            </w:pPr>
            <w:r>
              <w:rPr>
                <w:rFonts w:ascii="Times New Roman" w:hAnsi="Times New Roman" w:eastAsia="宋体" w:cs="Noto Serif CJK SC"/>
                <w:b/>
                <w:sz w:val="20"/>
              </w:rPr>
              <w:t>总体</w:t>
            </w:r>
          </w:p>
        </w:tc>
      </w:tr>
      <w:tr w14:paraId="709E9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3E1BC8B5">
            <w:pPr>
              <w:pStyle w:val="167"/>
              <w:spacing w:before="0" w:after="0" w:line="240" w:lineRule="auto"/>
              <w:jc w:val="center"/>
            </w:pPr>
            <w:r>
              <w:rPr>
                <w:rFonts w:ascii="Times New Roman" w:hAnsi="Times New Roman" w:eastAsia="仿宋" w:cs="Noto Serif CJK SC"/>
                <w:b w:val="0"/>
                <w:sz w:val="20"/>
              </w:rPr>
              <w:t>理论知识掌握</w:t>
            </w:r>
          </w:p>
        </w:tc>
        <w:tc>
          <w:tcPr>
            <w:tcW w:w="1836" w:type="dxa"/>
            <w:tcMar>
              <w:top w:w="70" w:type="dxa"/>
              <w:left w:w="70" w:type="dxa"/>
              <w:bottom w:w="70" w:type="dxa"/>
              <w:right w:w="70" w:type="dxa"/>
            </w:tcMar>
            <w:vAlign w:val="center"/>
          </w:tcPr>
          <w:p w14:paraId="53F26122">
            <w:pPr>
              <w:pStyle w:val="167"/>
              <w:spacing w:before="0" w:after="0" w:line="240" w:lineRule="auto"/>
              <w:jc w:val="center"/>
            </w:pPr>
            <w:r>
              <w:rPr>
                <w:rFonts w:ascii="Times New Roman" w:hAnsi="Times New Roman" w:eastAsia="仿宋" w:cs="Noto Serif CJK SC"/>
                <w:b w:val="0"/>
                <w:sz w:val="20"/>
              </w:rPr>
              <w:t>-</w:t>
            </w:r>
          </w:p>
        </w:tc>
        <w:tc>
          <w:tcPr>
            <w:tcW w:w="1836" w:type="dxa"/>
            <w:tcMar>
              <w:top w:w="70" w:type="dxa"/>
              <w:left w:w="70" w:type="dxa"/>
              <w:bottom w:w="70" w:type="dxa"/>
              <w:right w:w="70" w:type="dxa"/>
            </w:tcMar>
            <w:vAlign w:val="center"/>
          </w:tcPr>
          <w:p w14:paraId="414CC944">
            <w:pPr>
              <w:pStyle w:val="167"/>
              <w:spacing w:before="0" w:after="0" w:line="240" w:lineRule="auto"/>
              <w:jc w:val="center"/>
            </w:pPr>
            <w:r>
              <w:rPr>
                <w:rFonts w:ascii="Times New Roman" w:hAnsi="Times New Roman" w:eastAsia="仿宋" w:cs="Noto Serif CJK SC"/>
                <w:b w:val="0"/>
                <w:sz w:val="20"/>
              </w:rPr>
              <w:t>-</w:t>
            </w:r>
          </w:p>
        </w:tc>
        <w:tc>
          <w:tcPr>
            <w:tcW w:w="1836" w:type="dxa"/>
            <w:tcMar>
              <w:top w:w="70" w:type="dxa"/>
              <w:left w:w="70" w:type="dxa"/>
              <w:bottom w:w="70" w:type="dxa"/>
              <w:right w:w="70" w:type="dxa"/>
            </w:tcMar>
            <w:vAlign w:val="center"/>
          </w:tcPr>
          <w:p w14:paraId="31EA2C46">
            <w:pPr>
              <w:pStyle w:val="167"/>
              <w:spacing w:before="0" w:after="0" w:line="240" w:lineRule="auto"/>
              <w:jc w:val="center"/>
            </w:pPr>
            <w:r>
              <w:rPr>
                <w:rFonts w:ascii="Times New Roman" w:hAnsi="Times New Roman" w:eastAsia="仿宋" w:cs="Noto Serif CJK SC"/>
                <w:b w:val="0"/>
                <w:sz w:val="20"/>
              </w:rPr>
              <w:t>-</w:t>
            </w:r>
          </w:p>
        </w:tc>
        <w:tc>
          <w:tcPr>
            <w:tcW w:w="1836" w:type="dxa"/>
            <w:tcMar>
              <w:top w:w="70" w:type="dxa"/>
              <w:left w:w="70" w:type="dxa"/>
              <w:bottom w:w="70" w:type="dxa"/>
              <w:right w:w="70" w:type="dxa"/>
            </w:tcMar>
            <w:vAlign w:val="center"/>
          </w:tcPr>
          <w:p w14:paraId="293DD6C3">
            <w:pPr>
              <w:pStyle w:val="167"/>
              <w:spacing w:before="0" w:after="0" w:line="240" w:lineRule="auto"/>
              <w:jc w:val="center"/>
            </w:pPr>
            <w:r>
              <w:rPr>
                <w:rFonts w:ascii="Times New Roman" w:hAnsi="Times New Roman" w:eastAsia="仿宋" w:cs="Noto Serif CJK SC"/>
                <w:b w:val="0"/>
                <w:sz w:val="20"/>
              </w:rPr>
              <w:t>46.9%</w:t>
            </w:r>
          </w:p>
        </w:tc>
      </w:tr>
      <w:tr w14:paraId="65612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FA071FB">
            <w:pPr>
              <w:pStyle w:val="167"/>
              <w:spacing w:before="0" w:after="0" w:line="240" w:lineRule="auto"/>
              <w:jc w:val="center"/>
            </w:pPr>
            <w:r>
              <w:rPr>
                <w:rFonts w:ascii="Times New Roman" w:hAnsi="Times New Roman" w:eastAsia="仿宋" w:cs="Noto Serif CJK SC"/>
                <w:b w:val="0"/>
                <w:sz w:val="20"/>
              </w:rPr>
              <w:t>逻辑分析与解题能力</w:t>
            </w:r>
          </w:p>
        </w:tc>
        <w:tc>
          <w:tcPr>
            <w:tcW w:w="1836" w:type="dxa"/>
            <w:tcMar>
              <w:top w:w="70" w:type="dxa"/>
              <w:left w:w="70" w:type="dxa"/>
              <w:bottom w:w="70" w:type="dxa"/>
              <w:right w:w="70" w:type="dxa"/>
            </w:tcMar>
            <w:vAlign w:val="center"/>
          </w:tcPr>
          <w:p w14:paraId="224BDDD5">
            <w:pPr>
              <w:pStyle w:val="167"/>
              <w:spacing w:before="0" w:after="0" w:line="240" w:lineRule="auto"/>
              <w:jc w:val="center"/>
            </w:pPr>
            <w:r>
              <w:rPr>
                <w:rFonts w:ascii="Times New Roman" w:hAnsi="Times New Roman" w:eastAsia="仿宋" w:cs="Noto Serif CJK SC"/>
                <w:b w:val="0"/>
                <w:sz w:val="20"/>
              </w:rPr>
              <w:t>44.4%</w:t>
            </w:r>
          </w:p>
        </w:tc>
        <w:tc>
          <w:tcPr>
            <w:tcW w:w="1836" w:type="dxa"/>
            <w:tcMar>
              <w:top w:w="70" w:type="dxa"/>
              <w:left w:w="70" w:type="dxa"/>
              <w:bottom w:w="70" w:type="dxa"/>
              <w:right w:w="70" w:type="dxa"/>
            </w:tcMar>
            <w:vAlign w:val="center"/>
          </w:tcPr>
          <w:p w14:paraId="629EA358">
            <w:pPr>
              <w:pStyle w:val="167"/>
              <w:spacing w:before="0" w:after="0" w:line="240" w:lineRule="auto"/>
              <w:jc w:val="center"/>
            </w:pPr>
            <w:r>
              <w:rPr>
                <w:rFonts w:ascii="Times New Roman" w:hAnsi="Times New Roman" w:eastAsia="仿宋" w:cs="Noto Serif CJK SC"/>
                <w:b w:val="0"/>
                <w:sz w:val="20"/>
              </w:rPr>
              <w:t>75.0%</w:t>
            </w:r>
          </w:p>
        </w:tc>
        <w:tc>
          <w:tcPr>
            <w:tcW w:w="1836" w:type="dxa"/>
            <w:tcMar>
              <w:top w:w="70" w:type="dxa"/>
              <w:left w:w="70" w:type="dxa"/>
              <w:bottom w:w="70" w:type="dxa"/>
              <w:right w:w="70" w:type="dxa"/>
            </w:tcMar>
            <w:vAlign w:val="center"/>
          </w:tcPr>
          <w:p w14:paraId="6EAF897C">
            <w:pPr>
              <w:pStyle w:val="167"/>
              <w:spacing w:before="0" w:after="0" w:line="240" w:lineRule="auto"/>
              <w:jc w:val="center"/>
            </w:pPr>
            <w:r>
              <w:rPr>
                <w:rFonts w:ascii="Times New Roman" w:hAnsi="Times New Roman" w:eastAsia="仿宋" w:cs="Noto Serif CJK SC"/>
                <w:b w:val="0"/>
                <w:sz w:val="20"/>
              </w:rPr>
              <w:t>42.1%</w:t>
            </w:r>
          </w:p>
        </w:tc>
        <w:tc>
          <w:tcPr>
            <w:tcW w:w="1836" w:type="dxa"/>
            <w:tcMar>
              <w:top w:w="70" w:type="dxa"/>
              <w:left w:w="70" w:type="dxa"/>
              <w:bottom w:w="70" w:type="dxa"/>
              <w:right w:w="70" w:type="dxa"/>
            </w:tcMar>
            <w:vAlign w:val="center"/>
          </w:tcPr>
          <w:p w14:paraId="02E55D8B">
            <w:pPr>
              <w:pStyle w:val="167"/>
              <w:spacing w:before="0" w:after="0" w:line="240" w:lineRule="auto"/>
              <w:jc w:val="center"/>
            </w:pPr>
            <w:r>
              <w:rPr>
                <w:rFonts w:ascii="Times New Roman" w:hAnsi="Times New Roman" w:eastAsia="仿宋" w:cs="Noto Serif CJK SC"/>
                <w:b w:val="0"/>
                <w:sz w:val="20"/>
              </w:rPr>
              <w:t>21.9%</w:t>
            </w:r>
          </w:p>
        </w:tc>
      </w:tr>
      <w:tr w14:paraId="5F045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7464B5ED">
            <w:pPr>
              <w:pStyle w:val="167"/>
              <w:spacing w:before="0" w:after="0" w:line="240" w:lineRule="auto"/>
              <w:jc w:val="center"/>
            </w:pPr>
            <w:r>
              <w:rPr>
                <w:rFonts w:ascii="Times New Roman" w:hAnsi="Times New Roman" w:eastAsia="仿宋" w:cs="Noto Serif CJK SC"/>
                <w:b w:val="0"/>
                <w:sz w:val="20"/>
              </w:rPr>
              <w:t>科研创新与实践能力</w:t>
            </w:r>
          </w:p>
        </w:tc>
        <w:tc>
          <w:tcPr>
            <w:tcW w:w="1836" w:type="dxa"/>
            <w:tcMar>
              <w:top w:w="70" w:type="dxa"/>
              <w:left w:w="70" w:type="dxa"/>
              <w:bottom w:w="70" w:type="dxa"/>
              <w:right w:w="70" w:type="dxa"/>
            </w:tcMar>
            <w:vAlign w:val="center"/>
          </w:tcPr>
          <w:p w14:paraId="74CB4C96">
            <w:pPr>
              <w:pStyle w:val="167"/>
              <w:spacing w:before="0" w:after="0" w:line="240" w:lineRule="auto"/>
              <w:jc w:val="center"/>
            </w:pPr>
            <w:r>
              <w:rPr>
                <w:rFonts w:ascii="Times New Roman" w:hAnsi="Times New Roman" w:eastAsia="仿宋" w:cs="Noto Serif CJK SC"/>
                <w:b w:val="0"/>
                <w:sz w:val="20"/>
              </w:rPr>
              <w:t>11.1%</w:t>
            </w:r>
          </w:p>
        </w:tc>
        <w:tc>
          <w:tcPr>
            <w:tcW w:w="1836" w:type="dxa"/>
            <w:tcMar>
              <w:top w:w="70" w:type="dxa"/>
              <w:left w:w="70" w:type="dxa"/>
              <w:bottom w:w="70" w:type="dxa"/>
              <w:right w:w="70" w:type="dxa"/>
            </w:tcMar>
            <w:vAlign w:val="center"/>
          </w:tcPr>
          <w:p w14:paraId="79C183A0">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3DBD86E8">
            <w:pPr>
              <w:pStyle w:val="167"/>
              <w:spacing w:before="0" w:after="0" w:line="240" w:lineRule="auto"/>
              <w:jc w:val="center"/>
            </w:pPr>
            <w:r>
              <w:rPr>
                <w:rFonts w:ascii="Times New Roman" w:hAnsi="Times New Roman" w:eastAsia="仿宋" w:cs="Noto Serif CJK SC"/>
                <w:b w:val="0"/>
                <w:sz w:val="20"/>
              </w:rPr>
              <w:t>26.3%</w:t>
            </w:r>
          </w:p>
        </w:tc>
        <w:tc>
          <w:tcPr>
            <w:tcW w:w="1836" w:type="dxa"/>
            <w:tcMar>
              <w:top w:w="70" w:type="dxa"/>
              <w:left w:w="70" w:type="dxa"/>
              <w:bottom w:w="70" w:type="dxa"/>
              <w:right w:w="70" w:type="dxa"/>
            </w:tcMar>
            <w:vAlign w:val="center"/>
          </w:tcPr>
          <w:p w14:paraId="1F81D440">
            <w:pPr>
              <w:pStyle w:val="167"/>
              <w:spacing w:before="0" w:after="0" w:line="240" w:lineRule="auto"/>
              <w:jc w:val="center"/>
            </w:pPr>
            <w:r>
              <w:rPr>
                <w:rFonts w:ascii="Times New Roman" w:hAnsi="Times New Roman" w:eastAsia="仿宋" w:cs="Noto Serif CJK SC"/>
                <w:b w:val="0"/>
                <w:sz w:val="20"/>
              </w:rPr>
              <w:t>18.8%</w:t>
            </w:r>
          </w:p>
        </w:tc>
      </w:tr>
      <w:tr w14:paraId="53D91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1CB2EF17">
            <w:pPr>
              <w:pStyle w:val="167"/>
              <w:spacing w:before="0" w:after="0" w:line="240" w:lineRule="auto"/>
              <w:jc w:val="center"/>
            </w:pPr>
            <w:r>
              <w:rPr>
                <w:rFonts w:ascii="Times New Roman" w:hAnsi="Times New Roman" w:eastAsia="仿宋" w:cs="Noto Serif CJK SC"/>
                <w:b w:val="0"/>
                <w:sz w:val="20"/>
              </w:rPr>
              <w:t>跨文化交流/团队协作</w:t>
            </w:r>
          </w:p>
        </w:tc>
        <w:tc>
          <w:tcPr>
            <w:tcW w:w="1836" w:type="dxa"/>
            <w:tcMar>
              <w:top w:w="70" w:type="dxa"/>
              <w:left w:w="70" w:type="dxa"/>
              <w:bottom w:w="70" w:type="dxa"/>
              <w:right w:w="70" w:type="dxa"/>
            </w:tcMar>
            <w:vAlign w:val="center"/>
          </w:tcPr>
          <w:p w14:paraId="657BE2D5">
            <w:pPr>
              <w:pStyle w:val="167"/>
              <w:spacing w:before="0" w:after="0" w:line="240" w:lineRule="auto"/>
              <w:jc w:val="center"/>
            </w:pPr>
            <w:r>
              <w:rPr>
                <w:rFonts w:ascii="Times New Roman" w:hAnsi="Times New Roman" w:eastAsia="仿宋" w:cs="Noto Serif CJK SC"/>
                <w:b w:val="0"/>
                <w:sz w:val="20"/>
              </w:rPr>
              <w:t>44.4%</w:t>
            </w:r>
          </w:p>
        </w:tc>
        <w:tc>
          <w:tcPr>
            <w:tcW w:w="1836" w:type="dxa"/>
            <w:tcMar>
              <w:top w:w="70" w:type="dxa"/>
              <w:left w:w="70" w:type="dxa"/>
              <w:bottom w:w="70" w:type="dxa"/>
              <w:right w:w="70" w:type="dxa"/>
            </w:tcMar>
            <w:vAlign w:val="center"/>
          </w:tcPr>
          <w:p w14:paraId="6D37D9F2">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78EEE56">
            <w:pPr>
              <w:pStyle w:val="167"/>
              <w:spacing w:before="0" w:after="0" w:line="240" w:lineRule="auto"/>
              <w:jc w:val="center"/>
            </w:pPr>
            <w:r>
              <w:rPr>
                <w:rFonts w:ascii="Times New Roman" w:hAnsi="Times New Roman" w:eastAsia="仿宋" w:cs="Noto Serif CJK SC"/>
                <w:b w:val="0"/>
                <w:sz w:val="20"/>
              </w:rPr>
              <w:t>21.1%</w:t>
            </w:r>
          </w:p>
        </w:tc>
        <w:tc>
          <w:tcPr>
            <w:tcW w:w="1836" w:type="dxa"/>
            <w:tcMar>
              <w:top w:w="70" w:type="dxa"/>
              <w:left w:w="70" w:type="dxa"/>
              <w:bottom w:w="70" w:type="dxa"/>
              <w:right w:w="70" w:type="dxa"/>
            </w:tcMar>
            <w:vAlign w:val="center"/>
          </w:tcPr>
          <w:p w14:paraId="3185E800">
            <w:pPr>
              <w:pStyle w:val="167"/>
              <w:spacing w:before="0" w:after="0" w:line="240" w:lineRule="auto"/>
              <w:jc w:val="center"/>
            </w:pPr>
            <w:r>
              <w:rPr>
                <w:rFonts w:ascii="Times New Roman" w:hAnsi="Times New Roman" w:eastAsia="仿宋" w:cs="Noto Serif CJK SC"/>
                <w:b w:val="0"/>
                <w:sz w:val="20"/>
              </w:rPr>
              <w:t>12.5%</w:t>
            </w:r>
          </w:p>
        </w:tc>
      </w:tr>
    </w:tbl>
    <w:p w14:paraId="39495D97">
      <w:pPr>
        <w:pStyle w:val="167"/>
      </w:pPr>
      <w:r>
        <w:rPr>
          <w:rFonts w:ascii="Times New Roman" w:hAnsi="Times New Roman" w:eastAsia="仿宋" w:cs="Noto Serif CJK SC"/>
        </w:rPr>
        <w:t>各国高校人才培养目标出现明显分化：西班牙高校 75% 侧重逻辑解题训练；国内高校兼顾逻辑分析（44.4%）与跨文化协作（44.4%），国际化办学导向突出；巴西高校各项能力培养分布均衡，逻辑分析与科研创新均有覆盖。整体样本中，高校最基础的培养目标为理论知识掌握。</w:t>
      </w:r>
    </w:p>
    <w:p w14:paraId="4BE976D8">
      <w:pPr>
        <w:pStyle w:val="166"/>
        <w:keepNext/>
        <w:keepLines/>
      </w:pPr>
      <w:r>
        <w:rPr>
          <w:rFonts w:ascii="Times New Roman" w:hAnsi="Times New Roman" w:eastAsia="宋体" w:cs="Noto Serif CJK SC"/>
        </w:rPr>
        <w:t>3.2 大学老师对有争议话题的处理方式</w:t>
      </w:r>
    </w:p>
    <w:p w14:paraId="19AA8774">
      <w:pPr>
        <w:pStyle w:val="167"/>
        <w:keepNext/>
        <w:spacing w:before="100" w:after="60"/>
        <w:jc w:val="center"/>
      </w:pPr>
      <w:r>
        <w:rPr>
          <w:rFonts w:ascii="Times New Roman" w:hAnsi="Times New Roman" w:eastAsia="仿宋" w:cs="Noto Serif CJK SC"/>
          <w:sz w:val="21"/>
        </w:rPr>
        <w:t>表8 不同处理方式在各国及总体中的占比表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35518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48795594">
            <w:pPr>
              <w:pStyle w:val="167"/>
              <w:spacing w:before="0" w:after="0" w:line="240" w:lineRule="auto"/>
              <w:jc w:val="center"/>
            </w:pPr>
            <w:r>
              <w:rPr>
                <w:rFonts w:ascii="Times New Roman" w:hAnsi="Times New Roman" w:eastAsia="宋体" w:cs="Noto Serif CJK SC"/>
                <w:b/>
                <w:sz w:val="20"/>
              </w:rPr>
              <w:t>处理方式</w:t>
            </w:r>
          </w:p>
        </w:tc>
        <w:tc>
          <w:tcPr>
            <w:tcW w:w="1836" w:type="dxa"/>
            <w:tcMar>
              <w:top w:w="70" w:type="dxa"/>
              <w:left w:w="70" w:type="dxa"/>
              <w:bottom w:w="70" w:type="dxa"/>
              <w:right w:w="70" w:type="dxa"/>
            </w:tcMar>
            <w:vAlign w:val="center"/>
          </w:tcPr>
          <w:p w14:paraId="677B063C">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14E03813">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63F68E84">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2B5BBBAE">
            <w:pPr>
              <w:pStyle w:val="167"/>
              <w:spacing w:before="0" w:after="0" w:line="240" w:lineRule="auto"/>
              <w:jc w:val="center"/>
            </w:pPr>
            <w:r>
              <w:rPr>
                <w:rFonts w:ascii="Times New Roman" w:hAnsi="Times New Roman" w:eastAsia="宋体" w:cs="Noto Serif CJK SC"/>
                <w:b/>
                <w:sz w:val="20"/>
              </w:rPr>
              <w:t>总体</w:t>
            </w:r>
          </w:p>
        </w:tc>
      </w:tr>
      <w:tr w14:paraId="7E31A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2810AA0D">
            <w:pPr>
              <w:pStyle w:val="167"/>
              <w:spacing w:before="0" w:after="0" w:line="240" w:lineRule="auto"/>
              <w:jc w:val="center"/>
            </w:pPr>
            <w:r>
              <w:rPr>
                <w:rFonts w:ascii="Times New Roman" w:hAnsi="Times New Roman" w:eastAsia="仿宋" w:cs="Noto Serif CJK SC"/>
                <w:b w:val="0"/>
                <w:sz w:val="20"/>
              </w:rPr>
              <w:t>直接给出标准答案，不允许讨论</w:t>
            </w:r>
          </w:p>
        </w:tc>
        <w:tc>
          <w:tcPr>
            <w:tcW w:w="1836" w:type="dxa"/>
            <w:tcMar>
              <w:top w:w="70" w:type="dxa"/>
              <w:left w:w="70" w:type="dxa"/>
              <w:bottom w:w="70" w:type="dxa"/>
              <w:right w:w="70" w:type="dxa"/>
            </w:tcMar>
            <w:vAlign w:val="center"/>
          </w:tcPr>
          <w:p w14:paraId="1A572F40">
            <w:pPr>
              <w:pStyle w:val="167"/>
              <w:spacing w:before="0" w:after="0" w:line="240" w:lineRule="auto"/>
              <w:jc w:val="center"/>
            </w:pPr>
            <w:r>
              <w:rPr>
                <w:rFonts w:ascii="Times New Roman" w:hAnsi="Times New Roman" w:eastAsia="仿宋" w:cs="Noto Serif CJK SC"/>
                <w:b w:val="0"/>
                <w:sz w:val="20"/>
              </w:rPr>
              <w:t>22.2%</w:t>
            </w:r>
          </w:p>
        </w:tc>
        <w:tc>
          <w:tcPr>
            <w:tcW w:w="1836" w:type="dxa"/>
            <w:tcMar>
              <w:top w:w="70" w:type="dxa"/>
              <w:left w:w="70" w:type="dxa"/>
              <w:bottom w:w="70" w:type="dxa"/>
              <w:right w:w="70" w:type="dxa"/>
            </w:tcMar>
            <w:vAlign w:val="center"/>
          </w:tcPr>
          <w:p w14:paraId="647C0CCF">
            <w:pPr>
              <w:pStyle w:val="167"/>
              <w:spacing w:before="0" w:after="0" w:line="240" w:lineRule="auto"/>
              <w:jc w:val="center"/>
            </w:pPr>
            <w:r>
              <w:rPr>
                <w:rFonts w:ascii="Times New Roman" w:hAnsi="Times New Roman" w:eastAsia="仿宋" w:cs="Noto Serif CJK SC"/>
                <w:b w:val="0"/>
                <w:sz w:val="20"/>
              </w:rPr>
              <w:t>75.0%</w:t>
            </w:r>
          </w:p>
        </w:tc>
        <w:tc>
          <w:tcPr>
            <w:tcW w:w="1836" w:type="dxa"/>
            <w:tcMar>
              <w:top w:w="70" w:type="dxa"/>
              <w:left w:w="70" w:type="dxa"/>
              <w:bottom w:w="70" w:type="dxa"/>
              <w:right w:w="70" w:type="dxa"/>
            </w:tcMar>
            <w:vAlign w:val="center"/>
          </w:tcPr>
          <w:p w14:paraId="16C65F21">
            <w:pPr>
              <w:pStyle w:val="167"/>
              <w:spacing w:before="0" w:after="0" w:line="240" w:lineRule="auto"/>
              <w:jc w:val="center"/>
            </w:pPr>
            <w:r>
              <w:rPr>
                <w:rFonts w:ascii="Times New Roman" w:hAnsi="Times New Roman" w:eastAsia="仿宋" w:cs="Noto Serif CJK SC"/>
                <w:b w:val="0"/>
                <w:sz w:val="20"/>
              </w:rPr>
              <w:t>26.3%</w:t>
            </w:r>
          </w:p>
        </w:tc>
        <w:tc>
          <w:tcPr>
            <w:tcW w:w="1836" w:type="dxa"/>
            <w:tcMar>
              <w:top w:w="70" w:type="dxa"/>
              <w:left w:w="70" w:type="dxa"/>
              <w:bottom w:w="70" w:type="dxa"/>
              <w:right w:w="70" w:type="dxa"/>
            </w:tcMar>
            <w:vAlign w:val="center"/>
          </w:tcPr>
          <w:p w14:paraId="7A559B8C">
            <w:pPr>
              <w:pStyle w:val="167"/>
              <w:spacing w:before="0" w:after="0" w:line="240" w:lineRule="auto"/>
              <w:jc w:val="center"/>
            </w:pPr>
            <w:r>
              <w:rPr>
                <w:rFonts w:ascii="Times New Roman" w:hAnsi="Times New Roman" w:eastAsia="仿宋" w:cs="Noto Serif CJK SC"/>
                <w:b w:val="0"/>
                <w:sz w:val="20"/>
              </w:rPr>
              <w:t>31.2%</w:t>
            </w:r>
          </w:p>
        </w:tc>
      </w:tr>
      <w:tr w14:paraId="6BFF1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747925C6">
            <w:pPr>
              <w:pStyle w:val="167"/>
              <w:spacing w:before="0" w:after="0" w:line="240" w:lineRule="auto"/>
              <w:jc w:val="center"/>
            </w:pPr>
            <w:r>
              <w:rPr>
                <w:rFonts w:ascii="Times New Roman" w:hAnsi="Times New Roman" w:eastAsia="仿宋" w:cs="Noto Serif CJK SC"/>
                <w:b w:val="0"/>
                <w:sz w:val="20"/>
              </w:rPr>
              <w:t>引导学生讨论，鼓励不同观点</w:t>
            </w:r>
          </w:p>
        </w:tc>
        <w:tc>
          <w:tcPr>
            <w:tcW w:w="1836" w:type="dxa"/>
            <w:tcMar>
              <w:top w:w="70" w:type="dxa"/>
              <w:left w:w="70" w:type="dxa"/>
              <w:bottom w:w="70" w:type="dxa"/>
              <w:right w:w="70" w:type="dxa"/>
            </w:tcMar>
            <w:vAlign w:val="center"/>
          </w:tcPr>
          <w:p w14:paraId="55E89188">
            <w:pPr>
              <w:pStyle w:val="167"/>
              <w:spacing w:before="0" w:after="0" w:line="240" w:lineRule="auto"/>
              <w:jc w:val="center"/>
            </w:pPr>
            <w:r>
              <w:rPr>
                <w:rFonts w:ascii="Times New Roman" w:hAnsi="Times New Roman" w:eastAsia="仿宋" w:cs="Noto Serif CJK SC"/>
                <w:b w:val="0"/>
                <w:sz w:val="20"/>
              </w:rPr>
              <w:t>22.2%</w:t>
            </w:r>
          </w:p>
        </w:tc>
        <w:tc>
          <w:tcPr>
            <w:tcW w:w="1836" w:type="dxa"/>
            <w:tcMar>
              <w:top w:w="70" w:type="dxa"/>
              <w:left w:w="70" w:type="dxa"/>
              <w:bottom w:w="70" w:type="dxa"/>
              <w:right w:w="70" w:type="dxa"/>
            </w:tcMar>
            <w:vAlign w:val="center"/>
          </w:tcPr>
          <w:p w14:paraId="4CE3A09F">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6A882ECE">
            <w:pPr>
              <w:pStyle w:val="167"/>
              <w:spacing w:before="0" w:after="0" w:line="240" w:lineRule="auto"/>
              <w:jc w:val="center"/>
            </w:pPr>
            <w:r>
              <w:rPr>
                <w:rFonts w:ascii="Times New Roman" w:hAnsi="Times New Roman" w:eastAsia="仿宋" w:cs="Noto Serif CJK SC"/>
                <w:b w:val="0"/>
                <w:sz w:val="20"/>
              </w:rPr>
              <w:t>26.3%</w:t>
            </w:r>
          </w:p>
        </w:tc>
        <w:tc>
          <w:tcPr>
            <w:tcW w:w="1836" w:type="dxa"/>
            <w:tcMar>
              <w:top w:w="70" w:type="dxa"/>
              <w:left w:w="70" w:type="dxa"/>
              <w:bottom w:w="70" w:type="dxa"/>
              <w:right w:w="70" w:type="dxa"/>
            </w:tcMar>
            <w:vAlign w:val="center"/>
          </w:tcPr>
          <w:p w14:paraId="36D35385">
            <w:pPr>
              <w:pStyle w:val="167"/>
              <w:spacing w:before="0" w:after="0" w:line="240" w:lineRule="auto"/>
              <w:jc w:val="center"/>
            </w:pPr>
            <w:r>
              <w:rPr>
                <w:rFonts w:ascii="Times New Roman" w:hAnsi="Times New Roman" w:eastAsia="仿宋" w:cs="Noto Serif CJK SC"/>
                <w:b w:val="0"/>
                <w:sz w:val="20"/>
              </w:rPr>
              <w:t>40.6%</w:t>
            </w:r>
          </w:p>
        </w:tc>
      </w:tr>
      <w:tr w14:paraId="178BA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9913805">
            <w:pPr>
              <w:pStyle w:val="167"/>
              <w:spacing w:before="0" w:after="0" w:line="240" w:lineRule="auto"/>
              <w:jc w:val="center"/>
            </w:pPr>
            <w:r>
              <w:rPr>
                <w:rFonts w:ascii="Times New Roman" w:hAnsi="Times New Roman" w:eastAsia="仿宋" w:cs="Noto Serif CJK SC"/>
                <w:b w:val="0"/>
                <w:sz w:val="20"/>
              </w:rPr>
              <w:t>回避争议话题，跳过不讲</w:t>
            </w:r>
          </w:p>
        </w:tc>
        <w:tc>
          <w:tcPr>
            <w:tcW w:w="1836" w:type="dxa"/>
            <w:tcMar>
              <w:top w:w="70" w:type="dxa"/>
              <w:left w:w="70" w:type="dxa"/>
              <w:bottom w:w="70" w:type="dxa"/>
              <w:right w:w="70" w:type="dxa"/>
            </w:tcMar>
            <w:vAlign w:val="center"/>
          </w:tcPr>
          <w:p w14:paraId="6E1E95A9">
            <w:pPr>
              <w:pStyle w:val="167"/>
              <w:spacing w:before="0" w:after="0" w:line="240" w:lineRule="auto"/>
              <w:jc w:val="center"/>
            </w:pPr>
            <w:r>
              <w:rPr>
                <w:rFonts w:ascii="Times New Roman" w:hAnsi="Times New Roman" w:eastAsia="仿宋" w:cs="Noto Serif CJK SC"/>
                <w:b w:val="0"/>
                <w:sz w:val="20"/>
              </w:rPr>
              <w:t>55.6%</w:t>
            </w:r>
          </w:p>
        </w:tc>
        <w:tc>
          <w:tcPr>
            <w:tcW w:w="1836" w:type="dxa"/>
            <w:tcMar>
              <w:top w:w="70" w:type="dxa"/>
              <w:left w:w="70" w:type="dxa"/>
              <w:bottom w:w="70" w:type="dxa"/>
              <w:right w:w="70" w:type="dxa"/>
            </w:tcMar>
            <w:vAlign w:val="center"/>
          </w:tcPr>
          <w:p w14:paraId="28A62610">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5CF205F2">
            <w:pPr>
              <w:pStyle w:val="167"/>
              <w:spacing w:before="0" w:after="0" w:line="240" w:lineRule="auto"/>
              <w:jc w:val="center"/>
            </w:pPr>
            <w:r>
              <w:rPr>
                <w:rFonts w:ascii="Times New Roman" w:hAnsi="Times New Roman" w:eastAsia="仿宋" w:cs="Noto Serif CJK SC"/>
                <w:b w:val="0"/>
                <w:sz w:val="20"/>
              </w:rPr>
              <w:t>42.1%</w:t>
            </w:r>
          </w:p>
        </w:tc>
        <w:tc>
          <w:tcPr>
            <w:tcW w:w="1836" w:type="dxa"/>
            <w:tcMar>
              <w:top w:w="70" w:type="dxa"/>
              <w:left w:w="70" w:type="dxa"/>
              <w:bottom w:w="70" w:type="dxa"/>
              <w:right w:w="70" w:type="dxa"/>
            </w:tcMar>
            <w:vAlign w:val="center"/>
          </w:tcPr>
          <w:p w14:paraId="3C242A89">
            <w:pPr>
              <w:pStyle w:val="167"/>
              <w:spacing w:before="0" w:after="0" w:line="240" w:lineRule="auto"/>
              <w:jc w:val="center"/>
            </w:pPr>
            <w:r>
              <w:rPr>
                <w:rFonts w:ascii="Times New Roman" w:hAnsi="Times New Roman" w:eastAsia="仿宋" w:cs="Noto Serif CJK SC"/>
                <w:b w:val="0"/>
                <w:sz w:val="20"/>
              </w:rPr>
              <w:t>25.0%</w:t>
            </w:r>
          </w:p>
        </w:tc>
      </w:tr>
      <w:tr w14:paraId="0C84C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1B0A6D39">
            <w:pPr>
              <w:pStyle w:val="167"/>
              <w:spacing w:before="0" w:after="0" w:line="240" w:lineRule="auto"/>
              <w:jc w:val="center"/>
            </w:pPr>
            <w:r>
              <w:rPr>
                <w:rFonts w:ascii="Times New Roman" w:hAnsi="Times New Roman" w:eastAsia="仿宋" w:cs="Noto Serif CJK SC"/>
                <w:b w:val="0"/>
                <w:sz w:val="20"/>
              </w:rPr>
              <w:t>让学生自主探究，不给出结论</w:t>
            </w:r>
          </w:p>
        </w:tc>
        <w:tc>
          <w:tcPr>
            <w:tcW w:w="1836" w:type="dxa"/>
            <w:tcMar>
              <w:top w:w="70" w:type="dxa"/>
              <w:left w:w="70" w:type="dxa"/>
              <w:bottom w:w="70" w:type="dxa"/>
              <w:right w:w="70" w:type="dxa"/>
            </w:tcMar>
            <w:vAlign w:val="center"/>
          </w:tcPr>
          <w:p w14:paraId="5E6D43B9">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6CB8560">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67D81D0B">
            <w:pPr>
              <w:pStyle w:val="167"/>
              <w:spacing w:before="0" w:after="0" w:line="240" w:lineRule="auto"/>
              <w:jc w:val="center"/>
            </w:pPr>
            <w:r>
              <w:rPr>
                <w:rFonts w:ascii="Times New Roman" w:hAnsi="Times New Roman" w:eastAsia="仿宋" w:cs="Noto Serif CJK SC"/>
                <w:b w:val="0"/>
                <w:sz w:val="20"/>
              </w:rPr>
              <w:t>5.3%</w:t>
            </w:r>
          </w:p>
        </w:tc>
        <w:tc>
          <w:tcPr>
            <w:tcW w:w="1836" w:type="dxa"/>
            <w:tcMar>
              <w:top w:w="70" w:type="dxa"/>
              <w:left w:w="70" w:type="dxa"/>
              <w:bottom w:w="70" w:type="dxa"/>
              <w:right w:w="70" w:type="dxa"/>
            </w:tcMar>
            <w:vAlign w:val="center"/>
          </w:tcPr>
          <w:p w14:paraId="5CFE31F6">
            <w:pPr>
              <w:pStyle w:val="167"/>
              <w:spacing w:before="0" w:after="0" w:line="240" w:lineRule="auto"/>
              <w:jc w:val="center"/>
            </w:pPr>
            <w:r>
              <w:rPr>
                <w:rFonts w:ascii="Times New Roman" w:hAnsi="Times New Roman" w:eastAsia="仿宋" w:cs="Noto Serif CJK SC"/>
                <w:b w:val="0"/>
                <w:sz w:val="20"/>
              </w:rPr>
              <w:t>3.1%</w:t>
            </w:r>
          </w:p>
        </w:tc>
      </w:tr>
    </w:tbl>
    <w:p w14:paraId="5DF06E76">
      <w:pPr>
        <w:pStyle w:val="167"/>
      </w:pPr>
      <w:r>
        <w:rPr>
          <w:rFonts w:ascii="Times New Roman" w:hAnsi="Times New Roman" w:eastAsia="仿宋" w:cs="Noto Serif CJK SC"/>
        </w:rPr>
        <w:t>高校教师对待争议话题的方式存在国别特征：国内 55.6% 教师选择回避相关议题，课堂讨论空间有限；西班牙 75% 教师直接给出标准答案，弱化自主探讨；巴西教学模式分化，回避、标准答案、引导讨论三类方式并行。尽管 40.6% 课堂会引导学生交流观点，但开放式讨论教学仍未普及。</w:t>
      </w:r>
    </w:p>
    <w:p w14:paraId="7CFD28AA">
      <w:pPr>
        <w:pStyle w:val="166"/>
        <w:keepNext/>
        <w:keepLines/>
      </w:pPr>
      <w:r>
        <w:rPr>
          <w:rFonts w:ascii="Times New Roman" w:hAnsi="Times New Roman" w:eastAsia="宋体" w:cs="Noto Serif CJK SC"/>
        </w:rPr>
        <w:t>3.3 科研/创新实践活动参与频率</w:t>
      </w:r>
    </w:p>
    <w:p w14:paraId="4F84A943">
      <w:pPr>
        <w:pStyle w:val="167"/>
        <w:keepNext/>
        <w:spacing w:before="100" w:after="60"/>
        <w:jc w:val="center"/>
      </w:pPr>
      <w:r>
        <w:rPr>
          <w:rFonts w:ascii="Times New Roman" w:hAnsi="Times New Roman" w:eastAsia="仿宋" w:cs="Noto Serif CJK SC"/>
          <w:sz w:val="21"/>
        </w:rPr>
        <w:t>表9 各地区参与频率情况表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7AE53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451BDEFB">
            <w:pPr>
              <w:pStyle w:val="167"/>
              <w:spacing w:before="0" w:after="0" w:line="240" w:lineRule="auto"/>
              <w:jc w:val="center"/>
            </w:pPr>
            <w:r>
              <w:rPr>
                <w:rFonts w:ascii="Times New Roman" w:hAnsi="Times New Roman" w:eastAsia="宋体" w:cs="Noto Serif CJK SC"/>
                <w:b/>
                <w:sz w:val="20"/>
              </w:rPr>
              <w:t>参与频率</w:t>
            </w:r>
          </w:p>
        </w:tc>
        <w:tc>
          <w:tcPr>
            <w:tcW w:w="1836" w:type="dxa"/>
            <w:tcMar>
              <w:top w:w="70" w:type="dxa"/>
              <w:left w:w="70" w:type="dxa"/>
              <w:bottom w:w="70" w:type="dxa"/>
              <w:right w:w="70" w:type="dxa"/>
            </w:tcMar>
            <w:vAlign w:val="center"/>
          </w:tcPr>
          <w:p w14:paraId="671D7016">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6C787CF7">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2B581100">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00DC4C7F">
            <w:pPr>
              <w:pStyle w:val="167"/>
              <w:spacing w:before="0" w:after="0" w:line="240" w:lineRule="auto"/>
              <w:jc w:val="center"/>
            </w:pPr>
            <w:r>
              <w:rPr>
                <w:rFonts w:ascii="Times New Roman" w:hAnsi="Times New Roman" w:eastAsia="宋体" w:cs="Noto Serif CJK SC"/>
                <w:b/>
                <w:sz w:val="20"/>
              </w:rPr>
              <w:t>总体</w:t>
            </w:r>
          </w:p>
        </w:tc>
      </w:tr>
      <w:tr w14:paraId="697D2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6FDA5BE1">
            <w:pPr>
              <w:pStyle w:val="167"/>
              <w:spacing w:before="0" w:after="0" w:line="240" w:lineRule="auto"/>
              <w:jc w:val="center"/>
            </w:pPr>
            <w:r>
              <w:rPr>
                <w:rFonts w:ascii="Times New Roman" w:hAnsi="Times New Roman" w:eastAsia="仿宋" w:cs="Noto Serif CJK SC"/>
                <w:b w:val="0"/>
                <w:sz w:val="20"/>
              </w:rPr>
              <w:t>从未参与</w:t>
            </w:r>
          </w:p>
        </w:tc>
        <w:tc>
          <w:tcPr>
            <w:tcW w:w="1836" w:type="dxa"/>
            <w:tcMar>
              <w:top w:w="70" w:type="dxa"/>
              <w:left w:w="70" w:type="dxa"/>
              <w:bottom w:w="70" w:type="dxa"/>
              <w:right w:w="70" w:type="dxa"/>
            </w:tcMar>
            <w:vAlign w:val="center"/>
          </w:tcPr>
          <w:p w14:paraId="2E52342E">
            <w:pPr>
              <w:pStyle w:val="167"/>
              <w:spacing w:before="0" w:after="0" w:line="240" w:lineRule="auto"/>
              <w:jc w:val="center"/>
            </w:pPr>
            <w:r>
              <w:rPr>
                <w:rFonts w:ascii="Times New Roman" w:hAnsi="Times New Roman" w:eastAsia="仿宋" w:cs="Noto Serif CJK SC"/>
                <w:b w:val="0"/>
                <w:sz w:val="20"/>
              </w:rPr>
              <w:t>22.2%</w:t>
            </w:r>
          </w:p>
        </w:tc>
        <w:tc>
          <w:tcPr>
            <w:tcW w:w="1836" w:type="dxa"/>
            <w:tcMar>
              <w:top w:w="70" w:type="dxa"/>
              <w:left w:w="70" w:type="dxa"/>
              <w:bottom w:w="70" w:type="dxa"/>
              <w:right w:w="70" w:type="dxa"/>
            </w:tcMar>
            <w:vAlign w:val="center"/>
          </w:tcPr>
          <w:p w14:paraId="47D7706E">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4ED28B56">
            <w:pPr>
              <w:pStyle w:val="167"/>
              <w:spacing w:before="0" w:after="0" w:line="240" w:lineRule="auto"/>
              <w:jc w:val="center"/>
            </w:pPr>
            <w:r>
              <w:rPr>
                <w:rFonts w:ascii="Times New Roman" w:hAnsi="Times New Roman" w:eastAsia="仿宋" w:cs="Noto Serif CJK SC"/>
                <w:b w:val="0"/>
                <w:sz w:val="20"/>
              </w:rPr>
              <w:t>42.1%</w:t>
            </w:r>
          </w:p>
        </w:tc>
        <w:tc>
          <w:tcPr>
            <w:tcW w:w="1836" w:type="dxa"/>
            <w:tcMar>
              <w:top w:w="70" w:type="dxa"/>
              <w:left w:w="70" w:type="dxa"/>
              <w:bottom w:w="70" w:type="dxa"/>
              <w:right w:w="70" w:type="dxa"/>
            </w:tcMar>
            <w:vAlign w:val="center"/>
          </w:tcPr>
          <w:p w14:paraId="7C3368A0">
            <w:pPr>
              <w:pStyle w:val="167"/>
              <w:spacing w:before="0" w:after="0" w:line="240" w:lineRule="auto"/>
              <w:jc w:val="center"/>
            </w:pPr>
            <w:r>
              <w:rPr>
                <w:rFonts w:ascii="Times New Roman" w:hAnsi="Times New Roman" w:eastAsia="仿宋" w:cs="Noto Serif CJK SC"/>
                <w:b w:val="0"/>
                <w:sz w:val="20"/>
              </w:rPr>
              <w:t>37.5%</w:t>
            </w:r>
          </w:p>
        </w:tc>
      </w:tr>
      <w:tr w14:paraId="41712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8B3654F">
            <w:pPr>
              <w:pStyle w:val="167"/>
              <w:spacing w:before="0" w:after="0" w:line="240" w:lineRule="auto"/>
              <w:jc w:val="center"/>
            </w:pPr>
            <w:r>
              <w:rPr>
                <w:rFonts w:ascii="Times New Roman" w:hAnsi="Times New Roman" w:eastAsia="仿宋" w:cs="Noto Serif CJK SC"/>
                <w:b w:val="0"/>
                <w:sz w:val="20"/>
              </w:rPr>
              <w:t>偶尔参与（1 - 2次）</w:t>
            </w:r>
          </w:p>
        </w:tc>
        <w:tc>
          <w:tcPr>
            <w:tcW w:w="1836" w:type="dxa"/>
            <w:tcMar>
              <w:top w:w="70" w:type="dxa"/>
              <w:left w:w="70" w:type="dxa"/>
              <w:bottom w:w="70" w:type="dxa"/>
              <w:right w:w="70" w:type="dxa"/>
            </w:tcMar>
            <w:vAlign w:val="center"/>
          </w:tcPr>
          <w:p w14:paraId="657FE493">
            <w:pPr>
              <w:pStyle w:val="167"/>
              <w:spacing w:before="0" w:after="0" w:line="240" w:lineRule="auto"/>
              <w:jc w:val="center"/>
            </w:pPr>
            <w:r>
              <w:rPr>
                <w:rFonts w:ascii="Times New Roman" w:hAnsi="Times New Roman" w:eastAsia="仿宋" w:cs="Noto Serif CJK SC"/>
                <w:b w:val="0"/>
                <w:sz w:val="20"/>
              </w:rPr>
              <w:t>44.4%</w:t>
            </w:r>
          </w:p>
        </w:tc>
        <w:tc>
          <w:tcPr>
            <w:tcW w:w="1836" w:type="dxa"/>
            <w:tcMar>
              <w:top w:w="70" w:type="dxa"/>
              <w:left w:w="70" w:type="dxa"/>
              <w:bottom w:w="70" w:type="dxa"/>
              <w:right w:w="70" w:type="dxa"/>
            </w:tcMar>
            <w:vAlign w:val="center"/>
          </w:tcPr>
          <w:p w14:paraId="2BBE32F4">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25C23476">
            <w:pPr>
              <w:pStyle w:val="167"/>
              <w:spacing w:before="0" w:after="0" w:line="240" w:lineRule="auto"/>
              <w:jc w:val="center"/>
            </w:pPr>
            <w:r>
              <w:rPr>
                <w:rFonts w:ascii="Times New Roman" w:hAnsi="Times New Roman" w:eastAsia="仿宋" w:cs="Noto Serif CJK SC"/>
                <w:b w:val="0"/>
                <w:sz w:val="20"/>
              </w:rPr>
              <w:t>42.1%</w:t>
            </w:r>
          </w:p>
        </w:tc>
        <w:tc>
          <w:tcPr>
            <w:tcW w:w="1836" w:type="dxa"/>
            <w:tcMar>
              <w:top w:w="70" w:type="dxa"/>
              <w:left w:w="70" w:type="dxa"/>
              <w:bottom w:w="70" w:type="dxa"/>
              <w:right w:w="70" w:type="dxa"/>
            </w:tcMar>
            <w:vAlign w:val="center"/>
          </w:tcPr>
          <w:p w14:paraId="2CB72171">
            <w:pPr>
              <w:pStyle w:val="167"/>
              <w:spacing w:before="0" w:after="0" w:line="240" w:lineRule="auto"/>
              <w:jc w:val="center"/>
            </w:pPr>
            <w:r>
              <w:rPr>
                <w:rFonts w:ascii="Times New Roman" w:hAnsi="Times New Roman" w:eastAsia="仿宋" w:cs="Noto Serif CJK SC"/>
                <w:b w:val="0"/>
                <w:sz w:val="20"/>
              </w:rPr>
              <w:t>40.6%</w:t>
            </w:r>
          </w:p>
        </w:tc>
      </w:tr>
      <w:tr w14:paraId="681DD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15E27F4">
            <w:pPr>
              <w:pStyle w:val="167"/>
              <w:spacing w:before="0" w:after="0" w:line="240" w:lineRule="auto"/>
              <w:jc w:val="center"/>
            </w:pPr>
            <w:r>
              <w:rPr>
                <w:rFonts w:ascii="Times New Roman" w:hAnsi="Times New Roman" w:eastAsia="仿宋" w:cs="Noto Serif CJK SC"/>
                <w:b w:val="0"/>
                <w:sz w:val="20"/>
              </w:rPr>
              <w:t>经常参与（3 - 5次）</w:t>
            </w:r>
          </w:p>
        </w:tc>
        <w:tc>
          <w:tcPr>
            <w:tcW w:w="1836" w:type="dxa"/>
            <w:tcMar>
              <w:top w:w="70" w:type="dxa"/>
              <w:left w:w="70" w:type="dxa"/>
              <w:bottom w:w="70" w:type="dxa"/>
              <w:right w:w="70" w:type="dxa"/>
            </w:tcMar>
            <w:vAlign w:val="center"/>
          </w:tcPr>
          <w:p w14:paraId="19DAB4FF">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113049BD">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6ABBD57B">
            <w:pPr>
              <w:pStyle w:val="167"/>
              <w:spacing w:before="0" w:after="0" w:line="240" w:lineRule="auto"/>
              <w:jc w:val="center"/>
            </w:pPr>
            <w:r>
              <w:rPr>
                <w:rFonts w:ascii="Times New Roman" w:hAnsi="Times New Roman" w:eastAsia="仿宋" w:cs="Noto Serif CJK SC"/>
                <w:b w:val="0"/>
                <w:sz w:val="20"/>
              </w:rPr>
              <w:t>5.3%</w:t>
            </w:r>
          </w:p>
        </w:tc>
        <w:tc>
          <w:tcPr>
            <w:tcW w:w="1836" w:type="dxa"/>
            <w:tcMar>
              <w:top w:w="70" w:type="dxa"/>
              <w:left w:w="70" w:type="dxa"/>
              <w:bottom w:w="70" w:type="dxa"/>
              <w:right w:w="70" w:type="dxa"/>
            </w:tcMar>
            <w:vAlign w:val="center"/>
          </w:tcPr>
          <w:p w14:paraId="1A893B09">
            <w:pPr>
              <w:pStyle w:val="167"/>
              <w:spacing w:before="0" w:after="0" w:line="240" w:lineRule="auto"/>
              <w:jc w:val="center"/>
            </w:pPr>
            <w:r>
              <w:rPr>
                <w:rFonts w:ascii="Times New Roman" w:hAnsi="Times New Roman" w:eastAsia="仿宋" w:cs="Noto Serif CJK SC"/>
                <w:b w:val="0"/>
                <w:sz w:val="20"/>
              </w:rPr>
              <w:t>15.6%</w:t>
            </w:r>
          </w:p>
        </w:tc>
      </w:tr>
      <w:tr w14:paraId="21BE1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D40D5EA">
            <w:pPr>
              <w:pStyle w:val="167"/>
              <w:spacing w:before="0" w:after="0" w:line="240" w:lineRule="auto"/>
              <w:jc w:val="center"/>
            </w:pPr>
            <w:r>
              <w:rPr>
                <w:rFonts w:ascii="Times New Roman" w:hAnsi="Times New Roman" w:eastAsia="仿宋" w:cs="Noto Serif CJK SC"/>
                <w:b w:val="0"/>
                <w:sz w:val="20"/>
              </w:rPr>
              <w:t>持续参与（5次以上）</w:t>
            </w:r>
          </w:p>
        </w:tc>
        <w:tc>
          <w:tcPr>
            <w:tcW w:w="1836" w:type="dxa"/>
            <w:tcMar>
              <w:top w:w="70" w:type="dxa"/>
              <w:left w:w="70" w:type="dxa"/>
              <w:bottom w:w="70" w:type="dxa"/>
              <w:right w:w="70" w:type="dxa"/>
            </w:tcMar>
            <w:vAlign w:val="center"/>
          </w:tcPr>
          <w:p w14:paraId="5E6A2E9F">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0593BB62">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62AF2BAB">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37D96FD8">
            <w:pPr>
              <w:pStyle w:val="167"/>
              <w:spacing w:before="0" w:after="0" w:line="240" w:lineRule="auto"/>
              <w:jc w:val="center"/>
            </w:pPr>
            <w:r>
              <w:rPr>
                <w:rFonts w:ascii="Times New Roman" w:hAnsi="Times New Roman" w:eastAsia="仿宋" w:cs="Noto Serif CJK SC"/>
                <w:b w:val="0"/>
                <w:sz w:val="20"/>
              </w:rPr>
              <w:t>6.3%</w:t>
            </w:r>
          </w:p>
        </w:tc>
      </w:tr>
    </w:tbl>
    <w:p w14:paraId="5390C84A">
      <w:pPr>
        <w:pStyle w:val="167"/>
      </w:pPr>
      <w:r>
        <w:rPr>
          <w:rFonts w:ascii="Times New Roman" w:hAnsi="Times New Roman" w:eastAsia="仿宋" w:cs="Noto Serif CJK SC"/>
        </w:rPr>
        <w:t>大学生科研实践整体供给不足，近八成学生仅偶尔参与或从未参与科研项目。中国学生科研参与度三国最高，仅 22.22% 从未参与；西班牙半数学生无科研经历，贴合本科阶段偏重课程学习的培养模式；巴西科研资源分配不均，近半数学生从未参与，仅少数精英群体能够持续开展科研实践。</w:t>
      </w:r>
    </w:p>
    <w:p w14:paraId="2F6FDD75">
      <w:pPr>
        <w:pStyle w:val="165"/>
        <w:keepNext/>
        <w:keepLines/>
      </w:pPr>
      <w:r>
        <w:rPr>
          <w:rFonts w:ascii="Times New Roman" w:hAnsi="Times New Roman" w:eastAsia="宋体" w:cs="Noto Serif CJK SC"/>
          <w:b/>
        </w:rPr>
        <w:t>4. 学习习惯与问题解决偏好</w:t>
      </w:r>
    </w:p>
    <w:p w14:paraId="666B4C02">
      <w:pPr>
        <w:pStyle w:val="166"/>
        <w:keepNext/>
        <w:keepLines/>
      </w:pPr>
      <w:r>
        <w:rPr>
          <w:rFonts w:ascii="Times New Roman" w:hAnsi="Times New Roman" w:eastAsia="宋体" w:cs="Noto Serif CJK SC"/>
        </w:rPr>
        <w:t>4.1 教育价值观：三国差异最显著的维度</w:t>
      </w:r>
    </w:p>
    <w:p w14:paraId="759E9F9B">
      <w:pPr>
        <w:pStyle w:val="166"/>
        <w:keepNext/>
        <w:keepLines/>
      </w:pPr>
      <w:r>
        <w:rPr>
          <w:rFonts w:ascii="Times New Roman" w:hAnsi="Times New Roman" w:eastAsia="宋体" w:cs="Noto Serif CJK SC"/>
        </w:rPr>
        <w:t>4.1.1 家庭和学校最常灌输的观念</w:t>
      </w:r>
    </w:p>
    <w:p w14:paraId="68E4B8DF">
      <w:pPr>
        <w:pStyle w:val="167"/>
        <w:keepNext/>
        <w:spacing w:before="100" w:after="60"/>
        <w:jc w:val="center"/>
      </w:pPr>
      <w:r>
        <w:rPr>
          <w:rFonts w:ascii="Times New Roman" w:hAnsi="Times New Roman" w:eastAsia="仿宋" w:cs="Noto Serif CJK SC"/>
          <w:sz w:val="21"/>
        </w:rPr>
        <w:t>表10 不同国家观念占比表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0AC4A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3253CCE0">
            <w:pPr>
              <w:pStyle w:val="167"/>
              <w:spacing w:before="0" w:after="0" w:line="240" w:lineRule="auto"/>
              <w:jc w:val="center"/>
            </w:pPr>
            <w:r>
              <w:rPr>
                <w:rFonts w:ascii="Times New Roman" w:hAnsi="Times New Roman" w:eastAsia="宋体" w:cs="Noto Serif CJK SC"/>
                <w:b/>
                <w:sz w:val="20"/>
              </w:rPr>
              <w:t>观念</w:t>
            </w:r>
          </w:p>
        </w:tc>
        <w:tc>
          <w:tcPr>
            <w:tcW w:w="1836" w:type="dxa"/>
            <w:tcMar>
              <w:top w:w="70" w:type="dxa"/>
              <w:left w:w="70" w:type="dxa"/>
              <w:bottom w:w="70" w:type="dxa"/>
              <w:right w:w="70" w:type="dxa"/>
            </w:tcMar>
            <w:vAlign w:val="center"/>
          </w:tcPr>
          <w:p w14:paraId="0F2A25D7">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28BEA433">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5499621C">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3D52A4C3">
            <w:pPr>
              <w:pStyle w:val="167"/>
              <w:spacing w:before="0" w:after="0" w:line="240" w:lineRule="auto"/>
              <w:jc w:val="center"/>
            </w:pPr>
            <w:r>
              <w:rPr>
                <w:rFonts w:ascii="Times New Roman" w:hAnsi="Times New Roman" w:eastAsia="宋体" w:cs="Noto Serif CJK SC"/>
                <w:b/>
                <w:sz w:val="20"/>
              </w:rPr>
              <w:t>总体</w:t>
            </w:r>
          </w:p>
        </w:tc>
      </w:tr>
      <w:tr w14:paraId="3B4CB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10F8EDA5">
            <w:pPr>
              <w:pStyle w:val="167"/>
              <w:spacing w:before="0" w:after="0" w:line="240" w:lineRule="auto"/>
              <w:jc w:val="center"/>
            </w:pPr>
            <w:r>
              <w:rPr>
                <w:rFonts w:ascii="Times New Roman" w:hAnsi="Times New Roman" w:eastAsia="仿宋" w:cs="Noto Serif CJK SC"/>
                <w:b w:val="0"/>
                <w:sz w:val="20"/>
              </w:rPr>
              <w:t>听话懂事，遵守规则</w:t>
            </w:r>
          </w:p>
        </w:tc>
        <w:tc>
          <w:tcPr>
            <w:tcW w:w="1836" w:type="dxa"/>
            <w:tcMar>
              <w:top w:w="70" w:type="dxa"/>
              <w:left w:w="70" w:type="dxa"/>
              <w:bottom w:w="70" w:type="dxa"/>
              <w:right w:w="70" w:type="dxa"/>
            </w:tcMar>
            <w:vAlign w:val="center"/>
          </w:tcPr>
          <w:p w14:paraId="55D9702A">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45E8E5D5">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2328208A">
            <w:pPr>
              <w:pStyle w:val="167"/>
              <w:spacing w:before="0" w:after="0" w:line="240" w:lineRule="auto"/>
              <w:jc w:val="center"/>
            </w:pPr>
            <w:r>
              <w:rPr>
                <w:rFonts w:ascii="Times New Roman" w:hAnsi="Times New Roman" w:eastAsia="仿宋" w:cs="Noto Serif CJK SC"/>
                <w:b w:val="0"/>
                <w:sz w:val="20"/>
              </w:rPr>
              <w:t>57.9%</w:t>
            </w:r>
          </w:p>
        </w:tc>
        <w:tc>
          <w:tcPr>
            <w:tcW w:w="1836" w:type="dxa"/>
            <w:tcMar>
              <w:top w:w="70" w:type="dxa"/>
              <w:left w:w="70" w:type="dxa"/>
              <w:bottom w:w="70" w:type="dxa"/>
              <w:right w:w="70" w:type="dxa"/>
            </w:tcMar>
            <w:vAlign w:val="center"/>
          </w:tcPr>
          <w:p w14:paraId="05EFC096">
            <w:pPr>
              <w:pStyle w:val="167"/>
              <w:spacing w:before="0" w:after="0" w:line="240" w:lineRule="auto"/>
              <w:jc w:val="center"/>
            </w:pPr>
            <w:r>
              <w:rPr>
                <w:rFonts w:ascii="Times New Roman" w:hAnsi="Times New Roman" w:eastAsia="仿宋" w:cs="Noto Serif CJK SC"/>
                <w:b w:val="0"/>
                <w:sz w:val="20"/>
              </w:rPr>
              <w:t>46.9%</w:t>
            </w:r>
          </w:p>
        </w:tc>
      </w:tr>
      <w:tr w14:paraId="5E52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5B9390D">
            <w:pPr>
              <w:pStyle w:val="167"/>
              <w:spacing w:before="0" w:after="0" w:line="240" w:lineRule="auto"/>
              <w:jc w:val="center"/>
            </w:pPr>
            <w:r>
              <w:rPr>
                <w:rFonts w:ascii="Times New Roman" w:hAnsi="Times New Roman" w:eastAsia="仿宋" w:cs="Noto Serif CJK SC"/>
                <w:b w:val="0"/>
                <w:sz w:val="20"/>
              </w:rPr>
              <w:t>独立思考，敢于质疑</w:t>
            </w:r>
          </w:p>
        </w:tc>
        <w:tc>
          <w:tcPr>
            <w:tcW w:w="1836" w:type="dxa"/>
            <w:tcMar>
              <w:top w:w="70" w:type="dxa"/>
              <w:left w:w="70" w:type="dxa"/>
              <w:bottom w:w="70" w:type="dxa"/>
              <w:right w:w="70" w:type="dxa"/>
            </w:tcMar>
            <w:vAlign w:val="center"/>
          </w:tcPr>
          <w:p w14:paraId="3F4B51B0">
            <w:pPr>
              <w:pStyle w:val="167"/>
              <w:spacing w:before="0" w:after="0" w:line="240" w:lineRule="auto"/>
              <w:jc w:val="center"/>
            </w:pPr>
            <w:r>
              <w:rPr>
                <w:rFonts w:ascii="Times New Roman" w:hAnsi="Times New Roman" w:eastAsia="仿宋" w:cs="Noto Serif CJK SC"/>
                <w:b w:val="0"/>
                <w:sz w:val="20"/>
              </w:rPr>
              <w:t>44.4%</w:t>
            </w:r>
          </w:p>
        </w:tc>
        <w:tc>
          <w:tcPr>
            <w:tcW w:w="1836" w:type="dxa"/>
            <w:tcMar>
              <w:top w:w="70" w:type="dxa"/>
              <w:left w:w="70" w:type="dxa"/>
              <w:bottom w:w="70" w:type="dxa"/>
              <w:right w:w="70" w:type="dxa"/>
            </w:tcMar>
            <w:vAlign w:val="center"/>
          </w:tcPr>
          <w:p w14:paraId="4F83C423">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3BFEDA1C">
            <w:pPr>
              <w:pStyle w:val="167"/>
              <w:spacing w:before="0" w:after="0" w:line="240" w:lineRule="auto"/>
              <w:jc w:val="center"/>
            </w:pPr>
            <w:r>
              <w:rPr>
                <w:rFonts w:ascii="Times New Roman" w:hAnsi="Times New Roman" w:eastAsia="仿宋" w:cs="Noto Serif CJK SC"/>
                <w:b w:val="0"/>
                <w:sz w:val="20"/>
              </w:rPr>
              <w:t>15.8%</w:t>
            </w:r>
          </w:p>
        </w:tc>
        <w:tc>
          <w:tcPr>
            <w:tcW w:w="1836" w:type="dxa"/>
            <w:tcMar>
              <w:top w:w="70" w:type="dxa"/>
              <w:left w:w="70" w:type="dxa"/>
              <w:bottom w:w="70" w:type="dxa"/>
              <w:right w:w="70" w:type="dxa"/>
            </w:tcMar>
            <w:vAlign w:val="center"/>
          </w:tcPr>
          <w:p w14:paraId="2B6F2BA3">
            <w:pPr>
              <w:pStyle w:val="167"/>
              <w:spacing w:before="0" w:after="0" w:line="240" w:lineRule="auto"/>
              <w:jc w:val="center"/>
            </w:pPr>
            <w:r>
              <w:rPr>
                <w:rFonts w:ascii="Times New Roman" w:hAnsi="Times New Roman" w:eastAsia="仿宋" w:cs="Noto Serif CJK SC"/>
                <w:b w:val="0"/>
                <w:sz w:val="20"/>
              </w:rPr>
              <w:t>25.0%</w:t>
            </w:r>
          </w:p>
        </w:tc>
      </w:tr>
      <w:tr w14:paraId="3C811C18">
        <w:tblPrEx>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69929374">
            <w:pPr>
              <w:pStyle w:val="167"/>
              <w:spacing w:before="0" w:after="0" w:line="240" w:lineRule="auto"/>
              <w:jc w:val="center"/>
            </w:pPr>
            <w:r>
              <w:rPr>
                <w:rFonts w:ascii="Times New Roman" w:hAnsi="Times New Roman" w:eastAsia="仿宋" w:cs="Noto Serif CJK SC"/>
                <w:b w:val="0"/>
                <w:sz w:val="20"/>
              </w:rPr>
              <w:t>努力学习，取得好成绩</w:t>
            </w:r>
          </w:p>
        </w:tc>
        <w:tc>
          <w:tcPr>
            <w:tcW w:w="1836" w:type="dxa"/>
            <w:tcMar>
              <w:top w:w="70" w:type="dxa"/>
              <w:left w:w="70" w:type="dxa"/>
              <w:bottom w:w="70" w:type="dxa"/>
              <w:right w:w="70" w:type="dxa"/>
            </w:tcMar>
            <w:vAlign w:val="center"/>
          </w:tcPr>
          <w:p w14:paraId="311EC492">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67364000">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0A1AE742">
            <w:pPr>
              <w:pStyle w:val="167"/>
              <w:spacing w:before="0" w:after="0" w:line="240" w:lineRule="auto"/>
              <w:jc w:val="center"/>
            </w:pPr>
            <w:r>
              <w:rPr>
                <w:rFonts w:ascii="Times New Roman" w:hAnsi="Times New Roman" w:eastAsia="仿宋" w:cs="Noto Serif CJK SC"/>
                <w:b w:val="0"/>
                <w:sz w:val="20"/>
              </w:rPr>
              <w:t>21.1%</w:t>
            </w:r>
          </w:p>
        </w:tc>
        <w:tc>
          <w:tcPr>
            <w:tcW w:w="1836" w:type="dxa"/>
            <w:tcMar>
              <w:top w:w="70" w:type="dxa"/>
              <w:left w:w="70" w:type="dxa"/>
              <w:bottom w:w="70" w:type="dxa"/>
              <w:right w:w="70" w:type="dxa"/>
            </w:tcMar>
            <w:vAlign w:val="center"/>
          </w:tcPr>
          <w:p w14:paraId="04B372D3">
            <w:pPr>
              <w:pStyle w:val="167"/>
              <w:spacing w:before="0" w:after="0" w:line="240" w:lineRule="auto"/>
              <w:jc w:val="center"/>
            </w:pPr>
            <w:r>
              <w:rPr>
                <w:rFonts w:ascii="Times New Roman" w:hAnsi="Times New Roman" w:eastAsia="仿宋" w:cs="Noto Serif CJK SC"/>
                <w:b w:val="0"/>
                <w:sz w:val="20"/>
              </w:rPr>
              <w:t>12.5%</w:t>
            </w:r>
          </w:p>
        </w:tc>
      </w:tr>
      <w:tr w14:paraId="01A7E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6711DA4">
            <w:pPr>
              <w:pStyle w:val="167"/>
              <w:spacing w:before="0" w:after="0" w:line="240" w:lineRule="auto"/>
              <w:jc w:val="center"/>
            </w:pPr>
            <w:r>
              <w:rPr>
                <w:rFonts w:ascii="Times New Roman" w:hAnsi="Times New Roman" w:eastAsia="仿宋" w:cs="Noto Serif CJK SC"/>
                <w:b w:val="0"/>
                <w:sz w:val="20"/>
              </w:rPr>
              <w:t>全面发展，提升综合能力</w:t>
            </w:r>
          </w:p>
        </w:tc>
        <w:tc>
          <w:tcPr>
            <w:tcW w:w="1836" w:type="dxa"/>
            <w:tcMar>
              <w:top w:w="70" w:type="dxa"/>
              <w:left w:w="70" w:type="dxa"/>
              <w:bottom w:w="70" w:type="dxa"/>
              <w:right w:w="70" w:type="dxa"/>
            </w:tcMar>
            <w:vAlign w:val="center"/>
          </w:tcPr>
          <w:p w14:paraId="50CA2167">
            <w:pPr>
              <w:pStyle w:val="167"/>
              <w:spacing w:before="0" w:after="0" w:line="240" w:lineRule="auto"/>
              <w:jc w:val="center"/>
            </w:pPr>
            <w:r>
              <w:rPr>
                <w:rFonts w:ascii="Times New Roman" w:hAnsi="Times New Roman" w:eastAsia="仿宋" w:cs="Noto Serif CJK SC"/>
                <w:b w:val="0"/>
                <w:sz w:val="20"/>
              </w:rPr>
              <w:t>22.2%</w:t>
            </w:r>
          </w:p>
        </w:tc>
        <w:tc>
          <w:tcPr>
            <w:tcW w:w="1836" w:type="dxa"/>
            <w:tcMar>
              <w:top w:w="70" w:type="dxa"/>
              <w:left w:w="70" w:type="dxa"/>
              <w:bottom w:w="70" w:type="dxa"/>
              <w:right w:w="70" w:type="dxa"/>
            </w:tcMar>
            <w:vAlign w:val="center"/>
          </w:tcPr>
          <w:p w14:paraId="3949ED9B">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60B05ABF">
            <w:pPr>
              <w:pStyle w:val="167"/>
              <w:spacing w:before="0" w:after="0" w:line="240" w:lineRule="auto"/>
              <w:jc w:val="center"/>
            </w:pPr>
            <w:r>
              <w:rPr>
                <w:rFonts w:ascii="Times New Roman" w:hAnsi="Times New Roman" w:eastAsia="仿宋" w:cs="Noto Serif CJK SC"/>
                <w:b w:val="0"/>
                <w:sz w:val="20"/>
              </w:rPr>
              <w:t>5.3%</w:t>
            </w:r>
          </w:p>
        </w:tc>
        <w:tc>
          <w:tcPr>
            <w:tcW w:w="1836" w:type="dxa"/>
            <w:tcMar>
              <w:top w:w="70" w:type="dxa"/>
              <w:left w:w="70" w:type="dxa"/>
              <w:bottom w:w="70" w:type="dxa"/>
              <w:right w:w="70" w:type="dxa"/>
            </w:tcMar>
            <w:vAlign w:val="center"/>
          </w:tcPr>
          <w:p w14:paraId="165D6646">
            <w:pPr>
              <w:pStyle w:val="167"/>
              <w:spacing w:before="0" w:after="0" w:line="240" w:lineRule="auto"/>
              <w:jc w:val="center"/>
            </w:pPr>
            <w:r>
              <w:rPr>
                <w:rFonts w:ascii="Times New Roman" w:hAnsi="Times New Roman" w:eastAsia="仿宋" w:cs="Noto Serif CJK SC"/>
                <w:b w:val="0"/>
                <w:sz w:val="20"/>
              </w:rPr>
              <w:t>15.6%</w:t>
            </w:r>
          </w:p>
        </w:tc>
      </w:tr>
    </w:tbl>
    <w:p w14:paraId="529060BE">
      <w:pPr>
        <w:pStyle w:val="167"/>
      </w:pPr>
      <w:r>
        <w:rPr>
          <w:rFonts w:ascii="Times New Roman" w:hAnsi="Times New Roman" w:eastAsia="仿宋" w:cs="Noto Serif CJK SC"/>
        </w:rPr>
        <w:t>遵守规则、听话服从是三国统一传递的主流教育理念，巴西认同比例最高（57.9%）。44.4% 中国学生表示家校倡导独立思考、敢于质疑，但该认知与国内中小学批判性思维培育占比极低的现实形成明显割裂；西班牙教育更注重学生综合全面发展。</w:t>
      </w:r>
    </w:p>
    <w:p w14:paraId="181465E8">
      <w:pPr>
        <w:pStyle w:val="166"/>
        <w:keepNext/>
        <w:keepLines/>
      </w:pPr>
      <w:r>
        <w:rPr>
          <w:rFonts w:ascii="Times New Roman" w:hAnsi="Times New Roman" w:eastAsia="宋体" w:cs="Noto Serif CJK SC"/>
        </w:rPr>
        <w:t>4.1.2 最能培养社会所需能力的教育评价方式</w:t>
      </w:r>
    </w:p>
    <w:p w14:paraId="54AC78BC">
      <w:pPr>
        <w:pStyle w:val="167"/>
        <w:keepNext/>
        <w:spacing w:before="100" w:after="60"/>
        <w:jc w:val="center"/>
      </w:pPr>
      <w:r>
        <w:rPr>
          <w:rFonts w:ascii="Times New Roman" w:hAnsi="Times New Roman" w:eastAsia="仿宋" w:cs="Noto Serif CJK SC"/>
          <w:sz w:val="21"/>
        </w:rPr>
        <w:t>表11 各评价方式在不同国家及总体的占比情况表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05A81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220414B7">
            <w:pPr>
              <w:pStyle w:val="167"/>
              <w:spacing w:before="0" w:after="0" w:line="240" w:lineRule="auto"/>
              <w:jc w:val="center"/>
            </w:pPr>
            <w:r>
              <w:rPr>
                <w:rFonts w:ascii="Times New Roman" w:hAnsi="Times New Roman" w:eastAsia="宋体" w:cs="Noto Serif CJK SC"/>
                <w:b/>
                <w:sz w:val="20"/>
              </w:rPr>
              <w:t>评价方式</w:t>
            </w:r>
          </w:p>
        </w:tc>
        <w:tc>
          <w:tcPr>
            <w:tcW w:w="1836" w:type="dxa"/>
            <w:tcMar>
              <w:top w:w="70" w:type="dxa"/>
              <w:left w:w="70" w:type="dxa"/>
              <w:bottom w:w="70" w:type="dxa"/>
              <w:right w:w="70" w:type="dxa"/>
            </w:tcMar>
            <w:vAlign w:val="center"/>
          </w:tcPr>
          <w:p w14:paraId="7221F765">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14AD70AE">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029B196E">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0F1931A2">
            <w:pPr>
              <w:pStyle w:val="167"/>
              <w:spacing w:before="0" w:after="0" w:line="240" w:lineRule="auto"/>
              <w:jc w:val="center"/>
            </w:pPr>
            <w:r>
              <w:rPr>
                <w:rFonts w:ascii="Times New Roman" w:hAnsi="Times New Roman" w:eastAsia="宋体" w:cs="Noto Serif CJK SC"/>
                <w:b/>
                <w:sz w:val="20"/>
              </w:rPr>
              <w:t>总体</w:t>
            </w:r>
          </w:p>
        </w:tc>
      </w:tr>
      <w:tr w14:paraId="6F236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3D0A7189">
            <w:pPr>
              <w:pStyle w:val="167"/>
              <w:spacing w:before="0" w:after="0" w:line="240" w:lineRule="auto"/>
              <w:jc w:val="center"/>
            </w:pPr>
            <w:r>
              <w:rPr>
                <w:rFonts w:ascii="Times New Roman" w:hAnsi="Times New Roman" w:eastAsia="仿宋" w:cs="Noto Serif CJK SC"/>
                <w:b w:val="0"/>
                <w:sz w:val="20"/>
              </w:rPr>
              <w:t>考试成绩为核心</w:t>
            </w:r>
          </w:p>
        </w:tc>
        <w:tc>
          <w:tcPr>
            <w:tcW w:w="1836" w:type="dxa"/>
            <w:tcMar>
              <w:top w:w="70" w:type="dxa"/>
              <w:left w:w="70" w:type="dxa"/>
              <w:bottom w:w="70" w:type="dxa"/>
              <w:right w:w="70" w:type="dxa"/>
            </w:tcMar>
            <w:vAlign w:val="center"/>
          </w:tcPr>
          <w:p w14:paraId="72744E7A">
            <w:pPr>
              <w:pStyle w:val="167"/>
              <w:spacing w:before="0" w:after="0" w:line="240" w:lineRule="auto"/>
              <w:jc w:val="center"/>
            </w:pPr>
            <w:r>
              <w:rPr>
                <w:rFonts w:ascii="Times New Roman" w:hAnsi="Times New Roman" w:eastAsia="仿宋" w:cs="Noto Serif CJK SC"/>
                <w:b w:val="0"/>
                <w:sz w:val="20"/>
              </w:rPr>
              <w:t>11.1%</w:t>
            </w:r>
          </w:p>
        </w:tc>
        <w:tc>
          <w:tcPr>
            <w:tcW w:w="1836" w:type="dxa"/>
            <w:tcMar>
              <w:top w:w="70" w:type="dxa"/>
              <w:left w:w="70" w:type="dxa"/>
              <w:bottom w:w="70" w:type="dxa"/>
              <w:right w:w="70" w:type="dxa"/>
            </w:tcMar>
            <w:vAlign w:val="center"/>
          </w:tcPr>
          <w:p w14:paraId="71968186">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0EBFB47F">
            <w:pPr>
              <w:pStyle w:val="167"/>
              <w:spacing w:before="0" w:after="0" w:line="240" w:lineRule="auto"/>
              <w:jc w:val="center"/>
            </w:pPr>
            <w:r>
              <w:rPr>
                <w:rFonts w:ascii="Times New Roman" w:hAnsi="Times New Roman" w:eastAsia="仿宋" w:cs="Noto Serif CJK SC"/>
                <w:b w:val="0"/>
                <w:sz w:val="20"/>
              </w:rPr>
              <w:t>5.3%</w:t>
            </w:r>
          </w:p>
        </w:tc>
        <w:tc>
          <w:tcPr>
            <w:tcW w:w="1836" w:type="dxa"/>
            <w:tcMar>
              <w:top w:w="70" w:type="dxa"/>
              <w:left w:w="70" w:type="dxa"/>
              <w:bottom w:w="70" w:type="dxa"/>
              <w:right w:w="70" w:type="dxa"/>
            </w:tcMar>
            <w:vAlign w:val="center"/>
          </w:tcPr>
          <w:p w14:paraId="2235AAA9">
            <w:pPr>
              <w:pStyle w:val="167"/>
              <w:spacing w:before="0" w:after="0" w:line="240" w:lineRule="auto"/>
              <w:jc w:val="center"/>
            </w:pPr>
            <w:r>
              <w:rPr>
                <w:rFonts w:ascii="Times New Roman" w:hAnsi="Times New Roman" w:eastAsia="仿宋" w:cs="Noto Serif CJK SC"/>
                <w:b w:val="0"/>
                <w:sz w:val="20"/>
              </w:rPr>
              <w:t>6.2%</w:t>
            </w:r>
          </w:p>
        </w:tc>
      </w:tr>
      <w:tr w14:paraId="24D02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ECBC80A">
            <w:pPr>
              <w:pStyle w:val="167"/>
              <w:spacing w:before="0" w:after="0" w:line="240" w:lineRule="auto"/>
              <w:jc w:val="center"/>
            </w:pPr>
            <w:r>
              <w:rPr>
                <w:rFonts w:ascii="Times New Roman" w:hAnsi="Times New Roman" w:eastAsia="仿宋" w:cs="Noto Serif CJK SC"/>
                <w:b w:val="0"/>
                <w:sz w:val="20"/>
              </w:rPr>
              <w:t>多维度综合评价</w:t>
            </w:r>
          </w:p>
        </w:tc>
        <w:tc>
          <w:tcPr>
            <w:tcW w:w="1836" w:type="dxa"/>
            <w:tcMar>
              <w:top w:w="70" w:type="dxa"/>
              <w:left w:w="70" w:type="dxa"/>
              <w:bottom w:w="70" w:type="dxa"/>
              <w:right w:w="70" w:type="dxa"/>
            </w:tcMar>
            <w:vAlign w:val="center"/>
          </w:tcPr>
          <w:p w14:paraId="68942CD3">
            <w:pPr>
              <w:pStyle w:val="167"/>
              <w:spacing w:before="0" w:after="0" w:line="240" w:lineRule="auto"/>
              <w:jc w:val="center"/>
            </w:pPr>
            <w:r>
              <w:rPr>
                <w:rFonts w:ascii="Times New Roman" w:hAnsi="Times New Roman" w:eastAsia="仿宋" w:cs="Noto Serif CJK SC"/>
                <w:b w:val="0"/>
                <w:sz w:val="20"/>
              </w:rPr>
              <w:t>11.1%</w:t>
            </w:r>
          </w:p>
        </w:tc>
        <w:tc>
          <w:tcPr>
            <w:tcW w:w="1836" w:type="dxa"/>
            <w:tcMar>
              <w:top w:w="70" w:type="dxa"/>
              <w:left w:w="70" w:type="dxa"/>
              <w:bottom w:w="70" w:type="dxa"/>
              <w:right w:w="70" w:type="dxa"/>
            </w:tcMar>
            <w:vAlign w:val="center"/>
          </w:tcPr>
          <w:p w14:paraId="5044E75E">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11B9C8DD">
            <w:pPr>
              <w:pStyle w:val="167"/>
              <w:spacing w:before="0" w:after="0" w:line="240" w:lineRule="auto"/>
              <w:jc w:val="center"/>
            </w:pPr>
            <w:r>
              <w:rPr>
                <w:rFonts w:ascii="Times New Roman" w:hAnsi="Times New Roman" w:eastAsia="仿宋" w:cs="Noto Serif CJK SC"/>
                <w:b w:val="0"/>
                <w:sz w:val="20"/>
              </w:rPr>
              <w:t>36.8%</w:t>
            </w:r>
          </w:p>
        </w:tc>
        <w:tc>
          <w:tcPr>
            <w:tcW w:w="1836" w:type="dxa"/>
            <w:tcMar>
              <w:top w:w="70" w:type="dxa"/>
              <w:left w:w="70" w:type="dxa"/>
              <w:bottom w:w="70" w:type="dxa"/>
              <w:right w:w="70" w:type="dxa"/>
            </w:tcMar>
            <w:vAlign w:val="center"/>
          </w:tcPr>
          <w:p w14:paraId="5F011861">
            <w:pPr>
              <w:pStyle w:val="167"/>
              <w:spacing w:before="0" w:after="0" w:line="240" w:lineRule="auto"/>
              <w:jc w:val="center"/>
            </w:pPr>
            <w:r>
              <w:rPr>
                <w:rFonts w:ascii="Times New Roman" w:hAnsi="Times New Roman" w:eastAsia="仿宋" w:cs="Noto Serif CJK SC"/>
                <w:b w:val="0"/>
                <w:sz w:val="20"/>
              </w:rPr>
              <w:t>34.4%</w:t>
            </w:r>
          </w:p>
        </w:tc>
      </w:tr>
      <w:tr w14:paraId="594B2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DAA96A0">
            <w:pPr>
              <w:pStyle w:val="167"/>
              <w:spacing w:before="0" w:after="0" w:line="240" w:lineRule="auto"/>
              <w:jc w:val="center"/>
            </w:pPr>
            <w:r>
              <w:rPr>
                <w:rFonts w:ascii="Times New Roman" w:hAnsi="Times New Roman" w:eastAsia="仿宋" w:cs="Noto Serif CJK SC"/>
                <w:b w:val="0"/>
                <w:sz w:val="20"/>
              </w:rPr>
              <w:t>项目成果为核心的实践性评价</w:t>
            </w:r>
          </w:p>
        </w:tc>
        <w:tc>
          <w:tcPr>
            <w:tcW w:w="1836" w:type="dxa"/>
            <w:tcMar>
              <w:top w:w="70" w:type="dxa"/>
              <w:left w:w="70" w:type="dxa"/>
              <w:bottom w:w="70" w:type="dxa"/>
              <w:right w:w="70" w:type="dxa"/>
            </w:tcMar>
            <w:vAlign w:val="center"/>
          </w:tcPr>
          <w:p w14:paraId="73BAC23E">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0570D6D1">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34E8490D">
            <w:pPr>
              <w:pStyle w:val="167"/>
              <w:spacing w:before="0" w:after="0" w:line="240" w:lineRule="auto"/>
              <w:jc w:val="center"/>
            </w:pPr>
            <w:r>
              <w:rPr>
                <w:rFonts w:ascii="Times New Roman" w:hAnsi="Times New Roman" w:eastAsia="仿宋" w:cs="Noto Serif CJK SC"/>
                <w:b w:val="0"/>
                <w:sz w:val="20"/>
              </w:rPr>
              <w:t>31.6%</w:t>
            </w:r>
          </w:p>
        </w:tc>
        <w:tc>
          <w:tcPr>
            <w:tcW w:w="1836" w:type="dxa"/>
            <w:tcMar>
              <w:top w:w="70" w:type="dxa"/>
              <w:left w:w="70" w:type="dxa"/>
              <w:bottom w:w="70" w:type="dxa"/>
              <w:right w:w="70" w:type="dxa"/>
            </w:tcMar>
            <w:vAlign w:val="center"/>
          </w:tcPr>
          <w:p w14:paraId="2048A1E8">
            <w:pPr>
              <w:pStyle w:val="167"/>
              <w:spacing w:before="0" w:after="0" w:line="240" w:lineRule="auto"/>
              <w:jc w:val="center"/>
            </w:pPr>
            <w:r>
              <w:rPr>
                <w:rFonts w:ascii="Times New Roman" w:hAnsi="Times New Roman" w:eastAsia="仿宋" w:cs="Noto Serif CJK SC"/>
                <w:b w:val="0"/>
                <w:sz w:val="20"/>
              </w:rPr>
              <w:t>34.4%</w:t>
            </w:r>
          </w:p>
        </w:tc>
      </w:tr>
      <w:tr w14:paraId="6DA78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C7BE376">
            <w:pPr>
              <w:pStyle w:val="167"/>
              <w:spacing w:before="0" w:after="0" w:line="240" w:lineRule="auto"/>
              <w:jc w:val="center"/>
            </w:pPr>
            <w:r>
              <w:rPr>
                <w:rFonts w:ascii="Times New Roman" w:hAnsi="Times New Roman" w:eastAsia="仿宋" w:cs="Noto Serif CJK SC"/>
                <w:b w:val="0"/>
                <w:sz w:val="20"/>
              </w:rPr>
              <w:t>同伴评价（peer review）</w:t>
            </w:r>
          </w:p>
        </w:tc>
        <w:tc>
          <w:tcPr>
            <w:tcW w:w="1836" w:type="dxa"/>
            <w:tcMar>
              <w:top w:w="70" w:type="dxa"/>
              <w:left w:w="70" w:type="dxa"/>
              <w:bottom w:w="70" w:type="dxa"/>
              <w:right w:w="70" w:type="dxa"/>
            </w:tcMar>
            <w:vAlign w:val="center"/>
          </w:tcPr>
          <w:p w14:paraId="669377DD">
            <w:pPr>
              <w:pStyle w:val="167"/>
              <w:spacing w:before="0" w:after="0" w:line="240" w:lineRule="auto"/>
              <w:jc w:val="center"/>
            </w:pPr>
            <w:r>
              <w:rPr>
                <w:rFonts w:ascii="Times New Roman" w:hAnsi="Times New Roman" w:eastAsia="仿宋" w:cs="Noto Serif CJK SC"/>
                <w:b w:val="0"/>
                <w:sz w:val="20"/>
              </w:rPr>
              <w:t>44.4%</w:t>
            </w:r>
          </w:p>
        </w:tc>
        <w:tc>
          <w:tcPr>
            <w:tcW w:w="1836" w:type="dxa"/>
            <w:tcMar>
              <w:top w:w="70" w:type="dxa"/>
              <w:left w:w="70" w:type="dxa"/>
              <w:bottom w:w="70" w:type="dxa"/>
              <w:right w:w="70" w:type="dxa"/>
            </w:tcMar>
            <w:vAlign w:val="center"/>
          </w:tcPr>
          <w:p w14:paraId="39F9F317">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33322403">
            <w:pPr>
              <w:pStyle w:val="167"/>
              <w:spacing w:before="0" w:after="0" w:line="240" w:lineRule="auto"/>
              <w:jc w:val="center"/>
            </w:pPr>
            <w:r>
              <w:rPr>
                <w:rFonts w:ascii="Times New Roman" w:hAnsi="Times New Roman" w:eastAsia="仿宋" w:cs="Noto Serif CJK SC"/>
                <w:b w:val="0"/>
                <w:sz w:val="20"/>
              </w:rPr>
              <w:t>26.3%</w:t>
            </w:r>
          </w:p>
        </w:tc>
        <w:tc>
          <w:tcPr>
            <w:tcW w:w="1836" w:type="dxa"/>
            <w:tcMar>
              <w:top w:w="70" w:type="dxa"/>
              <w:left w:w="70" w:type="dxa"/>
              <w:bottom w:w="70" w:type="dxa"/>
              <w:right w:w="70" w:type="dxa"/>
            </w:tcMar>
            <w:vAlign w:val="center"/>
          </w:tcPr>
          <w:p w14:paraId="6738311A">
            <w:pPr>
              <w:pStyle w:val="167"/>
              <w:spacing w:before="0" w:after="0" w:line="240" w:lineRule="auto"/>
              <w:jc w:val="center"/>
            </w:pPr>
            <w:r>
              <w:rPr>
                <w:rFonts w:ascii="Times New Roman" w:hAnsi="Times New Roman" w:eastAsia="仿宋" w:cs="Noto Serif CJK SC"/>
                <w:b w:val="0"/>
                <w:sz w:val="20"/>
              </w:rPr>
              <w:t>25.0%</w:t>
            </w:r>
          </w:p>
        </w:tc>
      </w:tr>
    </w:tbl>
    <w:p w14:paraId="4C3CF466">
      <w:pPr>
        <w:pStyle w:val="167"/>
      </w:pPr>
      <w:r>
        <w:rPr>
          <w:rFonts w:ascii="Times New Roman" w:hAnsi="Times New Roman" w:eastAsia="仿宋" w:cs="Noto Serif CJK SC"/>
        </w:rPr>
        <w:t>三国学生均否定单一考试成绩作为评价标准，仅 6.2% 样本认可该模式。项目成果导向评价、多维度综合评价认可度并列最高（34.4%）；中国学生对同伴互评接受度三国最高，与高校重视跨文化协作培养的导向相匹配。</w:t>
      </w:r>
    </w:p>
    <w:p w14:paraId="7FAADEA6">
      <w:pPr>
        <w:pStyle w:val="166"/>
        <w:keepNext/>
        <w:keepLines/>
      </w:pPr>
      <w:r>
        <w:rPr>
          <w:rFonts w:ascii="Times New Roman" w:hAnsi="Times New Roman" w:eastAsia="宋体" w:cs="Noto Serif CJK SC"/>
        </w:rPr>
        <w:t>4.1.3 教育经历为进入社会的"准备度"</w:t>
      </w:r>
    </w:p>
    <w:p w14:paraId="61AAFFBF">
      <w:pPr>
        <w:pStyle w:val="167"/>
        <w:keepNext/>
        <w:spacing w:before="100" w:after="60"/>
        <w:jc w:val="center"/>
      </w:pPr>
      <w:r>
        <w:rPr>
          <w:rFonts w:ascii="Times New Roman" w:hAnsi="Times New Roman" w:eastAsia="仿宋" w:cs="Noto Serif CJK SC"/>
          <w:sz w:val="21"/>
        </w:rPr>
        <w:t>表12 各国准备度数据统计表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76088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39D844EB">
            <w:pPr>
              <w:pStyle w:val="167"/>
              <w:spacing w:before="0" w:after="0" w:line="240" w:lineRule="auto"/>
              <w:jc w:val="center"/>
            </w:pPr>
            <w:r>
              <w:rPr>
                <w:rFonts w:ascii="Times New Roman" w:hAnsi="Times New Roman" w:eastAsia="宋体" w:cs="Noto Serif CJK SC"/>
                <w:b/>
                <w:sz w:val="20"/>
              </w:rPr>
              <w:t>准备度</w:t>
            </w:r>
          </w:p>
        </w:tc>
        <w:tc>
          <w:tcPr>
            <w:tcW w:w="1836" w:type="dxa"/>
            <w:tcMar>
              <w:top w:w="70" w:type="dxa"/>
              <w:left w:w="70" w:type="dxa"/>
              <w:bottom w:w="70" w:type="dxa"/>
              <w:right w:w="70" w:type="dxa"/>
            </w:tcMar>
            <w:vAlign w:val="center"/>
          </w:tcPr>
          <w:p w14:paraId="3E9148E0">
            <w:pPr>
              <w:pStyle w:val="167"/>
              <w:spacing w:before="0" w:after="0" w:line="240" w:lineRule="auto"/>
              <w:jc w:val="center"/>
            </w:pPr>
            <w:r>
              <w:rPr>
                <w:rFonts w:ascii="Times New Roman" w:hAnsi="Times New Roman" w:eastAsia="宋体" w:cs="Noto Serif CJK SC"/>
                <w:b/>
                <w:sz w:val="20"/>
              </w:rPr>
              <w:t>中国</w:t>
            </w:r>
          </w:p>
        </w:tc>
        <w:tc>
          <w:tcPr>
            <w:tcW w:w="1836" w:type="dxa"/>
            <w:tcMar>
              <w:top w:w="70" w:type="dxa"/>
              <w:left w:w="70" w:type="dxa"/>
              <w:bottom w:w="70" w:type="dxa"/>
              <w:right w:w="70" w:type="dxa"/>
            </w:tcMar>
            <w:vAlign w:val="center"/>
          </w:tcPr>
          <w:p w14:paraId="58C8A66F">
            <w:pPr>
              <w:pStyle w:val="167"/>
              <w:spacing w:before="0" w:after="0" w:line="240" w:lineRule="auto"/>
              <w:jc w:val="center"/>
            </w:pPr>
            <w:r>
              <w:rPr>
                <w:rFonts w:ascii="Times New Roman" w:hAnsi="Times New Roman" w:eastAsia="宋体" w:cs="Noto Serif CJK SC"/>
                <w:b/>
                <w:sz w:val="20"/>
              </w:rPr>
              <w:t>西班牙</w:t>
            </w:r>
          </w:p>
        </w:tc>
        <w:tc>
          <w:tcPr>
            <w:tcW w:w="1836" w:type="dxa"/>
            <w:tcMar>
              <w:top w:w="70" w:type="dxa"/>
              <w:left w:w="70" w:type="dxa"/>
              <w:bottom w:w="70" w:type="dxa"/>
              <w:right w:w="70" w:type="dxa"/>
            </w:tcMar>
            <w:vAlign w:val="center"/>
          </w:tcPr>
          <w:p w14:paraId="202625EE">
            <w:pPr>
              <w:pStyle w:val="167"/>
              <w:spacing w:before="0" w:after="0" w:line="240" w:lineRule="auto"/>
              <w:jc w:val="center"/>
            </w:pPr>
            <w:r>
              <w:rPr>
                <w:rFonts w:ascii="Times New Roman" w:hAnsi="Times New Roman" w:eastAsia="宋体" w:cs="Noto Serif CJK SC"/>
                <w:b/>
                <w:sz w:val="20"/>
              </w:rPr>
              <w:t>巴西</w:t>
            </w:r>
          </w:p>
        </w:tc>
        <w:tc>
          <w:tcPr>
            <w:tcW w:w="1836" w:type="dxa"/>
            <w:tcMar>
              <w:top w:w="70" w:type="dxa"/>
              <w:left w:w="70" w:type="dxa"/>
              <w:bottom w:w="70" w:type="dxa"/>
              <w:right w:w="70" w:type="dxa"/>
            </w:tcMar>
            <w:vAlign w:val="center"/>
          </w:tcPr>
          <w:p w14:paraId="23C6B755">
            <w:pPr>
              <w:pStyle w:val="167"/>
              <w:spacing w:before="0" w:after="0" w:line="240" w:lineRule="auto"/>
              <w:jc w:val="center"/>
            </w:pPr>
            <w:r>
              <w:rPr>
                <w:rFonts w:ascii="Times New Roman" w:hAnsi="Times New Roman" w:eastAsia="宋体" w:cs="Noto Serif CJK SC"/>
                <w:b/>
                <w:sz w:val="20"/>
              </w:rPr>
              <w:t>总体</w:t>
            </w:r>
          </w:p>
        </w:tc>
      </w:tr>
      <w:tr w14:paraId="03D7E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693351D">
            <w:pPr>
              <w:pStyle w:val="167"/>
              <w:spacing w:before="0" w:after="0" w:line="240" w:lineRule="auto"/>
              <w:jc w:val="center"/>
            </w:pPr>
            <w:r>
              <w:rPr>
                <w:rFonts w:ascii="Times New Roman" w:hAnsi="Times New Roman" w:eastAsia="仿宋" w:cs="Noto Serif CJK SC"/>
                <w:b w:val="0"/>
                <w:sz w:val="20"/>
              </w:rPr>
              <w:t>完全没准备好</w:t>
            </w:r>
          </w:p>
        </w:tc>
        <w:tc>
          <w:tcPr>
            <w:tcW w:w="1836" w:type="dxa"/>
            <w:tcMar>
              <w:top w:w="70" w:type="dxa"/>
              <w:left w:w="70" w:type="dxa"/>
              <w:bottom w:w="70" w:type="dxa"/>
              <w:right w:w="70" w:type="dxa"/>
            </w:tcMar>
            <w:vAlign w:val="center"/>
          </w:tcPr>
          <w:p w14:paraId="0B9C6D3C">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6CC42801">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5AA48D63">
            <w:pPr>
              <w:pStyle w:val="167"/>
              <w:spacing w:before="0" w:after="0" w:line="240" w:lineRule="auto"/>
              <w:jc w:val="center"/>
            </w:pPr>
            <w:r>
              <w:rPr>
                <w:rFonts w:ascii="Times New Roman" w:hAnsi="Times New Roman" w:eastAsia="仿宋" w:cs="Noto Serif CJK SC"/>
                <w:b w:val="0"/>
                <w:sz w:val="20"/>
              </w:rPr>
              <w:t>31.6%</w:t>
            </w:r>
          </w:p>
        </w:tc>
        <w:tc>
          <w:tcPr>
            <w:tcW w:w="1836" w:type="dxa"/>
            <w:tcMar>
              <w:top w:w="70" w:type="dxa"/>
              <w:left w:w="70" w:type="dxa"/>
              <w:bottom w:w="70" w:type="dxa"/>
              <w:right w:w="70" w:type="dxa"/>
            </w:tcMar>
            <w:vAlign w:val="center"/>
          </w:tcPr>
          <w:p w14:paraId="5E520063">
            <w:pPr>
              <w:pStyle w:val="167"/>
              <w:spacing w:before="0" w:after="0" w:line="240" w:lineRule="auto"/>
              <w:jc w:val="center"/>
            </w:pPr>
            <w:r>
              <w:rPr>
                <w:rFonts w:ascii="Times New Roman" w:hAnsi="Times New Roman" w:eastAsia="仿宋" w:cs="Noto Serif CJK SC"/>
                <w:b w:val="0"/>
                <w:sz w:val="20"/>
              </w:rPr>
              <w:t>18.8%</w:t>
            </w:r>
          </w:p>
        </w:tc>
      </w:tr>
      <w:tr w14:paraId="71458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5CE41718">
            <w:pPr>
              <w:pStyle w:val="167"/>
              <w:spacing w:before="0" w:after="0" w:line="240" w:lineRule="auto"/>
              <w:jc w:val="center"/>
            </w:pPr>
            <w:r>
              <w:rPr>
                <w:rFonts w:ascii="Times New Roman" w:hAnsi="Times New Roman" w:eastAsia="仿宋" w:cs="Noto Serif CJK SC"/>
                <w:b w:val="0"/>
                <w:sz w:val="20"/>
              </w:rPr>
              <w:t>不太准备好/准备度一般</w:t>
            </w:r>
          </w:p>
        </w:tc>
        <w:tc>
          <w:tcPr>
            <w:tcW w:w="1836" w:type="dxa"/>
            <w:tcMar>
              <w:top w:w="70" w:type="dxa"/>
              <w:left w:w="70" w:type="dxa"/>
              <w:bottom w:w="70" w:type="dxa"/>
              <w:right w:w="70" w:type="dxa"/>
            </w:tcMar>
            <w:vAlign w:val="center"/>
          </w:tcPr>
          <w:p w14:paraId="1FC38D5A">
            <w:pPr>
              <w:pStyle w:val="167"/>
              <w:spacing w:before="0" w:after="0" w:line="240" w:lineRule="auto"/>
              <w:jc w:val="center"/>
            </w:pPr>
            <w:r>
              <w:rPr>
                <w:rFonts w:ascii="Times New Roman" w:hAnsi="Times New Roman" w:eastAsia="仿宋" w:cs="Noto Serif CJK SC"/>
                <w:b w:val="0"/>
                <w:sz w:val="20"/>
              </w:rPr>
              <w:t>44.4%</w:t>
            </w:r>
          </w:p>
        </w:tc>
        <w:tc>
          <w:tcPr>
            <w:tcW w:w="1836" w:type="dxa"/>
            <w:tcMar>
              <w:top w:w="70" w:type="dxa"/>
              <w:left w:w="70" w:type="dxa"/>
              <w:bottom w:w="70" w:type="dxa"/>
              <w:right w:w="70" w:type="dxa"/>
            </w:tcMar>
            <w:vAlign w:val="center"/>
          </w:tcPr>
          <w:p w14:paraId="51DEF157">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47AAA6A4">
            <w:pPr>
              <w:pStyle w:val="167"/>
              <w:spacing w:before="0" w:after="0" w:line="240" w:lineRule="auto"/>
              <w:jc w:val="center"/>
            </w:pPr>
            <w:r>
              <w:rPr>
                <w:rFonts w:ascii="Times New Roman" w:hAnsi="Times New Roman" w:eastAsia="仿宋" w:cs="Noto Serif CJK SC"/>
                <w:b w:val="0"/>
                <w:sz w:val="20"/>
              </w:rPr>
              <w:t>47.4%</w:t>
            </w:r>
          </w:p>
        </w:tc>
        <w:tc>
          <w:tcPr>
            <w:tcW w:w="1836" w:type="dxa"/>
            <w:tcMar>
              <w:top w:w="70" w:type="dxa"/>
              <w:left w:w="70" w:type="dxa"/>
              <w:bottom w:w="70" w:type="dxa"/>
              <w:right w:w="70" w:type="dxa"/>
            </w:tcMar>
            <w:vAlign w:val="center"/>
          </w:tcPr>
          <w:p w14:paraId="6E42DC8B">
            <w:pPr>
              <w:pStyle w:val="167"/>
              <w:spacing w:before="0" w:after="0" w:line="240" w:lineRule="auto"/>
              <w:jc w:val="center"/>
            </w:pPr>
            <w:r>
              <w:rPr>
                <w:rFonts w:ascii="Times New Roman" w:hAnsi="Times New Roman" w:eastAsia="仿宋" w:cs="Noto Serif CJK SC"/>
                <w:b w:val="0"/>
                <w:sz w:val="20"/>
              </w:rPr>
              <w:t>40.6%</w:t>
            </w:r>
          </w:p>
        </w:tc>
      </w:tr>
      <w:tr w14:paraId="3D4E8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0EA014D9">
            <w:pPr>
              <w:pStyle w:val="167"/>
              <w:spacing w:before="0" w:after="0" w:line="240" w:lineRule="auto"/>
              <w:jc w:val="center"/>
            </w:pPr>
            <w:r>
              <w:rPr>
                <w:rFonts w:ascii="Times New Roman" w:hAnsi="Times New Roman" w:eastAsia="仿宋" w:cs="Noto Serif CJK SC"/>
                <w:b w:val="0"/>
                <w:sz w:val="20"/>
              </w:rPr>
              <w:t>基本准备好</w:t>
            </w:r>
          </w:p>
        </w:tc>
        <w:tc>
          <w:tcPr>
            <w:tcW w:w="1836" w:type="dxa"/>
            <w:tcMar>
              <w:top w:w="70" w:type="dxa"/>
              <w:left w:w="70" w:type="dxa"/>
              <w:bottom w:w="70" w:type="dxa"/>
              <w:right w:w="70" w:type="dxa"/>
            </w:tcMar>
            <w:vAlign w:val="center"/>
          </w:tcPr>
          <w:p w14:paraId="54ED1ADB">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5C5EF712">
            <w:pPr>
              <w:pStyle w:val="167"/>
              <w:spacing w:before="0" w:after="0" w:line="240" w:lineRule="auto"/>
              <w:jc w:val="center"/>
            </w:pPr>
            <w:r>
              <w:rPr>
                <w:rFonts w:ascii="Times New Roman" w:hAnsi="Times New Roman" w:eastAsia="仿宋" w:cs="Noto Serif CJK SC"/>
                <w:b w:val="0"/>
                <w:sz w:val="20"/>
              </w:rPr>
              <w:t>75.0%</w:t>
            </w:r>
          </w:p>
        </w:tc>
        <w:tc>
          <w:tcPr>
            <w:tcW w:w="1836" w:type="dxa"/>
            <w:tcMar>
              <w:top w:w="70" w:type="dxa"/>
              <w:left w:w="70" w:type="dxa"/>
              <w:bottom w:w="70" w:type="dxa"/>
              <w:right w:w="70" w:type="dxa"/>
            </w:tcMar>
            <w:vAlign w:val="center"/>
          </w:tcPr>
          <w:p w14:paraId="0BE17DD8">
            <w:pPr>
              <w:pStyle w:val="167"/>
              <w:spacing w:before="0" w:after="0" w:line="240" w:lineRule="auto"/>
              <w:jc w:val="center"/>
            </w:pPr>
            <w:r>
              <w:rPr>
                <w:rFonts w:ascii="Times New Roman" w:hAnsi="Times New Roman" w:eastAsia="仿宋" w:cs="Noto Serif CJK SC"/>
                <w:b w:val="0"/>
                <w:sz w:val="20"/>
              </w:rPr>
              <w:t>21.1%</w:t>
            </w:r>
          </w:p>
        </w:tc>
        <w:tc>
          <w:tcPr>
            <w:tcW w:w="1836" w:type="dxa"/>
            <w:tcMar>
              <w:top w:w="70" w:type="dxa"/>
              <w:left w:w="70" w:type="dxa"/>
              <w:bottom w:w="70" w:type="dxa"/>
              <w:right w:w="70" w:type="dxa"/>
            </w:tcMar>
            <w:vAlign w:val="center"/>
          </w:tcPr>
          <w:p w14:paraId="5B839E7C">
            <w:pPr>
              <w:pStyle w:val="167"/>
              <w:spacing w:before="0" w:after="0" w:line="240" w:lineRule="auto"/>
              <w:jc w:val="center"/>
            </w:pPr>
            <w:r>
              <w:rPr>
                <w:rFonts w:ascii="Times New Roman" w:hAnsi="Times New Roman" w:eastAsia="仿宋" w:cs="Noto Serif CJK SC"/>
                <w:b w:val="0"/>
                <w:sz w:val="20"/>
              </w:rPr>
              <w:t>31.2%</w:t>
            </w:r>
          </w:p>
        </w:tc>
      </w:tr>
      <w:tr w14:paraId="23E08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4D15DDE6">
            <w:pPr>
              <w:pStyle w:val="167"/>
              <w:spacing w:before="0" w:after="0" w:line="240" w:lineRule="auto"/>
              <w:jc w:val="center"/>
            </w:pPr>
            <w:r>
              <w:rPr>
                <w:rFonts w:ascii="Times New Roman" w:hAnsi="Times New Roman" w:eastAsia="仿宋" w:cs="Noto Serif CJK SC"/>
                <w:b w:val="0"/>
                <w:sz w:val="20"/>
              </w:rPr>
              <w:t>完全准备好了</w:t>
            </w:r>
          </w:p>
        </w:tc>
        <w:tc>
          <w:tcPr>
            <w:tcW w:w="1836" w:type="dxa"/>
            <w:tcMar>
              <w:top w:w="70" w:type="dxa"/>
              <w:left w:w="70" w:type="dxa"/>
              <w:bottom w:w="70" w:type="dxa"/>
              <w:right w:w="70" w:type="dxa"/>
            </w:tcMar>
            <w:vAlign w:val="center"/>
          </w:tcPr>
          <w:p w14:paraId="48EB7D8F">
            <w:pPr>
              <w:pStyle w:val="167"/>
              <w:spacing w:before="0" w:after="0" w:line="240" w:lineRule="auto"/>
              <w:jc w:val="center"/>
            </w:pPr>
            <w:r>
              <w:rPr>
                <w:rFonts w:ascii="Times New Roman" w:hAnsi="Times New Roman" w:eastAsia="仿宋" w:cs="Noto Serif CJK SC"/>
                <w:b w:val="0"/>
                <w:sz w:val="20"/>
              </w:rPr>
              <w:t>22.2%</w:t>
            </w:r>
          </w:p>
        </w:tc>
        <w:tc>
          <w:tcPr>
            <w:tcW w:w="1836" w:type="dxa"/>
            <w:tcMar>
              <w:top w:w="70" w:type="dxa"/>
              <w:left w:w="70" w:type="dxa"/>
              <w:bottom w:w="70" w:type="dxa"/>
              <w:right w:w="70" w:type="dxa"/>
            </w:tcMar>
            <w:vAlign w:val="center"/>
          </w:tcPr>
          <w:p w14:paraId="04C08FE6">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3A6A6B24">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7277703B">
            <w:pPr>
              <w:pStyle w:val="167"/>
              <w:spacing w:before="0" w:after="0" w:line="240" w:lineRule="auto"/>
              <w:jc w:val="center"/>
            </w:pPr>
            <w:r>
              <w:rPr>
                <w:rFonts w:ascii="Times New Roman" w:hAnsi="Times New Roman" w:eastAsia="仿宋" w:cs="Noto Serif CJK SC"/>
                <w:b w:val="0"/>
                <w:sz w:val="20"/>
              </w:rPr>
              <w:t>9.4%</w:t>
            </w:r>
          </w:p>
        </w:tc>
      </w:tr>
    </w:tbl>
    <w:p w14:paraId="3603E312">
      <w:pPr>
        <w:pStyle w:val="167"/>
      </w:pPr>
      <w:r>
        <w:rPr>
          <w:rFonts w:ascii="Times New Roman" w:hAnsi="Times New Roman" w:eastAsia="仿宋" w:cs="Noto Serif CJK SC"/>
        </w:rPr>
        <w:t>学生对校园教育的就业准备感知分层清晰：西班牙学生自我评估最优，全部认为在校学习能够支撑社会工作；中国学生感受中等，超四成认为自身准备程度一般；巴西学生适配感最弱，超七成认为在校学习难以应对职场需求。整体仅 9.38% 学生认为自身完全做好就业准备，常规教育与行业工程实践需求存在明显断层。</w:t>
      </w:r>
    </w:p>
    <w:p w14:paraId="3127AB62">
      <w:pPr>
        <w:pStyle w:val="166"/>
        <w:keepNext/>
        <w:keepLines/>
      </w:pPr>
      <w:r>
        <w:rPr>
          <w:rFonts w:ascii="Times New Roman" w:hAnsi="Times New Roman" w:eastAsia="宋体" w:cs="Noto Serif CJK SC"/>
        </w:rPr>
        <w:t>4.1.4 希望未来子女接受的教育风格</w:t>
      </w:r>
    </w:p>
    <w:p w14:paraId="42F6B71D">
      <w:pPr>
        <w:pStyle w:val="167"/>
        <w:keepNext/>
        <w:spacing w:before="100" w:after="60"/>
        <w:jc w:val="center"/>
      </w:pPr>
      <w:r>
        <w:rPr>
          <w:rFonts w:ascii="Times New Roman" w:hAnsi="Times New Roman" w:eastAsia="仿宋" w:cs="Noto Serif CJK SC"/>
          <w:sz w:val="21"/>
        </w:rPr>
        <w:t>表13 不同风格在各国及总体占比表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6"/>
        <w:gridCol w:w="1836"/>
        <w:gridCol w:w="1836"/>
        <w:gridCol w:w="1836"/>
        <w:gridCol w:w="1836"/>
      </w:tblGrid>
      <w:tr w14:paraId="717E3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6" w:type="dxa"/>
            <w:tcMar>
              <w:top w:w="70" w:type="dxa"/>
              <w:left w:w="70" w:type="dxa"/>
              <w:bottom w:w="70" w:type="dxa"/>
              <w:right w:w="70" w:type="dxa"/>
            </w:tcMar>
            <w:vAlign w:val="center"/>
          </w:tcPr>
          <w:p w14:paraId="6E390030">
            <w:pPr>
              <w:pStyle w:val="167"/>
              <w:spacing w:before="0" w:after="0" w:line="240" w:lineRule="auto"/>
              <w:jc w:val="center"/>
            </w:pPr>
            <w:r>
              <w:rPr>
                <w:rFonts w:ascii="Times New Roman" w:hAnsi="Times New Roman" w:eastAsia="宋体" w:cs="Noto Serif CJK SC"/>
                <w:b/>
                <w:sz w:val="20"/>
              </w:rPr>
              <w:t>风格</w:t>
            </w:r>
          </w:p>
        </w:tc>
        <w:tc>
          <w:tcPr>
            <w:tcW w:w="1836" w:type="dxa"/>
            <w:tcMar>
              <w:top w:w="70" w:type="dxa"/>
              <w:left w:w="70" w:type="dxa"/>
              <w:bottom w:w="70" w:type="dxa"/>
              <w:right w:w="70" w:type="dxa"/>
            </w:tcMar>
            <w:vAlign w:val="center"/>
          </w:tcPr>
          <w:p w14:paraId="679F864C">
            <w:pPr>
              <w:pStyle w:val="167"/>
              <w:spacing w:before="0" w:after="0" w:line="240" w:lineRule="auto"/>
              <w:jc w:val="center"/>
            </w:pPr>
            <w:r>
              <w:rPr>
                <w:rFonts w:ascii="Times New Roman" w:hAnsi="Times New Roman" w:eastAsia="宋体" w:cs="Noto Serif CJK SC"/>
                <w:b/>
                <w:sz w:val="20"/>
              </w:rPr>
              <w:t>中国占比</w:t>
            </w:r>
          </w:p>
        </w:tc>
        <w:tc>
          <w:tcPr>
            <w:tcW w:w="1836" w:type="dxa"/>
            <w:tcMar>
              <w:top w:w="70" w:type="dxa"/>
              <w:left w:w="70" w:type="dxa"/>
              <w:bottom w:w="70" w:type="dxa"/>
              <w:right w:w="70" w:type="dxa"/>
            </w:tcMar>
            <w:vAlign w:val="center"/>
          </w:tcPr>
          <w:p w14:paraId="15A6C7D9">
            <w:pPr>
              <w:pStyle w:val="167"/>
              <w:spacing w:before="0" w:after="0" w:line="240" w:lineRule="auto"/>
              <w:jc w:val="center"/>
            </w:pPr>
            <w:r>
              <w:rPr>
                <w:rFonts w:ascii="Times New Roman" w:hAnsi="Times New Roman" w:eastAsia="宋体" w:cs="Noto Serif CJK SC"/>
                <w:b/>
                <w:sz w:val="20"/>
              </w:rPr>
              <w:t>西班牙占比</w:t>
            </w:r>
          </w:p>
        </w:tc>
        <w:tc>
          <w:tcPr>
            <w:tcW w:w="1836" w:type="dxa"/>
            <w:tcMar>
              <w:top w:w="70" w:type="dxa"/>
              <w:left w:w="70" w:type="dxa"/>
              <w:bottom w:w="70" w:type="dxa"/>
              <w:right w:w="70" w:type="dxa"/>
            </w:tcMar>
            <w:vAlign w:val="center"/>
          </w:tcPr>
          <w:p w14:paraId="15F8EDF0">
            <w:pPr>
              <w:pStyle w:val="167"/>
              <w:spacing w:before="0" w:after="0" w:line="240" w:lineRule="auto"/>
              <w:jc w:val="center"/>
            </w:pPr>
            <w:r>
              <w:rPr>
                <w:rFonts w:ascii="Times New Roman" w:hAnsi="Times New Roman" w:eastAsia="宋体" w:cs="Noto Serif CJK SC"/>
                <w:b/>
                <w:sz w:val="20"/>
              </w:rPr>
              <w:t>巴西占比</w:t>
            </w:r>
          </w:p>
        </w:tc>
        <w:tc>
          <w:tcPr>
            <w:tcW w:w="1836" w:type="dxa"/>
            <w:tcMar>
              <w:top w:w="70" w:type="dxa"/>
              <w:left w:w="70" w:type="dxa"/>
              <w:bottom w:w="70" w:type="dxa"/>
              <w:right w:w="70" w:type="dxa"/>
            </w:tcMar>
            <w:vAlign w:val="center"/>
          </w:tcPr>
          <w:p w14:paraId="56E734B9">
            <w:pPr>
              <w:pStyle w:val="167"/>
              <w:spacing w:before="0" w:after="0" w:line="240" w:lineRule="auto"/>
              <w:jc w:val="center"/>
            </w:pPr>
            <w:r>
              <w:rPr>
                <w:rFonts w:ascii="Times New Roman" w:hAnsi="Times New Roman" w:eastAsia="宋体" w:cs="Noto Serif CJK SC"/>
                <w:b/>
                <w:sz w:val="20"/>
              </w:rPr>
              <w:t>总体占比</w:t>
            </w:r>
          </w:p>
        </w:tc>
      </w:tr>
      <w:tr w14:paraId="5E34E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22A6E828">
            <w:pPr>
              <w:pStyle w:val="167"/>
              <w:spacing w:before="0" w:after="0" w:line="240" w:lineRule="auto"/>
              <w:jc w:val="center"/>
            </w:pPr>
            <w:r>
              <w:rPr>
                <w:rFonts w:ascii="Times New Roman" w:hAnsi="Times New Roman" w:eastAsia="仿宋" w:cs="Noto Serif CJK SC"/>
                <w:b w:val="0"/>
                <w:sz w:val="20"/>
              </w:rPr>
              <w:t>应试导向，成绩优先</w:t>
            </w:r>
          </w:p>
        </w:tc>
        <w:tc>
          <w:tcPr>
            <w:tcW w:w="1836" w:type="dxa"/>
            <w:tcMar>
              <w:top w:w="70" w:type="dxa"/>
              <w:left w:w="70" w:type="dxa"/>
              <w:bottom w:w="70" w:type="dxa"/>
              <w:right w:w="70" w:type="dxa"/>
            </w:tcMar>
            <w:vAlign w:val="center"/>
          </w:tcPr>
          <w:p w14:paraId="7E2CF790">
            <w:pPr>
              <w:pStyle w:val="167"/>
              <w:spacing w:before="0" w:after="0" w:line="240" w:lineRule="auto"/>
              <w:jc w:val="center"/>
            </w:pPr>
            <w:r>
              <w:rPr>
                <w:rFonts w:ascii="Times New Roman" w:hAnsi="Times New Roman" w:eastAsia="仿宋" w:cs="Noto Serif CJK SC"/>
                <w:b w:val="0"/>
                <w:sz w:val="20"/>
              </w:rPr>
              <w:t>11.1%</w:t>
            </w:r>
          </w:p>
        </w:tc>
        <w:tc>
          <w:tcPr>
            <w:tcW w:w="1836" w:type="dxa"/>
            <w:tcMar>
              <w:top w:w="70" w:type="dxa"/>
              <w:left w:w="70" w:type="dxa"/>
              <w:bottom w:w="70" w:type="dxa"/>
              <w:right w:w="70" w:type="dxa"/>
            </w:tcMar>
            <w:vAlign w:val="center"/>
          </w:tcPr>
          <w:p w14:paraId="6A3AE703">
            <w:pPr>
              <w:pStyle w:val="167"/>
              <w:spacing w:before="0" w:after="0" w:line="240" w:lineRule="auto"/>
              <w:jc w:val="center"/>
            </w:pPr>
            <w:r>
              <w:rPr>
                <w:rFonts w:ascii="Times New Roman" w:hAnsi="Times New Roman" w:eastAsia="仿宋" w:cs="Noto Serif CJK SC"/>
                <w:b w:val="0"/>
                <w:sz w:val="20"/>
              </w:rPr>
              <w:t>0.0%</w:t>
            </w:r>
          </w:p>
        </w:tc>
        <w:tc>
          <w:tcPr>
            <w:tcW w:w="1836" w:type="dxa"/>
            <w:tcMar>
              <w:top w:w="70" w:type="dxa"/>
              <w:left w:w="70" w:type="dxa"/>
              <w:bottom w:w="70" w:type="dxa"/>
              <w:right w:w="70" w:type="dxa"/>
            </w:tcMar>
            <w:vAlign w:val="center"/>
          </w:tcPr>
          <w:p w14:paraId="69F8A069">
            <w:pPr>
              <w:pStyle w:val="167"/>
              <w:spacing w:before="0" w:after="0" w:line="240" w:lineRule="auto"/>
              <w:jc w:val="center"/>
            </w:pPr>
            <w:r>
              <w:rPr>
                <w:rFonts w:ascii="Times New Roman" w:hAnsi="Times New Roman" w:eastAsia="仿宋" w:cs="Noto Serif CJK SC"/>
                <w:b w:val="0"/>
                <w:sz w:val="20"/>
              </w:rPr>
              <w:t>15.8%</w:t>
            </w:r>
          </w:p>
        </w:tc>
        <w:tc>
          <w:tcPr>
            <w:tcW w:w="1836" w:type="dxa"/>
            <w:tcMar>
              <w:top w:w="70" w:type="dxa"/>
              <w:left w:w="70" w:type="dxa"/>
              <w:bottom w:w="70" w:type="dxa"/>
              <w:right w:w="70" w:type="dxa"/>
            </w:tcMar>
            <w:vAlign w:val="center"/>
          </w:tcPr>
          <w:p w14:paraId="66D68EBF">
            <w:pPr>
              <w:pStyle w:val="167"/>
              <w:spacing w:before="0" w:after="0" w:line="240" w:lineRule="auto"/>
              <w:jc w:val="center"/>
            </w:pPr>
            <w:r>
              <w:rPr>
                <w:rFonts w:ascii="Times New Roman" w:hAnsi="Times New Roman" w:eastAsia="仿宋" w:cs="Noto Serif CJK SC"/>
                <w:b w:val="0"/>
                <w:sz w:val="20"/>
              </w:rPr>
              <w:t>12.5%</w:t>
            </w:r>
          </w:p>
        </w:tc>
      </w:tr>
      <w:tr w14:paraId="50AC4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30B14418">
            <w:pPr>
              <w:pStyle w:val="167"/>
              <w:spacing w:before="0" w:after="0" w:line="240" w:lineRule="auto"/>
              <w:jc w:val="center"/>
            </w:pPr>
            <w:r>
              <w:rPr>
                <w:rFonts w:ascii="Times New Roman" w:hAnsi="Times New Roman" w:eastAsia="仿宋" w:cs="Noto Serif CJK SC"/>
                <w:b w:val="0"/>
                <w:sz w:val="20"/>
              </w:rPr>
              <w:t>素质导向，全面发展</w:t>
            </w:r>
          </w:p>
        </w:tc>
        <w:tc>
          <w:tcPr>
            <w:tcW w:w="1836" w:type="dxa"/>
            <w:tcMar>
              <w:top w:w="70" w:type="dxa"/>
              <w:left w:w="70" w:type="dxa"/>
              <w:bottom w:w="70" w:type="dxa"/>
              <w:right w:w="70" w:type="dxa"/>
            </w:tcMar>
            <w:vAlign w:val="center"/>
          </w:tcPr>
          <w:p w14:paraId="4ED7A140">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6E8AC738">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06869137">
            <w:pPr>
              <w:pStyle w:val="167"/>
              <w:spacing w:before="0" w:after="0" w:line="240" w:lineRule="auto"/>
              <w:jc w:val="center"/>
            </w:pPr>
            <w:r>
              <w:rPr>
                <w:rFonts w:ascii="Times New Roman" w:hAnsi="Times New Roman" w:eastAsia="仿宋" w:cs="Noto Serif CJK SC"/>
                <w:b w:val="0"/>
                <w:sz w:val="20"/>
              </w:rPr>
              <w:t>36.8%</w:t>
            </w:r>
          </w:p>
        </w:tc>
        <w:tc>
          <w:tcPr>
            <w:tcW w:w="1836" w:type="dxa"/>
            <w:tcMar>
              <w:top w:w="70" w:type="dxa"/>
              <w:left w:w="70" w:type="dxa"/>
              <w:bottom w:w="70" w:type="dxa"/>
              <w:right w:w="70" w:type="dxa"/>
            </w:tcMar>
            <w:vAlign w:val="center"/>
          </w:tcPr>
          <w:p w14:paraId="2B02FDFD">
            <w:pPr>
              <w:pStyle w:val="167"/>
              <w:spacing w:before="0" w:after="0" w:line="240" w:lineRule="auto"/>
              <w:jc w:val="center"/>
            </w:pPr>
            <w:r>
              <w:rPr>
                <w:rFonts w:ascii="Times New Roman" w:hAnsi="Times New Roman" w:eastAsia="仿宋" w:cs="Noto Serif CJK SC"/>
                <w:b w:val="0"/>
                <w:sz w:val="20"/>
              </w:rPr>
              <w:t>34.4%</w:t>
            </w:r>
          </w:p>
        </w:tc>
      </w:tr>
      <w:tr w14:paraId="5BCEA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722AB288">
            <w:pPr>
              <w:pStyle w:val="167"/>
              <w:spacing w:before="0" w:after="0" w:line="240" w:lineRule="auto"/>
              <w:jc w:val="center"/>
            </w:pPr>
            <w:r>
              <w:rPr>
                <w:rFonts w:ascii="Times New Roman" w:hAnsi="Times New Roman" w:eastAsia="仿宋" w:cs="Noto Serif CJK SC"/>
                <w:b w:val="0"/>
                <w:sz w:val="20"/>
              </w:rPr>
              <w:t>实践导向，动手能力优先</w:t>
            </w:r>
          </w:p>
        </w:tc>
        <w:tc>
          <w:tcPr>
            <w:tcW w:w="1836" w:type="dxa"/>
            <w:tcMar>
              <w:top w:w="70" w:type="dxa"/>
              <w:left w:w="70" w:type="dxa"/>
              <w:bottom w:w="70" w:type="dxa"/>
              <w:right w:w="70" w:type="dxa"/>
            </w:tcMar>
            <w:vAlign w:val="center"/>
          </w:tcPr>
          <w:p w14:paraId="600AC176">
            <w:pPr>
              <w:pStyle w:val="167"/>
              <w:spacing w:before="0" w:after="0" w:line="240" w:lineRule="auto"/>
              <w:jc w:val="center"/>
            </w:pPr>
            <w:r>
              <w:rPr>
                <w:rFonts w:ascii="Times New Roman" w:hAnsi="Times New Roman" w:eastAsia="仿宋" w:cs="Noto Serif CJK SC"/>
                <w:b w:val="0"/>
                <w:sz w:val="20"/>
              </w:rPr>
              <w:t>22.2%</w:t>
            </w:r>
          </w:p>
        </w:tc>
        <w:tc>
          <w:tcPr>
            <w:tcW w:w="1836" w:type="dxa"/>
            <w:tcMar>
              <w:top w:w="70" w:type="dxa"/>
              <w:left w:w="70" w:type="dxa"/>
              <w:bottom w:w="70" w:type="dxa"/>
              <w:right w:w="70" w:type="dxa"/>
            </w:tcMar>
            <w:vAlign w:val="center"/>
          </w:tcPr>
          <w:p w14:paraId="7F00B5AA">
            <w:pPr>
              <w:pStyle w:val="167"/>
              <w:spacing w:before="0" w:after="0" w:line="240" w:lineRule="auto"/>
              <w:jc w:val="center"/>
            </w:pPr>
            <w:r>
              <w:rPr>
                <w:rFonts w:ascii="Times New Roman" w:hAnsi="Times New Roman" w:eastAsia="仿宋" w:cs="Noto Serif CJK SC"/>
                <w:b w:val="0"/>
                <w:sz w:val="20"/>
              </w:rPr>
              <w:t>50.0%</w:t>
            </w:r>
          </w:p>
        </w:tc>
        <w:tc>
          <w:tcPr>
            <w:tcW w:w="1836" w:type="dxa"/>
            <w:tcMar>
              <w:top w:w="70" w:type="dxa"/>
              <w:left w:w="70" w:type="dxa"/>
              <w:bottom w:w="70" w:type="dxa"/>
              <w:right w:w="70" w:type="dxa"/>
            </w:tcMar>
            <w:vAlign w:val="center"/>
          </w:tcPr>
          <w:p w14:paraId="70B9F45A">
            <w:pPr>
              <w:pStyle w:val="167"/>
              <w:spacing w:before="0" w:after="0" w:line="240" w:lineRule="auto"/>
              <w:jc w:val="center"/>
            </w:pPr>
            <w:r>
              <w:rPr>
                <w:rFonts w:ascii="Times New Roman" w:hAnsi="Times New Roman" w:eastAsia="仿宋" w:cs="Noto Serif CJK SC"/>
                <w:b w:val="0"/>
                <w:sz w:val="20"/>
              </w:rPr>
              <w:t>36.8%</w:t>
            </w:r>
          </w:p>
        </w:tc>
        <w:tc>
          <w:tcPr>
            <w:tcW w:w="1836" w:type="dxa"/>
            <w:tcMar>
              <w:top w:w="70" w:type="dxa"/>
              <w:left w:w="70" w:type="dxa"/>
              <w:bottom w:w="70" w:type="dxa"/>
              <w:right w:w="70" w:type="dxa"/>
            </w:tcMar>
            <w:vAlign w:val="center"/>
          </w:tcPr>
          <w:p w14:paraId="1BC47E18">
            <w:pPr>
              <w:pStyle w:val="167"/>
              <w:spacing w:before="0" w:after="0" w:line="240" w:lineRule="auto"/>
              <w:jc w:val="center"/>
            </w:pPr>
            <w:r>
              <w:rPr>
                <w:rFonts w:ascii="Times New Roman" w:hAnsi="Times New Roman" w:eastAsia="仿宋" w:cs="Noto Serif CJK SC"/>
                <w:b w:val="0"/>
                <w:sz w:val="20"/>
              </w:rPr>
              <w:t>34.4%</w:t>
            </w:r>
          </w:p>
        </w:tc>
      </w:tr>
      <w:tr w14:paraId="7763B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6" w:type="dxa"/>
            <w:tcMar>
              <w:top w:w="70" w:type="dxa"/>
              <w:left w:w="70" w:type="dxa"/>
              <w:bottom w:w="70" w:type="dxa"/>
              <w:right w:w="70" w:type="dxa"/>
            </w:tcMar>
            <w:vAlign w:val="center"/>
          </w:tcPr>
          <w:p w14:paraId="11C0AD83">
            <w:pPr>
              <w:pStyle w:val="167"/>
              <w:spacing w:before="0" w:after="0" w:line="240" w:lineRule="auto"/>
              <w:jc w:val="center"/>
            </w:pPr>
            <w:r>
              <w:rPr>
                <w:rFonts w:ascii="Times New Roman" w:hAnsi="Times New Roman" w:eastAsia="仿宋" w:cs="Noto Serif CJK SC"/>
                <w:b w:val="0"/>
                <w:sz w:val="20"/>
              </w:rPr>
              <w:t>个性化导向，尊重天性</w:t>
            </w:r>
          </w:p>
        </w:tc>
        <w:tc>
          <w:tcPr>
            <w:tcW w:w="1836" w:type="dxa"/>
            <w:tcMar>
              <w:top w:w="70" w:type="dxa"/>
              <w:left w:w="70" w:type="dxa"/>
              <w:bottom w:w="70" w:type="dxa"/>
              <w:right w:w="70" w:type="dxa"/>
            </w:tcMar>
            <w:vAlign w:val="center"/>
          </w:tcPr>
          <w:p w14:paraId="7FFFC053">
            <w:pPr>
              <w:pStyle w:val="167"/>
              <w:spacing w:before="0" w:after="0" w:line="240" w:lineRule="auto"/>
              <w:jc w:val="center"/>
            </w:pPr>
            <w:r>
              <w:rPr>
                <w:rFonts w:ascii="Times New Roman" w:hAnsi="Times New Roman" w:eastAsia="仿宋" w:cs="Noto Serif CJK SC"/>
                <w:b w:val="0"/>
                <w:sz w:val="20"/>
              </w:rPr>
              <w:t>33.3%</w:t>
            </w:r>
          </w:p>
        </w:tc>
        <w:tc>
          <w:tcPr>
            <w:tcW w:w="1836" w:type="dxa"/>
            <w:tcMar>
              <w:top w:w="70" w:type="dxa"/>
              <w:left w:w="70" w:type="dxa"/>
              <w:bottom w:w="70" w:type="dxa"/>
              <w:right w:w="70" w:type="dxa"/>
            </w:tcMar>
            <w:vAlign w:val="center"/>
          </w:tcPr>
          <w:p w14:paraId="22D6F1B4">
            <w:pPr>
              <w:pStyle w:val="167"/>
              <w:spacing w:before="0" w:after="0" w:line="240" w:lineRule="auto"/>
              <w:jc w:val="center"/>
            </w:pPr>
            <w:r>
              <w:rPr>
                <w:rFonts w:ascii="Times New Roman" w:hAnsi="Times New Roman" w:eastAsia="仿宋" w:cs="Noto Serif CJK SC"/>
                <w:b w:val="0"/>
                <w:sz w:val="20"/>
              </w:rPr>
              <w:t>25.0%</w:t>
            </w:r>
          </w:p>
        </w:tc>
        <w:tc>
          <w:tcPr>
            <w:tcW w:w="1836" w:type="dxa"/>
            <w:tcMar>
              <w:top w:w="70" w:type="dxa"/>
              <w:left w:w="70" w:type="dxa"/>
              <w:bottom w:w="70" w:type="dxa"/>
              <w:right w:w="70" w:type="dxa"/>
            </w:tcMar>
            <w:vAlign w:val="center"/>
          </w:tcPr>
          <w:p w14:paraId="642D9208">
            <w:pPr>
              <w:pStyle w:val="167"/>
              <w:spacing w:before="0" w:after="0" w:line="240" w:lineRule="auto"/>
              <w:jc w:val="center"/>
            </w:pPr>
            <w:r>
              <w:rPr>
                <w:rFonts w:ascii="Times New Roman" w:hAnsi="Times New Roman" w:eastAsia="仿宋" w:cs="Noto Serif CJK SC"/>
                <w:b w:val="0"/>
                <w:sz w:val="20"/>
              </w:rPr>
              <w:t>10.5%</w:t>
            </w:r>
          </w:p>
        </w:tc>
        <w:tc>
          <w:tcPr>
            <w:tcW w:w="1836" w:type="dxa"/>
            <w:tcMar>
              <w:top w:w="70" w:type="dxa"/>
              <w:left w:w="70" w:type="dxa"/>
              <w:bottom w:w="70" w:type="dxa"/>
              <w:right w:w="70" w:type="dxa"/>
            </w:tcMar>
            <w:vAlign w:val="center"/>
          </w:tcPr>
          <w:p w14:paraId="5467D258">
            <w:pPr>
              <w:pStyle w:val="167"/>
              <w:spacing w:before="0" w:after="0" w:line="240" w:lineRule="auto"/>
              <w:jc w:val="center"/>
            </w:pPr>
            <w:r>
              <w:rPr>
                <w:rFonts w:ascii="Times New Roman" w:hAnsi="Times New Roman" w:eastAsia="仿宋" w:cs="Noto Serif CJK SC"/>
                <w:b w:val="0"/>
                <w:sz w:val="20"/>
              </w:rPr>
              <w:t>18.8%</w:t>
            </w:r>
          </w:p>
        </w:tc>
      </w:tr>
    </w:tbl>
    <w:p w14:paraId="04B9EF58">
      <w:pPr>
        <w:pStyle w:val="167"/>
      </w:pPr>
      <w:r>
        <w:rPr>
          <w:rFonts w:ascii="Times New Roman" w:hAnsi="Times New Roman" w:eastAsia="仿宋" w:cs="Noto Serif CJK SC"/>
        </w:rPr>
        <w:t>所有国家学生均排斥纯应试导向教育。素质全面发展、实践动手优先是认可度最高的两类培养方向；西班牙学生格外看重实操教学；中国学生对素质教育与个性化培养偏好均衡；巴西同等认可素质拓展与工程实践类课程。</w:t>
      </w:r>
    </w:p>
    <w:p w14:paraId="3799C12E">
      <w:pPr>
        <w:pStyle w:val="165"/>
        <w:keepNext/>
        <w:keepLines/>
      </w:pPr>
      <w:r>
        <w:rPr>
          <w:rFonts w:ascii="Times New Roman" w:hAnsi="Times New Roman" w:eastAsia="宋体" w:cs="Noto Serif CJK SC"/>
          <w:b/>
        </w:rPr>
        <w:t>5. 团队角色与项目情境影响</w:t>
      </w:r>
    </w:p>
    <w:p w14:paraId="350C8000">
      <w:pPr>
        <w:pStyle w:val="167"/>
      </w:pPr>
      <w:r>
        <w:rPr>
          <w:rFonts w:ascii="Times New Roman" w:hAnsi="Times New Roman" w:eastAsia="仿宋" w:cs="Noto Serif CJK SC"/>
        </w:rPr>
        <w:t>分析不同学生在团队中承担的编程、硬件、记录、汇报或协调角色，说明行为差异是否可能由角色分工造成。同时讨论时间压力、语言环境、教师指导方式和任务难度等情境因素。</w:t>
      </w:r>
    </w:p>
    <w:p w14:paraId="375B66C1">
      <w:pPr>
        <w:pStyle w:val="165"/>
        <w:keepNext/>
        <w:keepLines/>
      </w:pPr>
      <w:r>
        <w:rPr>
          <w:rFonts w:ascii="Times New Roman" w:hAnsi="Times New Roman" w:eastAsia="宋体" w:cs="Noto Serif CJK SC"/>
          <w:b/>
        </w:rPr>
        <w:t>6. 不同材料的相互验证</w:t>
      </w:r>
    </w:p>
    <w:p w14:paraId="43B5F7BF">
      <w:pPr>
        <w:pStyle w:val="167"/>
      </w:pPr>
      <w:r>
        <w:rPr>
          <w:rFonts w:ascii="Times New Roman" w:hAnsi="Times New Roman" w:eastAsia="仿宋" w:cs="Noto Serif CJK SC"/>
        </w:rPr>
        <w:t>本章依托半结构化访谈定性材料与问卷调查量化数据开展双向交叉核验，以 “访谈生成研究假设、问卷完成群体规律验证”的逻辑，分别对中国、西班牙、巴西三国学生教育背景、课堂培养模式、学习行为偏好、教育价值认知等维度开展对应比对，检验访谈观察结论与大样本统计结果的一致性，同时针对数据中出现的表象矛盾进行归因解释，厘清各国教育体系内部存在的分层特征与结构性反差，规避单一研究方法带来的结论偏差，提升整体研究结论的可靠性与说服力。</w:t>
      </w:r>
    </w:p>
    <w:p w14:paraId="380D4FF7">
      <w:pPr>
        <w:pStyle w:val="167"/>
      </w:pPr>
      <w:r>
        <w:rPr>
          <w:rFonts w:ascii="Times New Roman" w:hAnsi="Times New Roman" w:eastAsia="仿宋" w:cs="Noto Serif CJK SC"/>
        </w:rPr>
        <w:t>在分国别验证过程中，全部访谈观察到的学生学习习惯、校园教学特征、个人实践经历等质性判断，均能够在问卷统计数据中找到对应量化支撑；针对部分看似相悖的表象数据，结合受访者个人成长背景、年龄分层、区域办学差异完成补充阐释，区分学生在校教育经历与校外实践带来的差异化影响，打破依托国别标签形成的刻板认知，为前文教育行为差异的成因分析提供完整实证支撑。</w:t>
      </w:r>
    </w:p>
    <w:p w14:paraId="1208955E">
      <w:pPr>
        <w:pStyle w:val="167"/>
        <w:keepNext/>
        <w:spacing w:before="100" w:after="60"/>
        <w:jc w:val="center"/>
      </w:pPr>
      <w:r>
        <w:rPr>
          <w:rFonts w:ascii="Times New Roman" w:hAnsi="Times New Roman" w:eastAsia="仿宋" w:cs="Noto Serif CJK SC"/>
          <w:sz w:val="21"/>
        </w:rPr>
        <w:t>表14 不同国家教育情况访谈与问卷交叉验证表</w:t>
      </w:r>
    </w:p>
    <w:tbl>
      <w:tblPr>
        <w:tblStyle w:val="3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94"/>
        <w:gridCol w:w="2294"/>
        <w:gridCol w:w="2294"/>
        <w:gridCol w:w="2294"/>
      </w:tblGrid>
      <w:tr w14:paraId="199DB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94" w:type="dxa"/>
            <w:tcMar>
              <w:top w:w="70" w:type="dxa"/>
              <w:left w:w="70" w:type="dxa"/>
              <w:bottom w:w="70" w:type="dxa"/>
              <w:right w:w="70" w:type="dxa"/>
            </w:tcMar>
            <w:vAlign w:val="center"/>
          </w:tcPr>
          <w:p w14:paraId="704601D5">
            <w:pPr>
              <w:pStyle w:val="167"/>
              <w:spacing w:before="0" w:after="0" w:line="240" w:lineRule="auto"/>
              <w:jc w:val="center"/>
            </w:pPr>
            <w:r>
              <w:rPr>
                <w:rFonts w:ascii="Times New Roman" w:hAnsi="Times New Roman" w:eastAsia="宋体" w:cs="Noto Serif CJK SC"/>
                <w:b/>
                <w:sz w:val="20"/>
              </w:rPr>
              <w:t>对比维度</w:t>
            </w:r>
          </w:p>
        </w:tc>
        <w:tc>
          <w:tcPr>
            <w:tcW w:w="2294" w:type="dxa"/>
            <w:tcMar>
              <w:top w:w="70" w:type="dxa"/>
              <w:left w:w="70" w:type="dxa"/>
              <w:bottom w:w="70" w:type="dxa"/>
              <w:right w:w="70" w:type="dxa"/>
            </w:tcMar>
            <w:vAlign w:val="center"/>
          </w:tcPr>
          <w:p w14:paraId="1DD7F9DF">
            <w:pPr>
              <w:pStyle w:val="167"/>
              <w:spacing w:before="0" w:after="0" w:line="240" w:lineRule="auto"/>
              <w:jc w:val="center"/>
            </w:pPr>
            <w:r>
              <w:rPr>
                <w:rFonts w:ascii="Times New Roman" w:hAnsi="Times New Roman" w:eastAsia="宋体" w:cs="Noto Serif CJK SC"/>
                <w:b/>
                <w:sz w:val="20"/>
              </w:rPr>
              <w:t>中国</w:t>
            </w:r>
          </w:p>
        </w:tc>
        <w:tc>
          <w:tcPr>
            <w:tcW w:w="2294" w:type="dxa"/>
            <w:tcMar>
              <w:top w:w="70" w:type="dxa"/>
              <w:left w:w="70" w:type="dxa"/>
              <w:bottom w:w="70" w:type="dxa"/>
              <w:right w:w="70" w:type="dxa"/>
            </w:tcMar>
            <w:vAlign w:val="center"/>
          </w:tcPr>
          <w:p w14:paraId="58C06B7C">
            <w:pPr>
              <w:pStyle w:val="167"/>
              <w:spacing w:before="0" w:after="0" w:line="240" w:lineRule="auto"/>
              <w:jc w:val="center"/>
            </w:pPr>
            <w:r>
              <w:rPr>
                <w:rFonts w:ascii="Times New Roman" w:hAnsi="Times New Roman" w:eastAsia="宋体" w:cs="Noto Serif CJK SC"/>
                <w:b/>
                <w:sz w:val="20"/>
              </w:rPr>
              <w:t>西班牙</w:t>
            </w:r>
          </w:p>
        </w:tc>
        <w:tc>
          <w:tcPr>
            <w:tcW w:w="2294" w:type="dxa"/>
            <w:tcMar>
              <w:top w:w="70" w:type="dxa"/>
              <w:left w:w="70" w:type="dxa"/>
              <w:bottom w:w="70" w:type="dxa"/>
              <w:right w:w="70" w:type="dxa"/>
            </w:tcMar>
            <w:vAlign w:val="center"/>
          </w:tcPr>
          <w:p w14:paraId="29267A4C">
            <w:pPr>
              <w:pStyle w:val="167"/>
              <w:spacing w:before="0" w:after="0" w:line="240" w:lineRule="auto"/>
              <w:jc w:val="center"/>
            </w:pPr>
            <w:r>
              <w:rPr>
                <w:rFonts w:ascii="Times New Roman" w:hAnsi="Times New Roman" w:eastAsia="宋体" w:cs="Noto Serif CJK SC"/>
                <w:b/>
                <w:sz w:val="20"/>
              </w:rPr>
              <w:t>巴西</w:t>
            </w:r>
          </w:p>
        </w:tc>
      </w:tr>
      <w:tr w14:paraId="6FCBD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00DA99D1">
            <w:pPr>
              <w:pStyle w:val="167"/>
              <w:spacing w:before="0" w:after="0" w:line="240" w:lineRule="auto"/>
              <w:jc w:val="center"/>
            </w:pPr>
            <w:r>
              <w:rPr>
                <w:rFonts w:ascii="Times New Roman" w:hAnsi="Times New Roman" w:eastAsia="仿宋" w:cs="Noto Serif CJK SC"/>
                <w:b w:val="0"/>
                <w:sz w:val="20"/>
              </w:rPr>
              <w:t>中小学教学方式</w:t>
            </w:r>
          </w:p>
        </w:tc>
        <w:tc>
          <w:tcPr>
            <w:tcW w:w="2294" w:type="dxa"/>
            <w:tcMar>
              <w:top w:w="70" w:type="dxa"/>
              <w:left w:w="70" w:type="dxa"/>
              <w:bottom w:w="70" w:type="dxa"/>
              <w:right w:w="70" w:type="dxa"/>
            </w:tcMar>
            <w:vAlign w:val="center"/>
          </w:tcPr>
          <w:p w14:paraId="54B24ED2">
            <w:pPr>
              <w:pStyle w:val="167"/>
              <w:spacing w:before="0" w:after="0" w:line="240" w:lineRule="auto"/>
              <w:jc w:val="center"/>
            </w:pPr>
            <w:r>
              <w:rPr>
                <w:rFonts w:ascii="Times New Roman" w:hAnsi="Times New Roman" w:eastAsia="仿宋" w:cs="Noto Serif CJK SC"/>
                <w:b w:val="0"/>
                <w:sz w:val="20"/>
              </w:rPr>
              <w:t>100.0%讲授式</w:t>
            </w:r>
          </w:p>
        </w:tc>
        <w:tc>
          <w:tcPr>
            <w:tcW w:w="2294" w:type="dxa"/>
            <w:tcMar>
              <w:top w:w="70" w:type="dxa"/>
              <w:left w:w="70" w:type="dxa"/>
              <w:bottom w:w="70" w:type="dxa"/>
              <w:right w:w="70" w:type="dxa"/>
            </w:tcMar>
            <w:vAlign w:val="center"/>
          </w:tcPr>
          <w:p w14:paraId="024C0491">
            <w:pPr>
              <w:pStyle w:val="167"/>
              <w:spacing w:before="0" w:after="0" w:line="240" w:lineRule="auto"/>
              <w:jc w:val="center"/>
            </w:pPr>
            <w:r>
              <w:rPr>
                <w:rFonts w:ascii="Times New Roman" w:hAnsi="Times New Roman" w:eastAsia="仿宋" w:cs="Noto Serif CJK SC"/>
                <w:b w:val="0"/>
                <w:sz w:val="20"/>
              </w:rPr>
              <w:t>50.0%讲授式，50.0%线上</w:t>
            </w:r>
          </w:p>
        </w:tc>
        <w:tc>
          <w:tcPr>
            <w:tcW w:w="2294" w:type="dxa"/>
            <w:tcMar>
              <w:top w:w="70" w:type="dxa"/>
              <w:left w:w="70" w:type="dxa"/>
              <w:bottom w:w="70" w:type="dxa"/>
              <w:right w:w="70" w:type="dxa"/>
            </w:tcMar>
            <w:vAlign w:val="center"/>
          </w:tcPr>
          <w:p w14:paraId="70208FA3">
            <w:pPr>
              <w:pStyle w:val="167"/>
              <w:spacing w:before="0" w:after="0" w:line="240" w:lineRule="auto"/>
              <w:jc w:val="center"/>
            </w:pPr>
            <w:r>
              <w:rPr>
                <w:rFonts w:ascii="Times New Roman" w:hAnsi="Times New Roman" w:eastAsia="仿宋" w:cs="Noto Serif CJK SC"/>
                <w:b w:val="0"/>
                <w:sz w:val="20"/>
              </w:rPr>
              <w:t>68.4%讲授式</w:t>
            </w:r>
          </w:p>
        </w:tc>
      </w:tr>
      <w:tr w14:paraId="1007E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0EA2A484">
            <w:pPr>
              <w:pStyle w:val="167"/>
              <w:spacing w:before="0" w:after="0" w:line="240" w:lineRule="auto"/>
              <w:jc w:val="center"/>
            </w:pPr>
            <w:r>
              <w:rPr>
                <w:rFonts w:ascii="Times New Roman" w:hAnsi="Times New Roman" w:eastAsia="仿宋" w:cs="Noto Serif CJK SC"/>
                <w:b w:val="0"/>
                <w:sz w:val="20"/>
              </w:rPr>
              <w:t>中小学科技课地位</w:t>
            </w:r>
          </w:p>
        </w:tc>
        <w:tc>
          <w:tcPr>
            <w:tcW w:w="2294" w:type="dxa"/>
            <w:tcMar>
              <w:top w:w="70" w:type="dxa"/>
              <w:left w:w="70" w:type="dxa"/>
              <w:bottom w:w="70" w:type="dxa"/>
              <w:right w:w="70" w:type="dxa"/>
            </w:tcMar>
            <w:vAlign w:val="center"/>
          </w:tcPr>
          <w:p w14:paraId="0EE45377">
            <w:pPr>
              <w:pStyle w:val="167"/>
              <w:spacing w:before="0" w:after="0" w:line="240" w:lineRule="auto"/>
              <w:jc w:val="center"/>
            </w:pPr>
            <w:r>
              <w:rPr>
                <w:rFonts w:ascii="Times New Roman" w:hAnsi="Times New Roman" w:eastAsia="仿宋" w:cs="Noto Serif CJK SC"/>
                <w:b w:val="0"/>
                <w:sz w:val="20"/>
              </w:rPr>
              <w:t>88.9%副科</w:t>
            </w:r>
          </w:p>
        </w:tc>
        <w:tc>
          <w:tcPr>
            <w:tcW w:w="2294" w:type="dxa"/>
            <w:tcMar>
              <w:top w:w="70" w:type="dxa"/>
              <w:left w:w="70" w:type="dxa"/>
              <w:bottom w:w="70" w:type="dxa"/>
              <w:right w:w="70" w:type="dxa"/>
            </w:tcMar>
            <w:vAlign w:val="center"/>
          </w:tcPr>
          <w:p w14:paraId="1BFCCB97">
            <w:pPr>
              <w:pStyle w:val="167"/>
              <w:spacing w:before="0" w:after="0" w:line="240" w:lineRule="auto"/>
              <w:jc w:val="center"/>
            </w:pPr>
            <w:r>
              <w:rPr>
                <w:rFonts w:ascii="Times New Roman" w:hAnsi="Times New Roman" w:eastAsia="仿宋" w:cs="Noto Serif CJK SC"/>
                <w:b w:val="0"/>
                <w:sz w:val="20"/>
              </w:rPr>
              <w:t>50.0%主科</w:t>
            </w:r>
          </w:p>
        </w:tc>
        <w:tc>
          <w:tcPr>
            <w:tcW w:w="2294" w:type="dxa"/>
            <w:tcMar>
              <w:top w:w="70" w:type="dxa"/>
              <w:left w:w="70" w:type="dxa"/>
              <w:bottom w:w="70" w:type="dxa"/>
              <w:right w:w="70" w:type="dxa"/>
            </w:tcMar>
            <w:vAlign w:val="center"/>
          </w:tcPr>
          <w:p w14:paraId="0457D30B">
            <w:pPr>
              <w:pStyle w:val="167"/>
              <w:spacing w:before="0" w:after="0" w:line="240" w:lineRule="auto"/>
              <w:jc w:val="center"/>
            </w:pPr>
            <w:r>
              <w:rPr>
                <w:rFonts w:ascii="Times New Roman" w:hAnsi="Times New Roman" w:eastAsia="仿宋" w:cs="Noto Serif CJK SC"/>
                <w:b w:val="0"/>
                <w:sz w:val="20"/>
              </w:rPr>
              <w:t>36.8%未开设</w:t>
            </w:r>
          </w:p>
        </w:tc>
      </w:tr>
      <w:tr w14:paraId="4D88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6990CFC1">
            <w:pPr>
              <w:pStyle w:val="167"/>
              <w:spacing w:before="0" w:after="0" w:line="240" w:lineRule="auto"/>
              <w:jc w:val="center"/>
            </w:pPr>
            <w:r>
              <w:rPr>
                <w:rFonts w:ascii="Times New Roman" w:hAnsi="Times New Roman" w:eastAsia="仿宋" w:cs="Noto Serif CJK SC"/>
                <w:b w:val="0"/>
                <w:sz w:val="20"/>
              </w:rPr>
              <w:t>中小学最重视的能力</w:t>
            </w:r>
          </w:p>
        </w:tc>
        <w:tc>
          <w:tcPr>
            <w:tcW w:w="2294" w:type="dxa"/>
            <w:tcMar>
              <w:top w:w="70" w:type="dxa"/>
              <w:left w:w="70" w:type="dxa"/>
              <w:bottom w:w="70" w:type="dxa"/>
              <w:right w:w="70" w:type="dxa"/>
            </w:tcMar>
            <w:vAlign w:val="center"/>
          </w:tcPr>
          <w:p w14:paraId="19D65C63">
            <w:pPr>
              <w:pStyle w:val="167"/>
              <w:spacing w:before="0" w:after="0" w:line="240" w:lineRule="auto"/>
              <w:jc w:val="center"/>
            </w:pPr>
            <w:r>
              <w:rPr>
                <w:rFonts w:ascii="Times New Roman" w:hAnsi="Times New Roman" w:eastAsia="仿宋" w:cs="Noto Serif CJK SC"/>
                <w:b w:val="0"/>
                <w:sz w:val="20"/>
              </w:rPr>
              <w:t>解题88.9%+记忆77.8%</w:t>
            </w:r>
          </w:p>
        </w:tc>
        <w:tc>
          <w:tcPr>
            <w:tcW w:w="2294" w:type="dxa"/>
            <w:tcMar>
              <w:top w:w="70" w:type="dxa"/>
              <w:left w:w="70" w:type="dxa"/>
              <w:bottom w:w="70" w:type="dxa"/>
              <w:right w:w="70" w:type="dxa"/>
            </w:tcMar>
            <w:vAlign w:val="center"/>
          </w:tcPr>
          <w:p w14:paraId="18AC9047">
            <w:pPr>
              <w:pStyle w:val="167"/>
              <w:spacing w:before="0" w:after="0" w:line="240" w:lineRule="auto"/>
              <w:jc w:val="center"/>
            </w:pPr>
            <w:r>
              <w:rPr>
                <w:rFonts w:ascii="Times New Roman" w:hAnsi="Times New Roman" w:eastAsia="仿宋" w:cs="Noto Serif CJK SC"/>
                <w:b w:val="0"/>
                <w:sz w:val="20"/>
              </w:rPr>
              <w:t>记忆50.0%+批判50.0%</w:t>
            </w:r>
          </w:p>
        </w:tc>
        <w:tc>
          <w:tcPr>
            <w:tcW w:w="2294" w:type="dxa"/>
            <w:tcMar>
              <w:top w:w="70" w:type="dxa"/>
              <w:left w:w="70" w:type="dxa"/>
              <w:bottom w:w="70" w:type="dxa"/>
              <w:right w:w="70" w:type="dxa"/>
            </w:tcMar>
            <w:vAlign w:val="center"/>
          </w:tcPr>
          <w:p w14:paraId="5074AF93">
            <w:pPr>
              <w:pStyle w:val="167"/>
              <w:spacing w:before="0" w:after="0" w:line="240" w:lineRule="auto"/>
              <w:jc w:val="center"/>
            </w:pPr>
            <w:r>
              <w:rPr>
                <w:rFonts w:ascii="Times New Roman" w:hAnsi="Times New Roman" w:eastAsia="仿宋" w:cs="Noto Serif CJK SC"/>
                <w:b w:val="0"/>
                <w:sz w:val="20"/>
              </w:rPr>
              <w:t>记忆63.2%+解题57.9%</w:t>
            </w:r>
          </w:p>
        </w:tc>
      </w:tr>
      <w:tr w14:paraId="4B277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01EF04BC">
            <w:pPr>
              <w:pStyle w:val="167"/>
              <w:spacing w:before="0" w:after="0" w:line="240" w:lineRule="auto"/>
              <w:jc w:val="center"/>
            </w:pPr>
            <w:r>
              <w:rPr>
                <w:rFonts w:ascii="Times New Roman" w:hAnsi="Times New Roman" w:eastAsia="仿宋" w:cs="Noto Serif CJK SC"/>
                <w:b w:val="0"/>
                <w:sz w:val="20"/>
              </w:rPr>
              <w:t>大学学习方式偏好</w:t>
            </w:r>
          </w:p>
        </w:tc>
        <w:tc>
          <w:tcPr>
            <w:tcW w:w="2294" w:type="dxa"/>
            <w:tcMar>
              <w:top w:w="70" w:type="dxa"/>
              <w:left w:w="70" w:type="dxa"/>
              <w:bottom w:w="70" w:type="dxa"/>
              <w:right w:w="70" w:type="dxa"/>
            </w:tcMar>
            <w:vAlign w:val="center"/>
          </w:tcPr>
          <w:p w14:paraId="3B57FA85">
            <w:pPr>
              <w:pStyle w:val="167"/>
              <w:spacing w:before="0" w:after="0" w:line="240" w:lineRule="auto"/>
              <w:jc w:val="center"/>
            </w:pPr>
            <w:r>
              <w:rPr>
                <w:rFonts w:ascii="Times New Roman" w:hAnsi="Times New Roman" w:eastAsia="仿宋" w:cs="Noto Serif CJK SC"/>
                <w:b w:val="0"/>
                <w:sz w:val="20"/>
              </w:rPr>
              <w:t>66.7%跟随老师</w:t>
            </w:r>
          </w:p>
        </w:tc>
        <w:tc>
          <w:tcPr>
            <w:tcW w:w="2294" w:type="dxa"/>
            <w:tcMar>
              <w:top w:w="70" w:type="dxa"/>
              <w:left w:w="70" w:type="dxa"/>
              <w:bottom w:w="70" w:type="dxa"/>
              <w:right w:w="70" w:type="dxa"/>
            </w:tcMar>
            <w:vAlign w:val="center"/>
          </w:tcPr>
          <w:p w14:paraId="7D895C72">
            <w:pPr>
              <w:pStyle w:val="167"/>
              <w:spacing w:before="0" w:after="0" w:line="240" w:lineRule="auto"/>
              <w:jc w:val="center"/>
            </w:pPr>
            <w:r>
              <w:rPr>
                <w:rFonts w:ascii="Times New Roman" w:hAnsi="Times New Roman" w:eastAsia="仿宋" w:cs="Noto Serif CJK SC"/>
                <w:b w:val="0"/>
                <w:sz w:val="20"/>
              </w:rPr>
              <w:t>四种各25.0%</w:t>
            </w:r>
          </w:p>
        </w:tc>
        <w:tc>
          <w:tcPr>
            <w:tcW w:w="2294" w:type="dxa"/>
            <w:tcMar>
              <w:top w:w="70" w:type="dxa"/>
              <w:left w:w="70" w:type="dxa"/>
              <w:bottom w:w="70" w:type="dxa"/>
              <w:right w:w="70" w:type="dxa"/>
            </w:tcMar>
            <w:vAlign w:val="center"/>
          </w:tcPr>
          <w:p w14:paraId="594FC407">
            <w:pPr>
              <w:pStyle w:val="167"/>
              <w:spacing w:before="0" w:after="0" w:line="240" w:lineRule="auto"/>
              <w:jc w:val="center"/>
            </w:pPr>
            <w:r>
              <w:rPr>
                <w:rFonts w:ascii="Times New Roman" w:hAnsi="Times New Roman" w:eastAsia="仿宋" w:cs="Noto Serif CJK SC"/>
                <w:b w:val="0"/>
                <w:sz w:val="20"/>
              </w:rPr>
              <w:t>52.6%实践驱动</w:t>
            </w:r>
          </w:p>
        </w:tc>
      </w:tr>
      <w:tr w14:paraId="0B93B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6E11DB1A">
            <w:pPr>
              <w:pStyle w:val="167"/>
              <w:spacing w:before="0" w:after="0" w:line="240" w:lineRule="auto"/>
              <w:jc w:val="center"/>
            </w:pPr>
            <w:r>
              <w:rPr>
                <w:rFonts w:ascii="Times New Roman" w:hAnsi="Times New Roman" w:eastAsia="仿宋" w:cs="Noto Serif CJK SC"/>
                <w:b w:val="0"/>
                <w:sz w:val="20"/>
              </w:rPr>
              <w:t>大学老师处理争议</w:t>
            </w:r>
          </w:p>
        </w:tc>
        <w:tc>
          <w:tcPr>
            <w:tcW w:w="2294" w:type="dxa"/>
            <w:tcMar>
              <w:top w:w="70" w:type="dxa"/>
              <w:left w:w="70" w:type="dxa"/>
              <w:bottom w:w="70" w:type="dxa"/>
              <w:right w:w="70" w:type="dxa"/>
            </w:tcMar>
            <w:vAlign w:val="center"/>
          </w:tcPr>
          <w:p w14:paraId="7762955F">
            <w:pPr>
              <w:pStyle w:val="167"/>
              <w:spacing w:before="0" w:after="0" w:line="240" w:lineRule="auto"/>
              <w:jc w:val="center"/>
            </w:pPr>
            <w:r>
              <w:rPr>
                <w:rFonts w:ascii="Times New Roman" w:hAnsi="Times New Roman" w:eastAsia="仿宋" w:cs="Noto Serif CJK SC"/>
                <w:b w:val="0"/>
                <w:sz w:val="20"/>
              </w:rPr>
              <w:t>55.6%回避</w:t>
            </w:r>
          </w:p>
        </w:tc>
        <w:tc>
          <w:tcPr>
            <w:tcW w:w="2294" w:type="dxa"/>
            <w:tcMar>
              <w:top w:w="70" w:type="dxa"/>
              <w:left w:w="70" w:type="dxa"/>
              <w:bottom w:w="70" w:type="dxa"/>
              <w:right w:w="70" w:type="dxa"/>
            </w:tcMar>
            <w:vAlign w:val="center"/>
          </w:tcPr>
          <w:p w14:paraId="3CD73FA4">
            <w:pPr>
              <w:pStyle w:val="167"/>
              <w:spacing w:before="0" w:after="0" w:line="240" w:lineRule="auto"/>
              <w:jc w:val="center"/>
            </w:pPr>
            <w:r>
              <w:rPr>
                <w:rFonts w:ascii="Times New Roman" w:hAnsi="Times New Roman" w:eastAsia="仿宋" w:cs="Noto Serif CJK SC"/>
                <w:b w:val="0"/>
                <w:sz w:val="20"/>
              </w:rPr>
              <w:t>75.0%给标准答案</w:t>
            </w:r>
          </w:p>
        </w:tc>
        <w:tc>
          <w:tcPr>
            <w:tcW w:w="2294" w:type="dxa"/>
            <w:tcMar>
              <w:top w:w="70" w:type="dxa"/>
              <w:left w:w="70" w:type="dxa"/>
              <w:bottom w:w="70" w:type="dxa"/>
              <w:right w:w="70" w:type="dxa"/>
            </w:tcMar>
            <w:vAlign w:val="center"/>
          </w:tcPr>
          <w:p w14:paraId="52270D6B">
            <w:pPr>
              <w:pStyle w:val="167"/>
              <w:spacing w:before="0" w:after="0" w:line="240" w:lineRule="auto"/>
              <w:jc w:val="center"/>
            </w:pPr>
            <w:r>
              <w:rPr>
                <w:rFonts w:ascii="Times New Roman" w:hAnsi="Times New Roman" w:eastAsia="仿宋" w:cs="Noto Serif CJK SC"/>
                <w:b w:val="0"/>
                <w:sz w:val="20"/>
              </w:rPr>
              <w:t>42.1%回避</w:t>
            </w:r>
          </w:p>
        </w:tc>
      </w:tr>
      <w:tr w14:paraId="2D215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6E0BCCD2">
            <w:pPr>
              <w:pStyle w:val="167"/>
              <w:spacing w:before="0" w:after="0" w:line="240" w:lineRule="auto"/>
              <w:jc w:val="center"/>
            </w:pPr>
            <w:r>
              <w:rPr>
                <w:rFonts w:ascii="Times New Roman" w:hAnsi="Times New Roman" w:eastAsia="仿宋" w:cs="Noto Serif CJK SC"/>
                <w:b w:val="0"/>
                <w:sz w:val="20"/>
              </w:rPr>
              <w:t>对权威的态度</w:t>
            </w:r>
          </w:p>
        </w:tc>
        <w:tc>
          <w:tcPr>
            <w:tcW w:w="2294" w:type="dxa"/>
            <w:tcMar>
              <w:top w:w="70" w:type="dxa"/>
              <w:left w:w="70" w:type="dxa"/>
              <w:bottom w:w="70" w:type="dxa"/>
              <w:right w:w="70" w:type="dxa"/>
            </w:tcMar>
            <w:vAlign w:val="center"/>
          </w:tcPr>
          <w:p w14:paraId="5FB99801">
            <w:pPr>
              <w:pStyle w:val="167"/>
              <w:spacing w:before="0" w:after="0" w:line="240" w:lineRule="auto"/>
              <w:jc w:val="center"/>
            </w:pPr>
            <w:r>
              <w:rPr>
                <w:rFonts w:ascii="Times New Roman" w:hAnsi="Times New Roman" w:eastAsia="仿宋" w:cs="Noto Serif CJK SC"/>
                <w:b w:val="0"/>
                <w:sz w:val="20"/>
              </w:rPr>
              <w:t>88.9%敢于质疑</w:t>
            </w:r>
          </w:p>
        </w:tc>
        <w:tc>
          <w:tcPr>
            <w:tcW w:w="2294" w:type="dxa"/>
            <w:tcMar>
              <w:top w:w="70" w:type="dxa"/>
              <w:left w:w="70" w:type="dxa"/>
              <w:bottom w:w="70" w:type="dxa"/>
              <w:right w:w="70" w:type="dxa"/>
            </w:tcMar>
            <w:vAlign w:val="center"/>
          </w:tcPr>
          <w:p w14:paraId="2AA64E62">
            <w:pPr>
              <w:pStyle w:val="167"/>
              <w:spacing w:before="0" w:after="0" w:line="240" w:lineRule="auto"/>
              <w:jc w:val="center"/>
            </w:pPr>
            <w:r>
              <w:rPr>
                <w:rFonts w:ascii="Times New Roman" w:hAnsi="Times New Roman" w:eastAsia="仿宋" w:cs="Noto Serif CJK SC"/>
                <w:b w:val="0"/>
                <w:sz w:val="20"/>
              </w:rPr>
              <w:t>75.0%敢于质疑</w:t>
            </w:r>
          </w:p>
        </w:tc>
        <w:tc>
          <w:tcPr>
            <w:tcW w:w="2294" w:type="dxa"/>
            <w:tcMar>
              <w:top w:w="70" w:type="dxa"/>
              <w:left w:w="70" w:type="dxa"/>
              <w:bottom w:w="70" w:type="dxa"/>
              <w:right w:w="70" w:type="dxa"/>
            </w:tcMar>
            <w:vAlign w:val="center"/>
          </w:tcPr>
          <w:p w14:paraId="5F712A10">
            <w:pPr>
              <w:pStyle w:val="167"/>
              <w:spacing w:before="0" w:after="0" w:line="240" w:lineRule="auto"/>
              <w:jc w:val="center"/>
            </w:pPr>
            <w:r>
              <w:rPr>
                <w:rFonts w:ascii="Times New Roman" w:hAnsi="Times New Roman" w:eastAsia="仿宋" w:cs="Noto Serif CJK SC"/>
                <w:b w:val="0"/>
                <w:sz w:val="20"/>
              </w:rPr>
              <w:t>36.8%完全认同</w:t>
            </w:r>
          </w:p>
        </w:tc>
      </w:tr>
      <w:tr w14:paraId="3AB04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6D73BAD6">
            <w:pPr>
              <w:pStyle w:val="167"/>
              <w:spacing w:before="0" w:after="0" w:line="240" w:lineRule="auto"/>
              <w:jc w:val="center"/>
            </w:pPr>
            <w:r>
              <w:rPr>
                <w:rFonts w:ascii="Times New Roman" w:hAnsi="Times New Roman" w:eastAsia="仿宋" w:cs="Noto Serif CJK SC"/>
                <w:b w:val="0"/>
                <w:sz w:val="20"/>
              </w:rPr>
              <w:t>科研实践参与率</w:t>
            </w:r>
          </w:p>
        </w:tc>
        <w:tc>
          <w:tcPr>
            <w:tcW w:w="2294" w:type="dxa"/>
            <w:tcMar>
              <w:top w:w="70" w:type="dxa"/>
              <w:left w:w="70" w:type="dxa"/>
              <w:bottom w:w="70" w:type="dxa"/>
              <w:right w:w="70" w:type="dxa"/>
            </w:tcMar>
            <w:vAlign w:val="center"/>
          </w:tcPr>
          <w:p w14:paraId="0A791980">
            <w:pPr>
              <w:pStyle w:val="167"/>
              <w:spacing w:before="0" w:after="0" w:line="240" w:lineRule="auto"/>
              <w:jc w:val="center"/>
            </w:pPr>
            <w:r>
              <w:rPr>
                <w:rFonts w:ascii="Times New Roman" w:hAnsi="Times New Roman" w:eastAsia="仿宋" w:cs="Noto Serif CJK SC"/>
                <w:b w:val="0"/>
                <w:sz w:val="20"/>
              </w:rPr>
              <w:t>77.8%有参与</w:t>
            </w:r>
          </w:p>
        </w:tc>
        <w:tc>
          <w:tcPr>
            <w:tcW w:w="2294" w:type="dxa"/>
            <w:tcMar>
              <w:top w:w="70" w:type="dxa"/>
              <w:left w:w="70" w:type="dxa"/>
              <w:bottom w:w="70" w:type="dxa"/>
              <w:right w:w="70" w:type="dxa"/>
            </w:tcMar>
            <w:vAlign w:val="center"/>
          </w:tcPr>
          <w:p w14:paraId="71ACF723">
            <w:pPr>
              <w:pStyle w:val="167"/>
              <w:spacing w:before="0" w:after="0" w:line="240" w:lineRule="auto"/>
              <w:jc w:val="center"/>
            </w:pPr>
            <w:r>
              <w:rPr>
                <w:rFonts w:ascii="Times New Roman" w:hAnsi="Times New Roman" w:eastAsia="仿宋" w:cs="Noto Serif CJK SC"/>
                <w:b w:val="0"/>
                <w:sz w:val="20"/>
              </w:rPr>
              <w:t>50.0%有参与</w:t>
            </w:r>
          </w:p>
        </w:tc>
        <w:tc>
          <w:tcPr>
            <w:tcW w:w="2294" w:type="dxa"/>
            <w:tcMar>
              <w:top w:w="70" w:type="dxa"/>
              <w:left w:w="70" w:type="dxa"/>
              <w:bottom w:w="70" w:type="dxa"/>
              <w:right w:w="70" w:type="dxa"/>
            </w:tcMar>
            <w:vAlign w:val="center"/>
          </w:tcPr>
          <w:p w14:paraId="43F1D3C4">
            <w:pPr>
              <w:pStyle w:val="167"/>
              <w:spacing w:before="0" w:after="0" w:line="240" w:lineRule="auto"/>
              <w:jc w:val="center"/>
            </w:pPr>
            <w:r>
              <w:rPr>
                <w:rFonts w:ascii="Times New Roman" w:hAnsi="Times New Roman" w:eastAsia="仿宋" w:cs="Noto Serif CJK SC"/>
                <w:b w:val="0"/>
                <w:sz w:val="20"/>
              </w:rPr>
              <w:t>57.9%有参与</w:t>
            </w:r>
          </w:p>
        </w:tc>
      </w:tr>
      <w:tr w14:paraId="20D21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54D6690F">
            <w:pPr>
              <w:pStyle w:val="167"/>
              <w:spacing w:before="0" w:after="0" w:line="240" w:lineRule="auto"/>
              <w:jc w:val="center"/>
            </w:pPr>
            <w:r>
              <w:rPr>
                <w:rFonts w:ascii="Times New Roman" w:hAnsi="Times New Roman" w:eastAsia="仿宋" w:cs="Noto Serif CJK SC"/>
                <w:b w:val="0"/>
                <w:sz w:val="20"/>
              </w:rPr>
              <w:t>团队合作倾向</w:t>
            </w:r>
          </w:p>
        </w:tc>
        <w:tc>
          <w:tcPr>
            <w:tcW w:w="2294" w:type="dxa"/>
            <w:tcMar>
              <w:top w:w="70" w:type="dxa"/>
              <w:left w:w="70" w:type="dxa"/>
              <w:bottom w:w="70" w:type="dxa"/>
              <w:right w:w="70" w:type="dxa"/>
            </w:tcMar>
            <w:vAlign w:val="center"/>
          </w:tcPr>
          <w:p w14:paraId="4DA18E1F">
            <w:pPr>
              <w:pStyle w:val="167"/>
              <w:spacing w:before="0" w:after="0" w:line="240" w:lineRule="auto"/>
              <w:jc w:val="center"/>
            </w:pPr>
            <w:r>
              <w:rPr>
                <w:rFonts w:ascii="Times New Roman" w:hAnsi="Times New Roman" w:eastAsia="仿宋" w:cs="Noto Serif CJK SC"/>
                <w:b w:val="0"/>
                <w:sz w:val="20"/>
              </w:rPr>
              <w:t>88.9%配合执行</w:t>
            </w:r>
          </w:p>
        </w:tc>
        <w:tc>
          <w:tcPr>
            <w:tcW w:w="2294" w:type="dxa"/>
            <w:tcMar>
              <w:top w:w="70" w:type="dxa"/>
              <w:left w:w="70" w:type="dxa"/>
              <w:bottom w:w="70" w:type="dxa"/>
              <w:right w:w="70" w:type="dxa"/>
            </w:tcMar>
            <w:vAlign w:val="center"/>
          </w:tcPr>
          <w:p w14:paraId="00CAA767">
            <w:pPr>
              <w:pStyle w:val="167"/>
              <w:spacing w:before="0" w:after="0" w:line="240" w:lineRule="auto"/>
              <w:jc w:val="center"/>
            </w:pPr>
            <w:r>
              <w:rPr>
                <w:rFonts w:ascii="Times New Roman" w:hAnsi="Times New Roman" w:eastAsia="仿宋" w:cs="Noto Serif CJK SC"/>
                <w:b w:val="0"/>
                <w:sz w:val="20"/>
              </w:rPr>
              <w:t>50.0%主导讨论</w:t>
            </w:r>
          </w:p>
        </w:tc>
        <w:tc>
          <w:tcPr>
            <w:tcW w:w="2294" w:type="dxa"/>
            <w:tcMar>
              <w:top w:w="70" w:type="dxa"/>
              <w:left w:w="70" w:type="dxa"/>
              <w:bottom w:w="70" w:type="dxa"/>
              <w:right w:w="70" w:type="dxa"/>
            </w:tcMar>
            <w:vAlign w:val="center"/>
          </w:tcPr>
          <w:p w14:paraId="25BD5F15">
            <w:pPr>
              <w:pStyle w:val="167"/>
              <w:spacing w:before="0" w:after="0" w:line="240" w:lineRule="auto"/>
              <w:jc w:val="center"/>
            </w:pPr>
            <w:r>
              <w:rPr>
                <w:rFonts w:ascii="Times New Roman" w:hAnsi="Times New Roman" w:eastAsia="仿宋" w:cs="Noto Serif CJK SC"/>
                <w:b w:val="0"/>
                <w:sz w:val="20"/>
              </w:rPr>
              <w:t>36.8%坚持己见</w:t>
            </w:r>
          </w:p>
        </w:tc>
      </w:tr>
      <w:tr w14:paraId="6932C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tcMar>
              <w:top w:w="70" w:type="dxa"/>
              <w:left w:w="70" w:type="dxa"/>
              <w:bottom w:w="70" w:type="dxa"/>
              <w:right w:w="70" w:type="dxa"/>
            </w:tcMar>
            <w:vAlign w:val="center"/>
          </w:tcPr>
          <w:p w14:paraId="4779A583">
            <w:pPr>
              <w:pStyle w:val="167"/>
              <w:spacing w:before="0" w:after="0" w:line="240" w:lineRule="auto"/>
              <w:jc w:val="center"/>
            </w:pPr>
            <w:r>
              <w:rPr>
                <w:rFonts w:ascii="Times New Roman" w:hAnsi="Times New Roman" w:eastAsia="仿宋" w:cs="Noto Serif CJK SC"/>
                <w:b w:val="0"/>
                <w:sz w:val="20"/>
              </w:rPr>
              <w:t>教育准备度</w:t>
            </w:r>
          </w:p>
        </w:tc>
        <w:tc>
          <w:tcPr>
            <w:tcW w:w="2294" w:type="dxa"/>
            <w:tcMar>
              <w:top w:w="70" w:type="dxa"/>
              <w:left w:w="70" w:type="dxa"/>
              <w:bottom w:w="70" w:type="dxa"/>
              <w:right w:w="70" w:type="dxa"/>
            </w:tcMar>
            <w:vAlign w:val="center"/>
          </w:tcPr>
          <w:p w14:paraId="30CE7E8C">
            <w:pPr>
              <w:pStyle w:val="167"/>
              <w:spacing w:before="0" w:after="0" w:line="240" w:lineRule="auto"/>
              <w:jc w:val="center"/>
            </w:pPr>
            <w:r>
              <w:rPr>
                <w:rFonts w:ascii="Times New Roman" w:hAnsi="Times New Roman" w:eastAsia="仿宋" w:cs="Noto Serif CJK SC"/>
                <w:b w:val="0"/>
                <w:sz w:val="20"/>
              </w:rPr>
              <w:t>55.6%准备好</w:t>
            </w:r>
          </w:p>
        </w:tc>
        <w:tc>
          <w:tcPr>
            <w:tcW w:w="2294" w:type="dxa"/>
            <w:tcMar>
              <w:top w:w="70" w:type="dxa"/>
              <w:left w:w="70" w:type="dxa"/>
              <w:bottom w:w="70" w:type="dxa"/>
              <w:right w:w="70" w:type="dxa"/>
            </w:tcMar>
            <w:vAlign w:val="center"/>
          </w:tcPr>
          <w:p w14:paraId="487764C8">
            <w:pPr>
              <w:pStyle w:val="167"/>
              <w:spacing w:before="0" w:after="0" w:line="240" w:lineRule="auto"/>
              <w:jc w:val="center"/>
            </w:pPr>
            <w:r>
              <w:rPr>
                <w:rFonts w:ascii="Times New Roman" w:hAnsi="Times New Roman" w:eastAsia="仿宋" w:cs="Noto Serif CJK SC"/>
                <w:b w:val="0"/>
                <w:sz w:val="20"/>
              </w:rPr>
              <w:t>100.0%准备好</w:t>
            </w:r>
          </w:p>
        </w:tc>
        <w:tc>
          <w:tcPr>
            <w:tcW w:w="2294" w:type="dxa"/>
            <w:tcMar>
              <w:top w:w="70" w:type="dxa"/>
              <w:left w:w="70" w:type="dxa"/>
              <w:bottom w:w="70" w:type="dxa"/>
              <w:right w:w="70" w:type="dxa"/>
            </w:tcMar>
            <w:vAlign w:val="center"/>
          </w:tcPr>
          <w:p w14:paraId="450A60A2">
            <w:pPr>
              <w:pStyle w:val="167"/>
              <w:spacing w:before="0" w:after="0" w:line="240" w:lineRule="auto"/>
              <w:jc w:val="center"/>
            </w:pPr>
            <w:r>
              <w:rPr>
                <w:rFonts w:ascii="Times New Roman" w:hAnsi="Times New Roman" w:eastAsia="仿宋" w:cs="Noto Serif CJK SC"/>
                <w:b w:val="0"/>
                <w:sz w:val="20"/>
              </w:rPr>
              <w:t>21.1%准备好</w:t>
            </w:r>
          </w:p>
        </w:tc>
      </w:tr>
    </w:tbl>
    <w:p w14:paraId="449A3145">
      <w:pPr>
        <w:pStyle w:val="165"/>
        <w:keepNext/>
        <w:keepLines/>
      </w:pPr>
      <w:r>
        <w:rPr>
          <w:rFonts w:ascii="Times New Roman" w:hAnsi="Times New Roman" w:eastAsia="宋体" w:cs="Noto Serif CJK SC"/>
          <w:b/>
        </w:rPr>
        <w:t>7. 本章小结</w:t>
      </w:r>
    </w:p>
    <w:p w14:paraId="0595BF32">
      <w:pPr>
        <w:pStyle w:val="167"/>
      </w:pPr>
      <w:r>
        <w:rPr>
          <w:rFonts w:ascii="Times New Roman" w:hAnsi="Times New Roman" w:eastAsia="仿宋" w:cs="Noto Serif CJK SC"/>
        </w:rPr>
        <w:t>本研究基于基础教育、高等教育、教育价值观三层维度，结合三国对比与项目实践价值两大层面，分层梳理核心结论，逻辑递进如下：</w:t>
      </w:r>
    </w:p>
    <w:p w14:paraId="56D62C29">
      <w:pPr>
        <w:pStyle w:val="166"/>
        <w:keepNext/>
        <w:keepLines/>
      </w:pPr>
      <w:r>
        <w:rPr>
          <w:rFonts w:ascii="Times New Roman" w:hAnsi="Times New Roman" w:eastAsia="宋体" w:cs="Noto Serif CJK SC"/>
        </w:rPr>
        <w:t>发现一：三国基础教育趋同，但供需存在结构性矛盾</w:t>
      </w:r>
    </w:p>
    <w:p w14:paraId="6816662D">
      <w:pPr>
        <w:pStyle w:val="167"/>
      </w:pPr>
      <w:r>
        <w:rPr>
          <w:rFonts w:ascii="Times New Roman" w:hAnsi="Times New Roman" w:eastAsia="仿宋" w:cs="Noto Serif CJK SC"/>
        </w:rPr>
        <w:t>中、西、巴三国中小学均以教师单向讲授为主流教学形式，课堂讨论、项目动手实践占比极低，科技课程整体处于边缘地位。尽管所有学生内心普遍期待实践驱动式学习，但完整基础教育阶段几乎无对应实训场景，形成 “学生需求” 与 “学校供给” 的核心悖论。</w:t>
      </w:r>
    </w:p>
    <w:p w14:paraId="5A2F2F1C">
      <w:pPr>
        <w:pStyle w:val="166"/>
        <w:keepNext/>
        <w:keepLines/>
      </w:pPr>
      <w:r>
        <w:rPr>
          <w:rFonts w:ascii="Times New Roman" w:hAnsi="Times New Roman" w:eastAsia="宋体" w:cs="Noto Serif CJK SC"/>
        </w:rPr>
        <w:t>发现二：国别差异化教育特征：三类国家各有典型结构性矛盾</w:t>
      </w:r>
    </w:p>
    <w:p w14:paraId="48EA72FE">
      <w:pPr>
        <w:pStyle w:val="167"/>
      </w:pPr>
      <w:r>
        <w:rPr>
          <w:rFonts w:ascii="Times New Roman" w:hAnsi="Times New Roman" w:eastAsia="仿宋" w:cs="Noto Serif CJK SC"/>
        </w:rPr>
        <w:t>对于中国而言，主观认知与教育现实割裂学生普遍认同独立思考、敢于质疑的价值，但应试导向的中小学教学、回避争议议题的高校课堂，并未系统性培育批判性思维，学生自我认知与实际能力养成存在明显落差。</w:t>
      </w:r>
    </w:p>
    <w:p w14:paraId="6EE22BC9">
      <w:pPr>
        <w:pStyle w:val="167"/>
      </w:pPr>
      <w:r>
        <w:rPr>
          <w:rFonts w:ascii="Times New Roman" w:hAnsi="Times New Roman" w:eastAsia="仿宋" w:cs="Noto Serif CJK SC"/>
        </w:rPr>
        <w:t>对于巴西，校内教育薄弱，校外实践形成补偿机制巴西中小学科技教学资源匮乏，课堂以纯理论灌输为主；学生对项目式实操学习的强烈偏好并非源于校园课程，而是亚马逊野外勘测等校外工程经历带来的补偿性成长，形成校内、校外两套完全不同的成长路径。</w:t>
      </w:r>
    </w:p>
    <w:p w14:paraId="079EF3F7">
      <w:pPr>
        <w:pStyle w:val="167"/>
      </w:pPr>
      <w:r>
        <w:rPr>
          <w:rFonts w:ascii="Times New Roman" w:hAnsi="Times New Roman" w:eastAsia="仿宋" w:cs="Noto Serif CJK SC"/>
        </w:rPr>
        <w:t>对于西班牙，基础教育与大学培养模式存在反差西班牙高中阶段科技教育完善，但大学阶段教学趋于保守，教师习惯直接给出标准答案，打破 “西方教育天然鼓励自主探究” 的刻板印象。</w:t>
      </w:r>
    </w:p>
    <w:p w14:paraId="613F58B8">
      <w:pPr>
        <w:pStyle w:val="166"/>
        <w:keepNext/>
        <w:keepLines/>
      </w:pPr>
      <w:r>
        <w:rPr>
          <w:rFonts w:ascii="Times New Roman" w:hAnsi="Times New Roman" w:eastAsia="宋体" w:cs="Noto Serif CJK SC"/>
        </w:rPr>
        <w:t>发现三：各国深层差异不在教学形式，而在价值认知与能力自信</w:t>
      </w:r>
    </w:p>
    <w:p w14:paraId="43B503A5">
      <w:pPr>
        <w:pStyle w:val="167"/>
      </w:pPr>
      <w:r>
        <w:rPr>
          <w:rFonts w:ascii="Times New Roman" w:hAnsi="Times New Roman" w:eastAsia="仿宋" w:cs="Noto Serif CJK SC"/>
        </w:rPr>
        <w:t>虽然三国中小学授课模式大体一致，但长期教育塑造的底层认知存在显著区分。一是就业准备感知差异，西班牙学生自我认可度最高，巴西学生普遍认为校园教育难以适配社会工作；二是对权威的接纳程度不同；三是对下一代教育模式的偏好分化。这说明教育体系不只改变学习方法，更会塑造学生对自身能力的判断标准。</w:t>
      </w:r>
    </w:p>
    <w:p w14:paraId="2ABC070E">
      <w:pPr>
        <w:pStyle w:val="166"/>
        <w:keepNext/>
        <w:keepLines/>
      </w:pPr>
      <w:r>
        <w:rPr>
          <w:rFonts w:ascii="Times New Roman" w:hAnsi="Times New Roman" w:eastAsia="宋体" w:cs="Noto Serif CJK SC"/>
        </w:rPr>
        <w:t>发现五：BISS项目式学习具备独特弥补性育人价值</w:t>
      </w:r>
    </w:p>
    <w:p w14:paraId="3027ED68">
      <w:pPr>
        <w:pStyle w:val="167"/>
      </w:pPr>
      <w:r>
        <w:rPr>
          <w:rFonts w:ascii="Times New Roman" w:hAnsi="Times New Roman" w:eastAsia="仿宋" w:cs="Noto Serif CJK SC"/>
        </w:rPr>
        <w:t>受访精英学生中超半数认为常规教育无法满足社会工作需求，而本次 BISS 无人机暑期项目填补了各国工程教育的共同短板：提供高强度实操训练、成果导向的评价体系、真实场景下的综合问题解决机会，也是多数学生第一次完整接触项目驱动式工程实践。</w:t>
      </w:r>
    </w:p>
    <w:p w14:paraId="0C522930">
      <w:r>
        <w:rPr>
          <w:rFonts w:ascii="Times New Roman" w:hAnsi="Times New Roman" w:eastAsia="仿宋"/>
        </w:rPr>
        <w:br w:type="page"/>
      </w:r>
    </w:p>
    <w:p w14:paraId="72397EEB">
      <w:pPr>
        <w:pStyle w:val="164"/>
        <w:keepNext/>
        <w:keepLines/>
      </w:pPr>
      <w:r>
        <w:rPr>
          <w:rFonts w:ascii="Times New Roman" w:hAnsi="Times New Roman" w:eastAsia="宋体"/>
        </w:rPr>
        <w:t>六、对国际暑期学校项目设计的优化启示</w:t>
      </w:r>
    </w:p>
    <w:p w14:paraId="4166F5A0">
      <w:pPr>
        <w:pStyle w:val="165"/>
        <w:keepNext/>
        <w:keepLines/>
      </w:pPr>
      <w:r>
        <w:rPr>
          <w:rFonts w:ascii="Times New Roman" w:hAnsi="Times New Roman" w:eastAsia="宋体"/>
          <w:b/>
          <w:sz w:val="28"/>
        </w:rPr>
        <w:t>1.现有问题及其证据基础</w:t>
      </w:r>
    </w:p>
    <w:p w14:paraId="178793EF">
      <w:pPr>
        <w:pStyle w:val="168"/>
      </w:pPr>
      <w:r>
        <w:rPr>
          <w:rFonts w:ascii="Times New Roman" w:hAnsi="Times New Roman" w:eastAsia="仿宋"/>
          <w:sz w:val="22"/>
        </w:rPr>
        <w:t>(1) 学生技术起点差异与统一进度之间存在矛盾。前文问卷显示，大学阶段科研或创新实践“从未参与”与“偶尔参与”的学生合计接近八成，其中中国样本22.22%从未参与，西班牙样本50%从未参与，巴西样本42.11%从未参与；基础教育阶段的科技课程地位和实验机会也存在明显差异。项目观察进一步显示，第一天80%以上的故障来自依赖冲突、环境变量、硬件连接等非算法类工程细节。由此可见，统一起点和统一进度容易使基础薄弱成员长期停留在环境排错环节，也使基础较好成员缺少进一步探索空间。</w:t>
      </w:r>
    </w:p>
    <w:p w14:paraId="113CFCFB">
      <w:pPr>
        <w:pStyle w:val="168"/>
      </w:pPr>
      <w:r>
        <w:rPr>
          <w:rFonts w:ascii="Times New Roman" w:hAnsi="Times New Roman" w:eastAsia="仿宋"/>
          <w:sz w:val="22"/>
        </w:rPr>
        <w:t>(2) 学生既往学习方式与高强度项目式学习要求之间存在适应落差。问卷中75%的学生将教师讲授视为中小学阶段的主要教学方式，项目式或动手实践仅占6.25%，课堂讨论仅占3.12%；科技类课程中“纯理论、无实验或操作”占37.50%。因此，多数学生进入项目后需要在短时间内完成从按教程执行到自主定位问题、迭代测试和系统设计的转换，前期适应成本较高。</w:t>
      </w:r>
    </w:p>
    <w:p w14:paraId="2D94BAEF">
      <w:pPr>
        <w:pStyle w:val="168"/>
      </w:pPr>
      <w:r>
        <w:rPr>
          <w:rFonts w:ascii="Times New Roman" w:hAnsi="Times New Roman" w:eastAsia="仿宋"/>
          <w:sz w:val="22"/>
        </w:rPr>
        <w:t>(3) 团队角色固化与跨文化沟通障碍限制了协作深度。现场观察显示，各组在项目初期即形成硬件装配、程序调试、路线规划、软件开发等分工，并基本延续至项目结束；与此同时，三国样本在“中小学最重视的能力”问题中均无人选择团队协作与沟通能力。项目初期的跨语言协作也较多依赖翻译工具、代码展示和操作演示，说明混合组队本身并不会自动转化为深度协作。</w:t>
      </w:r>
    </w:p>
    <w:p w14:paraId="7B1F5A6C">
      <w:pPr>
        <w:pStyle w:val="168"/>
      </w:pPr>
      <w:r>
        <w:rPr>
          <w:rFonts w:ascii="Times New Roman" w:hAnsi="Times New Roman" w:eastAsia="仿宋"/>
          <w:sz w:val="22"/>
        </w:rPr>
        <w:t>(4) 真实工程环境中的系统性问题出现偏晚。前期任务以分步操作和单模块验证为主，预设路径与真实环境偏差、机体装配变化导致坐标失效、传感器噪声和多模块协同等问题主要在自主探索与竞赛阶段集中暴露。此时项目时间已较紧张，学生往往只能优先保证功能实现，难以充分分析问题根因和方案边界。</w:t>
      </w:r>
    </w:p>
    <w:p w14:paraId="0F952600">
      <w:pPr>
        <w:pStyle w:val="168"/>
      </w:pPr>
      <w:r>
        <w:rPr>
          <w:rFonts w:ascii="Times New Roman" w:hAnsi="Times New Roman" w:eastAsia="仿宋"/>
          <w:sz w:val="22"/>
        </w:rPr>
        <w:t>(5) 当前评价方式与项目中的主要学习成果不完全匹配。问卷中仅6.2%的学生认可单一考试成绩评价，项目成果导向评价和多维度综合评价的认可度均达到34.4%；而项目观察到的关键成长主要体现在环境排错、方案比较、失败修正、角色协作和系统迭代等过程中。若评价仍主要依据最终飞行结果，容易忽视大量真实的工程学习投入。</w:t>
      </w:r>
    </w:p>
    <w:p w14:paraId="5FFEE55F">
      <w:pPr>
        <w:pStyle w:val="165"/>
        <w:keepNext/>
        <w:keepLines/>
      </w:pPr>
      <w:r>
        <w:rPr>
          <w:rFonts w:ascii="Times New Roman" w:hAnsi="Times New Roman" w:eastAsia="宋体"/>
          <w:b/>
          <w:sz w:val="28"/>
        </w:rPr>
        <w:t>2.基于技术基础差异的课前诊断与分层教学</w:t>
      </w:r>
    </w:p>
    <w:p w14:paraId="03376A28">
      <w:pPr>
        <w:pStyle w:val="167"/>
      </w:pPr>
      <w:r>
        <w:rPr>
          <w:rFonts w:ascii="Times New Roman" w:hAnsi="Times New Roman" w:eastAsia="仿宋"/>
          <w:sz w:val="22"/>
        </w:rPr>
        <w:t>针对三国学生在科技课程经历、科研实践频率和硬件接触机会方面的差异，建议将课程准备分为“诊断—补齐—拓展”三个环节。课前诊断应覆盖Linux命令与文件操作、Python基础、ROS基本概念、GitHub资料检索、无人机安全规范和常用英文技术术语，不只考查知识记忆，还应设置一次环境配置或报错定位任务，以识别学生真实的工程操作能力。</w:t>
      </w:r>
    </w:p>
    <w:p w14:paraId="76C4FA7A">
      <w:pPr>
        <w:pStyle w:val="167"/>
      </w:pPr>
      <w:r>
        <w:rPr>
          <w:rFonts w:ascii="Times New Roman" w:hAnsi="Times New Roman" w:eastAsia="仿宋"/>
          <w:sz w:val="22"/>
        </w:rPr>
        <w:t>根据诊断结果提供三级材料：基础层重点补齐命令行、依赖安装和代码运行能力；提高层重点训练传感器数据读取、参数调整和日志分析；拓展层提供控制策略比较、路径规划优化和鲁棒性设计任务。分层仅用于安排学习支持，不用于固定学生在团队中的角色，所有学生仍需完成统一的核心能力清单。</w:t>
      </w:r>
    </w:p>
    <w:p w14:paraId="73042FF6">
      <w:pPr>
        <w:pStyle w:val="167"/>
      </w:pPr>
      <w:r>
        <w:rPr>
          <w:rFonts w:ascii="Times New Roman" w:hAnsi="Times New Roman" w:eastAsia="仿宋"/>
          <w:sz w:val="22"/>
        </w:rPr>
        <w:t>项目第一天可设置“工程基础训练单元”，集中处理虚拟机、环境变量、设备连接和起飞点校准等高频问题，并有意设置一至两个可恢复的配置故障，要求学生按照“读取报错—定位模块—查阅资料—验证修改—记录结论”的流程完成排错。这样既回应了第一天非算法类故障占比高的观察，也能把环境排错本身转化为正式学习内容，而不是单纯消耗项目时间。</w:t>
      </w:r>
    </w:p>
    <w:p w14:paraId="049512F4">
      <w:pPr>
        <w:pStyle w:val="167"/>
      </w:pPr>
      <w:r>
        <w:rPr>
          <w:rFonts w:ascii="Times New Roman" w:hAnsi="Times New Roman" w:eastAsia="仿宋"/>
          <w:sz w:val="22"/>
        </w:rPr>
        <w:t>鉴于AI工具已成为各国学生共同使用的辅助手段，应增加AI辅助工程学习规范：学生在使用AI解释报错或生成修改建议后，必须至少通过官方文档、GitHub README或Issue、最小化测试中的一种方式进行核查，并在问题记录表中注明“AI建议—验证依据—最终采用情况”，将前文观察到的“AI辅助—人工验证”做法制度化。</w:t>
      </w:r>
    </w:p>
    <w:p w14:paraId="282D4B2A">
      <w:pPr>
        <w:pStyle w:val="165"/>
        <w:keepNext/>
        <w:keepLines/>
      </w:pPr>
      <w:r>
        <w:rPr>
          <w:rFonts w:ascii="Times New Roman" w:hAnsi="Times New Roman" w:eastAsia="宋体"/>
          <w:b/>
          <w:sz w:val="28"/>
        </w:rPr>
        <w:t>3.基于协作行为差异的混合组队与角色轮换</w:t>
      </w:r>
    </w:p>
    <w:p w14:paraId="5205F9BE">
      <w:pPr>
        <w:pStyle w:val="167"/>
      </w:pPr>
      <w:r>
        <w:rPr>
          <w:rFonts w:ascii="Times New Roman" w:hAnsi="Times New Roman" w:eastAsia="仿宋"/>
          <w:sz w:val="22"/>
        </w:rPr>
        <w:t>组队时应同时考虑技术基础、专业背景、语言能力、既往项目经验和国籍，避免同一组中核心能力过度集中，也避免仅按国籍平均分配。每组应至少覆盖环境配置、程序开发、飞行测试、过程记录和沟通协调等能力，但不预先将某类能力与特定国籍学生绑定。</w:t>
      </w:r>
    </w:p>
    <w:p w14:paraId="0F369C50">
      <w:pPr>
        <w:pStyle w:val="167"/>
      </w:pPr>
      <w:r>
        <w:rPr>
          <w:rFonts w:ascii="Times New Roman" w:hAnsi="Times New Roman" w:eastAsia="仿宋"/>
          <w:sz w:val="22"/>
        </w:rPr>
        <w:t>针对项目中角色从第一天延续至结束的现象，建议按任务模块设置轮换机制，而不是频繁按小时轮换。可在“环境搭建—传感器应用—系统综合—竞赛优化”四个阶段分别调整一次角色，确保每名学生至少承担一次技术核心角色和一次记录、解释或协调角色。角色交接时须提交简短的交接记录，包括当前进度、关键参数、尚未解决的问题和下一步计划，防止轮换造成信息断层。</w:t>
      </w:r>
    </w:p>
    <w:p w14:paraId="0C2076D0">
      <w:pPr>
        <w:pStyle w:val="167"/>
      </w:pPr>
      <w:r>
        <w:rPr>
          <w:rFonts w:ascii="Times New Roman" w:hAnsi="Times New Roman" w:eastAsia="仿宋"/>
          <w:sz w:val="22"/>
        </w:rPr>
        <w:t>每日安排10分钟组内技术分享，由当日负责核心任务的成员向其他成员解释一个关键问题及其解决过程。该安排既可利用项目中已经出现的“有经验成员向组员讲解”现象促进知识流动，也能避免团队长期形成“少数成员操作、其他成员旁观”的结构。</w:t>
      </w:r>
    </w:p>
    <w:p w14:paraId="5B0CB6D5">
      <w:pPr>
        <w:pStyle w:val="165"/>
        <w:keepNext/>
        <w:keepLines/>
      </w:pPr>
      <w:r>
        <w:rPr>
          <w:rFonts w:ascii="Times New Roman" w:hAnsi="Times New Roman" w:eastAsia="宋体"/>
          <w:b/>
          <w:sz w:val="28"/>
        </w:rPr>
        <w:t>4.基于学习路径演变的任务结构优化</w:t>
      </w:r>
    </w:p>
    <w:p w14:paraId="7F15564B">
      <w:pPr>
        <w:pStyle w:val="167"/>
      </w:pPr>
      <w:r>
        <w:rPr>
          <w:rFonts w:ascii="Times New Roman" w:hAnsi="Times New Roman" w:eastAsia="仿宋"/>
          <w:sz w:val="22"/>
        </w:rPr>
        <w:t>前文观察到学生的学习路径由“按教程复刻执行”逐步转向“自主设计工程方案”，因此任务设计应采用“共同基础任务—分支探索任务—系统综合任务—开放竞赛任务”的递进结构。共同基础任务保证所有成员掌握环境配置、传感器读取、基础避障和飞行安全；分支探索任务允许团队在控制逻辑、数据处理、建图或路径规划中选择重点；系统综合任务要求解释模块之间的依赖关系；开放竞赛任务再鼓励性能优化与创新。</w:t>
      </w:r>
    </w:p>
    <w:p w14:paraId="6075F351">
      <w:pPr>
        <w:pStyle w:val="167"/>
      </w:pPr>
      <w:r>
        <w:rPr>
          <w:rFonts w:ascii="Times New Roman" w:hAnsi="Times New Roman" w:eastAsia="仿宋"/>
          <w:sz w:val="22"/>
        </w:rPr>
        <w:t>为兼顾中国学生样本较明显的任务达成倾向与部分西班牙、巴西学生较早出现的原理追问，每项核心任务应同时设置“功能要求”和“解释要求”。例如，完成避障程序不仅要使无人机稳定运行，还需说明传感器阈值的选择依据、算法适用边界和失败场景；完成路径规划不仅提交最终路线，还需记录至少两种方案的比较过程。这样既保留短期项目的成果导向，也促使学生将功能实现上升为可迁移的理解。</w:t>
      </w:r>
    </w:p>
    <w:p w14:paraId="0F8DC448">
      <w:pPr>
        <w:pStyle w:val="167"/>
      </w:pPr>
      <w:r>
        <w:rPr>
          <w:rFonts w:ascii="Times New Roman" w:hAnsi="Times New Roman" w:eastAsia="仿宋"/>
          <w:sz w:val="22"/>
        </w:rPr>
        <w:t>真实环境因素应前移嵌入基础阶段。可在Day 2前加入传感器噪声、起飞点偏移、机体重量变化和环境障碍变化等小型扰动任务，使学生在时间压力较低时建立“模型并不等于真实系统”的认识。进入综合竞赛阶段后，再增加多模块耦合和动态环境变化，避免所有系统性问题集中到项目末期。</w:t>
      </w:r>
    </w:p>
    <w:p w14:paraId="7611B447">
      <w:pPr>
        <w:pStyle w:val="167"/>
      </w:pPr>
      <w:r>
        <w:rPr>
          <w:rFonts w:ascii="Times New Roman" w:hAnsi="Times New Roman" w:eastAsia="仿宋"/>
          <w:sz w:val="22"/>
        </w:rPr>
        <w:t>每个阶段均设置可交付成果：可运行结果、问题记录、方案选择理由、测试数据和阶段反思。阶段成果既用于教师及时发现组间进度差异，也为后续过程性评价提供直接证据。</w:t>
      </w:r>
    </w:p>
    <w:p w14:paraId="6642ADF7">
      <w:pPr>
        <w:pStyle w:val="165"/>
        <w:keepNext/>
        <w:keepLines/>
      </w:pPr>
      <w:r>
        <w:rPr>
          <w:rFonts w:ascii="Times New Roman" w:hAnsi="Times New Roman" w:eastAsia="宋体"/>
          <w:b/>
          <w:sz w:val="28"/>
        </w:rPr>
        <w:t>5.基于问题解决路径差异的教师指导机制</w:t>
      </w:r>
    </w:p>
    <w:p w14:paraId="1A0DCCC4">
      <w:pPr>
        <w:pStyle w:val="167"/>
      </w:pPr>
      <w:r>
        <w:rPr>
          <w:rFonts w:ascii="Times New Roman" w:hAnsi="Times New Roman" w:eastAsia="仿宋"/>
          <w:sz w:val="22"/>
        </w:rPr>
        <w:t>前文发现，中国学生较常先向同伴或助教求助，西班牙和巴西学生较常先查阅官方文档和GitHub资料。教师指导不应简单要求所有学生采用同一路径，而应建立兼顾两类习惯的“分层求助流程”：首先依据故障清单进行个人或小组自查，其次查阅课程资料、官方文档和共享Issue库，再填写问题说明并向助教求助。问题说明至少包括预期结果、实际现象、报错信息、已尝试方法和相关证据。</w:t>
      </w:r>
    </w:p>
    <w:p w14:paraId="4E41DE1C">
      <w:pPr>
        <w:pStyle w:val="167"/>
      </w:pPr>
      <w:r>
        <w:rPr>
          <w:rFonts w:ascii="Times New Roman" w:hAnsi="Times New Roman" w:eastAsia="仿宋"/>
          <w:sz w:val="22"/>
        </w:rPr>
        <w:t>对高频共性问题，教师在固定答疑时段集中讲解；对单组问题，以提示问题定位方向为主，不直接给出完整答案。对于只关注功能完成的团队，教师应追加“为什么有效、在什么条件下失效”的追问；对于长期停留在原理讨论而进度缓慢的团队，则要求先实现最小可运行方案，再逐步验证和优化。由此形成“任务推进”和“原理理解”双轨并行的指导方式。</w:t>
      </w:r>
    </w:p>
    <w:p w14:paraId="335D21F0">
      <w:pPr>
        <w:pStyle w:val="167"/>
      </w:pPr>
      <w:r>
        <w:rPr>
          <w:rFonts w:ascii="Times New Roman" w:hAnsi="Times New Roman" w:eastAsia="仿宋"/>
          <w:sz w:val="22"/>
        </w:rPr>
        <w:t>建立全班共享的问题库，将各组记录的报错、原因、解决步骤和验证结果按环境配置、传感器、控制逻辑、建图、路径规划等类别整理。问题库既能减少不同组重复排错，也能将个人经验沉淀为下一届课程可复用的教学资源。</w:t>
      </w:r>
    </w:p>
    <w:p w14:paraId="5293437E">
      <w:pPr>
        <w:pStyle w:val="165"/>
        <w:keepNext/>
        <w:keepLines/>
      </w:pPr>
      <w:r>
        <w:rPr>
          <w:rFonts w:ascii="Times New Roman" w:hAnsi="Times New Roman" w:eastAsia="宋体"/>
          <w:b/>
          <w:sz w:val="28"/>
        </w:rPr>
        <w:t>6.基于语言与团队经验不足的跨文化沟通支持</w:t>
      </w:r>
    </w:p>
    <w:p w14:paraId="5B7C3E99">
      <w:pPr>
        <w:pStyle w:val="167"/>
      </w:pPr>
      <w:r>
        <w:rPr>
          <w:rFonts w:ascii="Times New Roman" w:hAnsi="Times New Roman" w:eastAsia="仿宋"/>
          <w:sz w:val="22"/>
        </w:rPr>
        <w:t>鉴于项目初期存在口音、表达方式和技术术语理解差异，且问卷显示团队协作并非三国学生基础教育阶段的突出培养重点，跨文化沟通能力应被视为需要显性教学的课程目标。开课前应提供中英文技术术语表、任务流程图、常见报错表达和统一的问题报告模板，减少因术语不一致造成的重复解释。</w:t>
      </w:r>
    </w:p>
    <w:p w14:paraId="0E8BDAE9">
      <w:pPr>
        <w:pStyle w:val="167"/>
      </w:pPr>
      <w:r>
        <w:rPr>
          <w:rFonts w:ascii="Times New Roman" w:hAnsi="Times New Roman" w:eastAsia="仿宋"/>
          <w:sz w:val="22"/>
        </w:rPr>
        <w:t>项目期间实行简短的每日站会，每名成员依次说明“已完成内容—当前问题—下一步任务—需要的支持”；关键技术决策必须在共享文档中形成书面记录，并由另一名成员复述确认。对于语言表达困难的成员，允许使用代码、流程图、参数表、屏幕录制和现场操作演示补充说明，但不能仅通过独立操作代替团队信息共享。</w:t>
      </w:r>
    </w:p>
    <w:p w14:paraId="45565B44">
      <w:pPr>
        <w:pStyle w:val="167"/>
      </w:pPr>
      <w:r>
        <w:rPr>
          <w:rFonts w:ascii="Times New Roman" w:hAnsi="Times New Roman" w:eastAsia="仿宋"/>
          <w:sz w:val="22"/>
        </w:rPr>
        <w:t>在正式技术任务前设置一次低风险的协作练习，让成员共同完成简单装配或路线设计，并练习提出异议、确认理解、分配任务和反馈问题。该练习的目的不是一般性的文化介绍，而是提前建立项目中可直接使用的沟通规则。</w:t>
      </w:r>
    </w:p>
    <w:p w14:paraId="07CE64A7">
      <w:pPr>
        <w:pStyle w:val="165"/>
        <w:keepNext/>
        <w:keepLines/>
      </w:pPr>
      <w:r>
        <w:rPr>
          <w:rFonts w:ascii="Times New Roman" w:hAnsi="Times New Roman" w:eastAsia="宋体"/>
          <w:b/>
          <w:sz w:val="28"/>
        </w:rPr>
        <w:t>7.基于评价偏好与过程成果的考核体系优化</w:t>
      </w:r>
    </w:p>
    <w:p w14:paraId="572F9450">
      <w:pPr>
        <w:pStyle w:val="167"/>
      </w:pPr>
      <w:r>
        <w:rPr>
          <w:rFonts w:ascii="Times New Roman" w:hAnsi="Times New Roman" w:eastAsia="仿宋"/>
          <w:sz w:val="22"/>
        </w:rPr>
        <w:t>结合仅6.2%的样本认可单一考试评价，而项目成果导向评价和多维度综合评价均获得34.4%认可的结果，建议建立“团队成果＋个人过程证据”的双轨评价体系。团队成果用于评价系统是否实现、运行是否稳定和方案是否具有创新性；个人过程证据用于评价问题分析、角色承担、知识解释、测试记录和反思质量，避免最终结果掩盖成员贡献差异。</w:t>
      </w:r>
    </w:p>
    <w:p w14:paraId="589FC0FC">
      <w:pPr>
        <w:pStyle w:val="167"/>
      </w:pPr>
      <w:r>
        <w:rPr>
          <w:rFonts w:ascii="Times New Roman" w:hAnsi="Times New Roman" w:eastAsia="仿宋"/>
          <w:sz w:val="22"/>
        </w:rPr>
        <w:t>建议采用以下参考权重：技术任务完成度30%，问题定位与测试迭代记录25%，团队协作与角色轮换20%，开放任务的创新性与系统鲁棒性15%，个人反思与知识迁移10%。具体比例可根据课程目标调整，但过程性指标的总权重不应低于结果性指标。</w:t>
      </w:r>
    </w:p>
    <w:p w14:paraId="2E75ABAA">
      <w:pPr>
        <w:pStyle w:val="167"/>
      </w:pPr>
      <w:r>
        <w:rPr>
          <w:rFonts w:ascii="Times New Roman" w:hAnsi="Times New Roman" w:eastAsia="仿宋"/>
          <w:sz w:val="22"/>
        </w:rPr>
        <w:t>问题记录表不以“失败次数少”为高分标准，而应考查是否准确描述现象、是否提出可检验假设、是否保留测试依据以及是否根据结果修正方案。对于最终未完全成功但排错过程完整、结论清晰的团队，应给予相应过程分；对于依靠少数成员完成结果、缺少角色参与证据的团队，应限制团队成绩直接等同于个人成绩。</w:t>
      </w:r>
    </w:p>
    <w:p w14:paraId="651DD6E1">
      <w:pPr>
        <w:pStyle w:val="167"/>
      </w:pPr>
      <w:r>
        <w:rPr>
          <w:rFonts w:ascii="Times New Roman" w:hAnsi="Times New Roman" w:eastAsia="仿宋"/>
          <w:sz w:val="22"/>
        </w:rPr>
        <w:t>同伴评价可作为辅助证据，围绕信息共享、任务履行、倾听与反馈、技术贡献等具体行为开展，不采用笼统的“表现好坏”评分。项目结束时，各成员还应提交一份个人贡献说明和一项能够迁移到其他工程任务的方法总结。</w:t>
      </w:r>
    </w:p>
    <w:p w14:paraId="17FF1583">
      <w:pPr>
        <w:pStyle w:val="165"/>
        <w:keepNext/>
        <w:keepLines/>
      </w:pPr>
      <w:r>
        <w:rPr>
          <w:rFonts w:ascii="Times New Roman" w:hAnsi="Times New Roman" w:eastAsia="宋体"/>
          <w:b/>
          <w:sz w:val="28"/>
        </w:rPr>
        <w:t>8.优化措施的实施保障与效果验证</w:t>
      </w:r>
    </w:p>
    <w:p w14:paraId="6485CC4F">
      <w:pPr>
        <w:pStyle w:val="167"/>
      </w:pPr>
      <w:r>
        <w:rPr>
          <w:rFonts w:ascii="Times New Roman" w:hAnsi="Times New Roman" w:eastAsia="仿宋"/>
          <w:sz w:val="22"/>
        </w:rPr>
        <w:t>将各项措施嵌入固定流程：课前完成基础诊断、分层材料推送和术语准备；项目首日完成工程基础训练与协作规则建立；每日执行站会、问题记录和角色记录；阶段结束进行成果检查与复盘；项目末期完成综合展示、个人贡献说明和课程反馈。课程负责人负责总体设计，指导教师负责共性问题与阶段复盘，助教负责问题库维护和过程记录检查，学生组长负责站会和角色轮换落实。</w:t>
      </w:r>
    </w:p>
    <w:p w14:paraId="26CBF682">
      <w:pPr>
        <w:pStyle w:val="167"/>
      </w:pPr>
      <w:r>
        <w:rPr>
          <w:rFonts w:ascii="Times New Roman" w:hAnsi="Times New Roman" w:eastAsia="仿宋"/>
          <w:sz w:val="22"/>
        </w:rPr>
        <w:t>设备与资源保障应直接回应前文访谈中部分学生接触无人机设备成本较高的情况。各组应配备完整设备和必要备用部件，建立故障设备快速替换机制，避免因设备短缺使个别成员长期失去操作机会；同时提供统一的软件镜像、官方文档入口、课程示例代码和共享问题库，降低资源获取差异。</w:t>
      </w:r>
    </w:p>
    <w:p w14:paraId="4941C1A5">
      <w:pPr>
        <w:pStyle w:val="167"/>
      </w:pPr>
      <w:r>
        <w:rPr>
          <w:rFonts w:ascii="Times New Roman" w:hAnsi="Times New Roman" w:eastAsia="仿宋"/>
          <w:sz w:val="22"/>
        </w:rPr>
        <w:t>下一届项目应围绕本章问题设置可量化指标：不同基础层学生完成环境配置的时间差、核心角色轮换覆盖率、问题记录完整率、跨成员技术解释次数、系统性故障前移发现数量、过程评价与最终结果的一致性以及学生对沟通和任务难度的满意度。通过与本届数据对照，检验分层教学、角色轮换、任务前移和过程评价是否真正改善了参与均衡性与工程学习效果，形成“调研发现—措施实施—效果评估—持续修订”的闭环。</w:t>
      </w:r>
    </w:p>
    <w:p w14:paraId="7B3AE9DF">
      <w:pPr>
        <w:pStyle w:val="164"/>
        <w:keepNext/>
        <w:keepLines/>
      </w:pPr>
      <w:r>
        <w:rPr>
          <w:rFonts w:ascii="Times New Roman" w:hAnsi="Times New Roman" w:eastAsia="宋体"/>
        </w:rPr>
        <w:t>七、结论与展望</w:t>
      </w:r>
    </w:p>
    <w:p w14:paraId="73197622">
      <w:pPr>
        <w:pStyle w:val="165"/>
        <w:keepNext/>
        <w:keepLines/>
      </w:pPr>
      <w:r>
        <w:rPr>
          <w:rFonts w:ascii="Times New Roman" w:hAnsi="Times New Roman" w:eastAsia="宋体"/>
        </w:rPr>
        <w:t>1.主要研究结论</w:t>
      </w:r>
    </w:p>
    <w:p w14:paraId="205CFD5C">
      <w:pPr>
        <w:pStyle w:val="166"/>
        <w:keepNext/>
        <w:keepLines/>
      </w:pPr>
      <w:r>
        <w:rPr>
          <w:rFonts w:ascii="Times New Roman" w:hAnsi="Times New Roman" w:eastAsia="宋体"/>
        </w:rPr>
        <w:t>1.1项目中呈现的工程实践行为</w:t>
      </w:r>
    </w:p>
    <w:p w14:paraId="0E58D98F">
      <w:pPr>
        <w:pStyle w:val="168"/>
      </w:pPr>
      <w:r>
        <w:rPr>
          <w:rFonts w:ascii="Times New Roman" w:hAnsi="Times New Roman" w:eastAsia="仿宋"/>
        </w:rPr>
        <w:t>(1) 技术学习路径呈现“教程跟随→主动建构”的阶段性演变。</w:t>
      </w:r>
    </w:p>
    <w:p w14:paraId="6FAD88B3">
      <w:pPr>
        <w:pStyle w:val="168"/>
      </w:pPr>
      <w:r>
        <w:rPr>
          <w:rFonts w:ascii="Times New Roman" w:hAnsi="Times New Roman" w:eastAsia="仿宋"/>
        </w:rPr>
        <w:t>• 项目初期，学生主要依赖操作手册与教程完成虚拟机安装、ROS环境配置和无人机连接；</w:t>
      </w:r>
    </w:p>
    <w:p w14:paraId="37055894">
      <w:pPr>
        <w:pStyle w:val="168"/>
      </w:pPr>
      <w:r>
        <w:rPr>
          <w:rFonts w:ascii="Times New Roman" w:hAnsi="Times New Roman" w:eastAsia="仿宋"/>
        </w:rPr>
        <w:t>• 进入应用阶段后，各组普遍形成“发现现象—分析原因—修改代码或参数—实际飞行验证—总结经验”的稳定问题处理闭环；</w:t>
      </w:r>
    </w:p>
    <w:p w14:paraId="08FE88D4">
      <w:pPr>
        <w:pStyle w:val="168"/>
      </w:pPr>
      <w:r>
        <w:rPr>
          <w:rFonts w:ascii="Times New Roman" w:hAnsi="Times New Roman" w:eastAsia="仿宋"/>
        </w:rPr>
        <w:t>• 在自主探索与竞赛阶段，学生开始主动思考算法选择依据、方案适用环境等系统设计问题。</w:t>
      </w:r>
    </w:p>
    <w:p w14:paraId="09399FB8">
      <w:pPr>
        <w:pStyle w:val="168"/>
      </w:pPr>
      <w:r>
        <w:rPr>
          <w:rFonts w:ascii="Times New Roman" w:hAnsi="Times New Roman" w:eastAsia="仿宋"/>
        </w:rPr>
        <w:t>(2) 项目中遇到的问题以工程性、系统性问题为主，而非算法理论问题。学生实际投入时间最多的环节是环境配置与参数调试，而非算法学习本身。</w:t>
      </w:r>
    </w:p>
    <w:p w14:paraId="3350E75B">
      <w:pPr>
        <w:pStyle w:val="168"/>
      </w:pPr>
      <w:r>
        <w:rPr>
          <w:rFonts w:ascii="Times New Roman" w:hAnsi="Times New Roman" w:eastAsia="仿宋"/>
        </w:rPr>
        <w:t>(3) AI工具成为全体学生的共性学习辅助手段，但未出现完全依赖现象。学生普遍使用AI工具解释报错信息、梳理概念、理解函数调用并获取参数建议，同时结合官方文档、GitHub</w:t>
      </w:r>
      <w:r>
        <w:rPr>
          <w:rFonts w:hint="eastAsia"/>
          <w:lang w:val="en-US" w:eastAsia="zh-CN"/>
        </w:rPr>
        <w:t xml:space="preserve"> </w:t>
      </w:r>
      <w:r>
        <w:rPr>
          <w:rFonts w:ascii="Times New Roman" w:hAnsi="Times New Roman" w:eastAsia="仿宋"/>
        </w:rPr>
        <w:t>Issue和实际运行结果进行验证。</w:t>
      </w:r>
    </w:p>
    <w:p w14:paraId="7E742C21">
      <w:pPr>
        <w:pStyle w:val="168"/>
      </w:pPr>
      <w:r>
        <w:rPr>
          <w:rFonts w:ascii="Times New Roman" w:hAnsi="Times New Roman" w:eastAsia="仿宋"/>
        </w:rPr>
        <w:t>(4) 团队协作分工明确，并通过多种方式补偿实现跨语言沟通。各组在项目初期即分化出硬件装配、程序调试、路线规划、软件开发等角色；随着任务复杂度提升，分工进一步细化。跨文化团队主要通过英语交流、翻译工具、肢体语言等克服语言障碍。</w:t>
      </w:r>
    </w:p>
    <w:p w14:paraId="42BCC45D">
      <w:pPr>
        <w:pStyle w:val="168"/>
      </w:pPr>
      <w:r>
        <w:rPr>
          <w:rFonts w:ascii="Times New Roman" w:hAnsi="Times New Roman" w:eastAsia="仿宋"/>
        </w:rPr>
        <w:t>(5) “快速原型—测试—迭代”成为项目后期的共同方法。综合竞赛阶段，各组均采用“提出方案、进行测试、错误修改、重新尝试”的迭代策略，在实验中加深对知识的理解，更有团队自主开发了提高飞行鲁棒性的创新工具。</w:t>
      </w:r>
    </w:p>
    <w:p w14:paraId="485E1E3B">
      <w:pPr>
        <w:pStyle w:val="166"/>
        <w:keepNext/>
        <w:keepLines/>
      </w:pPr>
      <w:r>
        <w:rPr>
          <w:rFonts w:ascii="Times New Roman" w:hAnsi="Times New Roman" w:eastAsia="宋体"/>
        </w:rPr>
        <w:t>1.2三国学生行为的共性与差异</w:t>
      </w:r>
    </w:p>
    <w:p w14:paraId="63EF673D">
      <w:pPr>
        <w:pStyle w:val="168"/>
      </w:pPr>
      <w:r>
        <w:rPr>
          <w:rFonts w:ascii="Times New Roman" w:hAnsi="Times New Roman" w:eastAsia="仿宋"/>
        </w:rPr>
        <w:t>(1) 稳定共性：</w:t>
      </w:r>
    </w:p>
    <w:p w14:paraId="17BE84C3">
      <w:pPr>
        <w:pStyle w:val="168"/>
      </w:pPr>
      <w:r>
        <w:rPr>
          <w:rFonts w:ascii="Times New Roman" w:hAnsi="Times New Roman" w:eastAsia="仿宋"/>
        </w:rPr>
        <w:t>• 无论国别，学生最终都经历“发现问题—分析问题—验证方案—形成理解”的学习闭环；</w:t>
      </w:r>
    </w:p>
    <w:p w14:paraId="21FD1F03">
      <w:pPr>
        <w:pStyle w:val="168"/>
      </w:pPr>
      <w:r>
        <w:rPr>
          <w:rFonts w:ascii="Times New Roman" w:hAnsi="Times New Roman" w:eastAsia="仿宋"/>
        </w:rPr>
        <w:t>• 均普遍将AI工具作为辅助手段并进行结果验证；</w:t>
      </w:r>
    </w:p>
    <w:p w14:paraId="04EA6694">
      <w:pPr>
        <w:pStyle w:val="168"/>
      </w:pPr>
      <w:r>
        <w:rPr>
          <w:rFonts w:ascii="Times New Roman" w:hAnsi="Times New Roman" w:eastAsia="仿宋"/>
        </w:rPr>
        <w:t>• 在项目驱动环境下，均表现出主动搜索信息、尝试不同方案、团队讨论协作的行为；</w:t>
      </w:r>
    </w:p>
    <w:p w14:paraId="6945CE63">
      <w:pPr>
        <w:pStyle w:val="168"/>
      </w:pPr>
      <w:r>
        <w:rPr>
          <w:rFonts w:ascii="Times New Roman" w:hAnsi="Times New Roman" w:eastAsia="仿宋"/>
        </w:rPr>
        <w:t>• 基础教育经历高度同质：问卷显示三国中小学以讲授式教学为绝对主导，且均不系统培养团队协作能力。</w:t>
      </w:r>
    </w:p>
    <w:p w14:paraId="1CE2269A">
      <w:pPr>
        <w:pStyle w:val="168"/>
      </w:pPr>
      <w:r>
        <w:rPr>
          <w:rFonts w:ascii="Times New Roman" w:hAnsi="Times New Roman" w:eastAsia="仿宋"/>
        </w:rPr>
        <w:t>(2) 样本内差异：</w:t>
      </w:r>
    </w:p>
    <w:p w14:paraId="63532F7C">
      <w:pPr>
        <w:pStyle w:val="168"/>
      </w:pPr>
      <w:r>
        <w:rPr>
          <w:rFonts w:ascii="Times New Roman" w:hAnsi="Times New Roman" w:eastAsia="仿宋"/>
        </w:rPr>
        <w:t>• 求助顺序与资料获取路径不同：</w:t>
      </w:r>
    </w:p>
    <w:p w14:paraId="3E3B059D">
      <w:pPr>
        <w:pStyle w:val="167"/>
      </w:pPr>
      <w:r>
        <w:rPr>
          <w:rFonts w:ascii="Times New Roman" w:hAnsi="Times New Roman" w:eastAsia="仿宋"/>
        </w:rPr>
        <w:t>部分中国学生倾向于先向身边同学或教师寻求帮助、关注快速完成当前任务； 部分外国学生更倾向于先阅读GitHub官方README及Issue页面、依据报错 信息自主定位。</w:t>
      </w:r>
    </w:p>
    <w:p w14:paraId="7B5E5404">
      <w:pPr>
        <w:pStyle w:val="168"/>
      </w:pPr>
      <w:r>
        <w:rPr>
          <w:rFonts w:ascii="Times New Roman" w:hAnsi="Times New Roman" w:eastAsia="仿宋"/>
        </w:rPr>
        <w:t>• 团队角色自我报告倾向不同：</w:t>
      </w:r>
    </w:p>
    <w:p w14:paraId="77F2D72F">
      <w:pPr>
        <w:pStyle w:val="167"/>
      </w:pPr>
      <w:r>
        <w:rPr>
          <w:rFonts w:ascii="Times New Roman" w:hAnsi="Times New Roman" w:eastAsia="仿宋"/>
        </w:rPr>
        <w:t>中国学生88.89%倾向“配合执行”，西班牙学生50%倾向“主导讨论”，巴西 学生36.84%在分歧时“坚持自己的观点”。</w:t>
      </w:r>
    </w:p>
    <w:p w14:paraId="6D6B58EE">
      <w:pPr>
        <w:pStyle w:val="168"/>
      </w:pPr>
      <w:r>
        <w:rPr>
          <w:rFonts w:ascii="Times New Roman" w:hAnsi="Times New Roman" w:eastAsia="仿宋"/>
        </w:rPr>
        <w:t>• 对权威的态度不同：</w:t>
      </w:r>
    </w:p>
    <w:p w14:paraId="63FA6B44">
      <w:pPr>
        <w:pStyle w:val="167"/>
      </w:pPr>
      <w:r>
        <w:rPr>
          <w:rFonts w:ascii="Times New Roman" w:hAnsi="Times New Roman" w:eastAsia="仿宋"/>
        </w:rPr>
        <w:t>中国、西班牙样本多数自报“敢于质疑，提出不同意见”，巴西样本36.84%选 择“完全认同”。</w:t>
      </w:r>
    </w:p>
    <w:p w14:paraId="52DBE5E0">
      <w:pPr>
        <w:pStyle w:val="168"/>
      </w:pPr>
      <w:r>
        <w:rPr>
          <w:rFonts w:ascii="Times New Roman" w:hAnsi="Times New Roman" w:eastAsia="仿宋"/>
        </w:rPr>
        <w:t>(3) 需谨慎对待的现象：</w:t>
      </w:r>
    </w:p>
    <w:p w14:paraId="61121B29">
      <w:pPr>
        <w:pStyle w:val="168"/>
      </w:pPr>
      <w:r>
        <w:rPr>
          <w:rFonts w:ascii="Times New Roman" w:hAnsi="Times New Roman" w:eastAsia="仿宋"/>
        </w:rPr>
        <w:t>• 上述行为差异在观察日志中均以“部分学生”表述，尚不能确认为群体层面的稳定特征；</w:t>
      </w:r>
    </w:p>
    <w:p w14:paraId="370ADD6D">
      <w:pPr>
        <w:pStyle w:val="168"/>
      </w:pPr>
      <w:r>
        <w:rPr>
          <w:rFonts w:ascii="Times New Roman" w:hAnsi="Times New Roman" w:eastAsia="仿宋"/>
        </w:rPr>
        <w:t>• 访谈与问卷的交叉分析表明，三国学生在教育价值观层面的差异大于学习行为层面的差异——行为在共同项目情境中趋同，差异更多体现在对教育的主观认知与准备度上；</w:t>
      </w:r>
    </w:p>
    <w:p w14:paraId="7C234C5D">
      <w:pPr>
        <w:pStyle w:val="168"/>
      </w:pPr>
      <w:r>
        <w:rPr>
          <w:rFonts w:ascii="Times New Roman" w:hAnsi="Times New Roman" w:eastAsia="仿宋"/>
        </w:rPr>
        <w:t>• 本样本中年龄与国别高度共线，上述差异可能部分来源于年龄与职业经历，而非教育背景本身。</w:t>
      </w:r>
    </w:p>
    <w:p w14:paraId="2E512137">
      <w:pPr>
        <w:pStyle w:val="166"/>
        <w:keepNext/>
        <w:keepLines/>
      </w:pPr>
      <w:r>
        <w:rPr>
          <w:rFonts w:ascii="Times New Roman" w:hAnsi="Times New Roman" w:eastAsia="宋体"/>
        </w:rPr>
        <w:t>1.3可能的影响因素</w:t>
      </w:r>
    </w:p>
    <w:p w14:paraId="44ED9B02">
      <w:pPr>
        <w:pStyle w:val="168"/>
      </w:pPr>
      <w:r>
        <w:rPr>
          <w:rFonts w:ascii="Times New Roman" w:hAnsi="Times New Roman" w:eastAsia="仿宋"/>
        </w:rPr>
        <w:t>(1) 个人技术基础与项目经验：</w:t>
      </w:r>
    </w:p>
    <w:p w14:paraId="17D2F485">
      <w:pPr>
        <w:pStyle w:val="167"/>
      </w:pPr>
      <w:r>
        <w:rPr>
          <w:rFonts w:ascii="Times New Roman" w:hAnsi="Times New Roman" w:eastAsia="仿宋"/>
        </w:rPr>
        <w:t>受访者的既往项目经历影响其问题处理方式。</w:t>
      </w:r>
    </w:p>
    <w:p w14:paraId="479B94FB">
      <w:pPr>
        <w:pStyle w:val="168"/>
      </w:pPr>
      <w:r>
        <w:rPr>
          <w:rFonts w:ascii="Times New Roman" w:hAnsi="Times New Roman" w:eastAsia="仿宋"/>
        </w:rPr>
        <w:t>(2) 教育经历：</w:t>
      </w:r>
    </w:p>
    <w:p w14:paraId="5CE6BC41">
      <w:pPr>
        <w:pStyle w:val="167"/>
      </w:pPr>
      <w:r>
        <w:rPr>
          <w:rFonts w:ascii="Times New Roman" w:hAnsi="Times New Roman" w:eastAsia="仿宋"/>
        </w:rPr>
        <w:t>三国样本的基础教育经历与项目中的初始表现存在对应关系：</w:t>
      </w:r>
    </w:p>
    <w:p w14:paraId="7FFEF6FF">
      <w:pPr>
        <w:pStyle w:val="168"/>
      </w:pPr>
      <w:r>
        <w:rPr>
          <w:rFonts w:ascii="Times New Roman" w:hAnsi="Times New Roman" w:eastAsia="仿宋"/>
        </w:rPr>
        <w:t>• 中国样本科技类课程88.89%为“副科”、编程启蒙多为课外接触，这与项目初期偏重任务完成、依赖现成教程的表现互证；</w:t>
      </w:r>
    </w:p>
    <w:p w14:paraId="41C88D02">
      <w:pPr>
        <w:pStyle w:val="168"/>
      </w:pPr>
      <w:r>
        <w:rPr>
          <w:rFonts w:ascii="Times New Roman" w:hAnsi="Times New Roman" w:eastAsia="仿宋"/>
        </w:rPr>
        <w:t>• 西班牙样本技术高中即开设编程与信息安全课程、科技课50%为主科，这与其较早的编程启蒙互证；</w:t>
      </w:r>
    </w:p>
    <w:p w14:paraId="5390AB60">
      <w:pPr>
        <w:pStyle w:val="168"/>
      </w:pPr>
      <w:r>
        <w:rPr>
          <w:rFonts w:ascii="Times New Roman" w:hAnsi="Times New Roman" w:eastAsia="仿宋"/>
        </w:rPr>
        <w:t>• 巴西样本36.84%中小学“基本没有开设”科技类课程、42.11%的科技课为纯理论讲授，这与其技术基础相对薄弱互证。</w:t>
      </w:r>
    </w:p>
    <w:p w14:paraId="110680EE">
      <w:pPr>
        <w:pStyle w:val="168"/>
      </w:pPr>
      <w:r>
        <w:rPr>
          <w:rFonts w:ascii="Times New Roman" w:hAnsi="Times New Roman" w:eastAsia="仿宋"/>
        </w:rPr>
        <w:t>(3) 团队角色与项目情境：</w:t>
      </w:r>
    </w:p>
    <w:p w14:paraId="6999C5EC">
      <w:pPr>
        <w:pStyle w:val="167"/>
      </w:pPr>
      <w:r>
        <w:rPr>
          <w:rFonts w:ascii="Times New Roman" w:hAnsi="Times New Roman" w:eastAsia="仿宋"/>
        </w:rPr>
        <w:t>项目初期形成的分工使部分成员的行为出现差异，与个人因素关系较小；</w:t>
      </w:r>
    </w:p>
    <w:p w14:paraId="2A952271">
      <w:pPr>
        <w:pStyle w:val="167"/>
      </w:pPr>
      <w:r>
        <w:rPr>
          <w:rFonts w:ascii="Times New Roman" w:hAnsi="Times New Roman" w:eastAsia="仿宋"/>
        </w:rPr>
        <w:t>进入竞赛阶段后，各组处理问题的节奏与方案保守的程度出现变化。</w:t>
      </w:r>
    </w:p>
    <w:p w14:paraId="08479DCC">
      <w:pPr>
        <w:pStyle w:val="166"/>
        <w:keepNext/>
        <w:keepLines/>
      </w:pPr>
      <w:r>
        <w:rPr>
          <w:rFonts w:ascii="Times New Roman" w:hAnsi="Times New Roman" w:eastAsia="宋体"/>
        </w:rPr>
        <w:t>1.4对国际暑期学校的主要启示</w:t>
      </w:r>
    </w:p>
    <w:p w14:paraId="740AB2A7">
      <w:pPr>
        <w:pStyle w:val="168"/>
      </w:pPr>
      <w:r>
        <w:rPr>
          <w:rFonts w:ascii="Times New Roman" w:hAnsi="Times New Roman" w:eastAsia="仿宋"/>
        </w:rPr>
        <w:t>(1) 课前诊断与分层预习——应对学生前期技术基础差异：中国样本科研实践参与率最高，西班牙样本50%从未参与科研实践活动，巴西样本技术起点悬殊；</w:t>
      </w:r>
    </w:p>
    <w:p w14:paraId="012237B6">
      <w:pPr>
        <w:pStyle w:val="168"/>
      </w:pPr>
      <w:r>
        <w:rPr>
          <w:rFonts w:ascii="Times New Roman" w:hAnsi="Times New Roman" w:eastAsia="仿宋"/>
        </w:rPr>
        <w:t>(2) 跨文化沟通支持——应对语言障碍对技术交流的影响：口音、表达方式差异需借助翻译工具与操作演示补偿；</w:t>
      </w:r>
    </w:p>
    <w:p w14:paraId="05861586">
      <w:pPr>
        <w:pStyle w:val="168"/>
      </w:pPr>
      <w:r>
        <w:rPr>
          <w:rFonts w:ascii="Times New Roman" w:hAnsi="Times New Roman" w:eastAsia="仿宋"/>
        </w:rPr>
        <w:t>(3) 标准化与开放性双层任务——应对各组进度与基础差异，并鼓励学生进一步深度探索；</w:t>
      </w:r>
    </w:p>
    <w:p w14:paraId="4ED46726">
      <w:pPr>
        <w:pStyle w:val="168"/>
      </w:pPr>
      <w:r>
        <w:rPr>
          <w:rFonts w:ascii="Times New Roman" w:hAnsi="Times New Roman" w:eastAsia="仿宋"/>
        </w:rPr>
        <w:t>(4) 过程与结果结合的评价体系——问卷表明，过程性、实践性评价具有跨文化的接受基础。</w:t>
      </w:r>
    </w:p>
    <w:p w14:paraId="62468BEB">
      <w:pPr>
        <w:pStyle w:val="165"/>
        <w:keepNext/>
        <w:keepLines/>
      </w:pPr>
      <w:r>
        <w:rPr>
          <w:rFonts w:ascii="Times New Roman" w:hAnsi="Times New Roman" w:eastAsia="宋体"/>
        </w:rPr>
        <w:t>2.研究贡献</w:t>
      </w:r>
    </w:p>
    <w:p w14:paraId="26B84925">
      <w:pPr>
        <w:pStyle w:val="168"/>
      </w:pPr>
      <w:r>
        <w:rPr>
          <w:rFonts w:ascii="Times New Roman" w:hAnsi="Times New Roman" w:eastAsia="仿宋"/>
        </w:rPr>
        <w:t>(1) 理论贡献：提供了真实高强度工程实践场景下连续5天的行为观察案例，补充了现有研究多依赖宏观教育制度分析或一次性问卷结果的不足；</w:t>
      </w:r>
    </w:p>
    <w:p w14:paraId="64B683C4">
      <w:pPr>
        <w:pStyle w:val="168"/>
      </w:pPr>
      <w:r>
        <w:rPr>
          <w:rFonts w:ascii="Times New Roman" w:hAnsi="Times New Roman" w:eastAsia="仿宋"/>
        </w:rPr>
        <w:t>(2) 方法贡献：形成“每日观察日志＋半结构化访谈＋对照问卷”的研究工具组合，观察记录表、访谈纲要与问卷可供同类研究复用（见附录1、附录3、附录4）；</w:t>
      </w:r>
    </w:p>
    <w:p w14:paraId="0D554412">
      <w:pPr>
        <w:pStyle w:val="168"/>
      </w:pPr>
      <w:r>
        <w:rPr>
          <w:rFonts w:ascii="Times New Roman" w:hAnsi="Times New Roman" w:eastAsia="仿宋"/>
        </w:rPr>
        <w:t>(3) 实践贡献：为国际暑期学校在课前诊断、混合组队、任务分层、沟通支持与过程评价方面提供了基于实证证据的参考。</w:t>
      </w:r>
    </w:p>
    <w:p w14:paraId="56379580">
      <w:pPr>
        <w:pStyle w:val="165"/>
        <w:keepNext/>
        <w:keepLines/>
      </w:pPr>
      <w:r>
        <w:rPr>
          <w:rFonts w:ascii="Times New Roman" w:hAnsi="Times New Roman" w:eastAsia="宋体"/>
        </w:rPr>
        <w:t>3.研究局限</w:t>
      </w:r>
    </w:p>
    <w:p w14:paraId="5CA64560">
      <w:pPr>
        <w:pStyle w:val="166"/>
        <w:keepNext/>
        <w:keepLines/>
      </w:pPr>
      <w:r>
        <w:rPr>
          <w:rFonts w:ascii="Times New Roman" w:hAnsi="Times New Roman" w:eastAsia="宋体"/>
        </w:rPr>
        <w:t>3.1样本层面</w:t>
      </w:r>
    </w:p>
    <w:p w14:paraId="7EAD47FA">
      <w:pPr>
        <w:pStyle w:val="168"/>
      </w:pPr>
      <w:r>
        <w:rPr>
          <w:rFonts w:ascii="Times New Roman" w:hAnsi="Times New Roman" w:eastAsia="仿宋"/>
        </w:rPr>
        <w:t>(1) 样本数量有限：问卷数量以及访谈人数有限且分布不均，无法体现三国内部不同地区的教育差异；</w:t>
      </w:r>
    </w:p>
    <w:p w14:paraId="1FEA58AA">
      <w:pPr>
        <w:pStyle w:val="168"/>
      </w:pPr>
      <w:r>
        <w:rPr>
          <w:rFonts w:ascii="Times New Roman" w:hAnsi="Times New Roman" w:eastAsia="仿宋"/>
        </w:rPr>
        <w:t>(2) 研究仅涉及单次、单一技术领域（无人机）的5天短期项目；</w:t>
      </w:r>
    </w:p>
    <w:p w14:paraId="57161E03">
      <w:pPr>
        <w:pStyle w:val="168"/>
      </w:pPr>
      <w:r>
        <w:rPr>
          <w:rFonts w:ascii="Times New Roman" w:hAnsi="Times New Roman" w:eastAsia="仿宋"/>
        </w:rPr>
        <w:t>(3) 年龄与国别高度共线，国别差异与年龄、职业经历差异无法在现有数据中分离。</w:t>
      </w:r>
    </w:p>
    <w:p w14:paraId="48ECE422">
      <w:pPr>
        <w:pStyle w:val="166"/>
        <w:keepNext/>
        <w:keepLines/>
      </w:pPr>
      <w:r>
        <w:rPr>
          <w:rFonts w:ascii="Times New Roman" w:hAnsi="Times New Roman" w:eastAsia="宋体"/>
        </w:rPr>
        <w:t>3.2方法层面</w:t>
      </w:r>
    </w:p>
    <w:p w14:paraId="5E618CAB">
      <w:pPr>
        <w:pStyle w:val="168"/>
      </w:pPr>
      <w:r>
        <w:rPr>
          <w:rFonts w:ascii="Times New Roman" w:hAnsi="Times New Roman" w:eastAsia="仿宋"/>
        </w:rPr>
        <w:t>• 观察者以项目参与者身份介入，观察者效应无法完全排除；</w:t>
      </w:r>
    </w:p>
    <w:p w14:paraId="2B4BB791">
      <w:pPr>
        <w:pStyle w:val="168"/>
      </w:pPr>
      <w:r>
        <w:rPr>
          <w:rFonts w:ascii="Times New Roman" w:hAnsi="Times New Roman" w:eastAsia="仿宋"/>
        </w:rPr>
        <w:t>• 行为材料的编码未进行编码者间信度检验，编码主观性无法量化评估；</w:t>
      </w:r>
    </w:p>
    <w:p w14:paraId="0A2BE192">
      <w:pPr>
        <w:pStyle w:val="168"/>
      </w:pPr>
      <w:r>
        <w:rPr>
          <w:rFonts w:ascii="Times New Roman" w:hAnsi="Times New Roman" w:eastAsia="仿宋"/>
        </w:rPr>
        <w:t>• 问卷数据仅作描述性统计，不能进行统计推断；</w:t>
      </w:r>
    </w:p>
    <w:p w14:paraId="7A7AD6F1">
      <w:pPr>
        <w:pStyle w:val="166"/>
        <w:keepNext/>
        <w:keepLines/>
      </w:pPr>
      <w:r>
        <w:rPr>
          <w:rFonts w:ascii="Times New Roman" w:hAnsi="Times New Roman" w:eastAsia="宋体"/>
        </w:rPr>
        <w:t>3.3材料层面</w:t>
      </w:r>
    </w:p>
    <w:p w14:paraId="405E2ED8">
      <w:pPr>
        <w:pStyle w:val="168"/>
      </w:pPr>
      <w:r>
        <w:rPr>
          <w:rFonts w:ascii="Times New Roman" w:hAnsi="Times New Roman" w:eastAsia="仿宋"/>
        </w:rPr>
        <w:t>(1) 访谈经翻译与转述，存在语言损耗；</w:t>
      </w:r>
    </w:p>
    <w:p w14:paraId="03345510">
      <w:pPr>
        <w:pStyle w:val="168"/>
      </w:pPr>
      <w:r>
        <w:rPr>
          <w:rFonts w:ascii="Times New Roman" w:hAnsi="Times New Roman" w:eastAsia="仿宋"/>
        </w:rPr>
        <w:t>(2) 问卷为自我报告数据，学生选择的态度未必与于项目中的实际情况等同；</w:t>
      </w:r>
    </w:p>
    <w:p w14:paraId="172AF6D0">
      <w:pPr>
        <w:pStyle w:val="168"/>
      </w:pPr>
      <w:r>
        <w:rPr>
          <w:rFonts w:ascii="Times New Roman" w:hAnsi="Times New Roman" w:eastAsia="仿宋"/>
        </w:rPr>
        <w:t>(3) 部分现象尚存未完全解决的张力：如巴西样本“实践驱动偏好最高”与“基础教育最薄弱”并存，目前以校外补偿性实践加以解释，但该解释仅有间接证据。</w:t>
      </w:r>
    </w:p>
    <w:p w14:paraId="01F9856A">
      <w:pPr>
        <w:pStyle w:val="166"/>
        <w:keepNext/>
        <w:keepLines/>
      </w:pPr>
      <w:r>
        <w:rPr>
          <w:rFonts w:ascii="Times New Roman" w:hAnsi="Times New Roman" w:eastAsia="宋体"/>
        </w:rPr>
        <w:t>3.4推论层面</w:t>
      </w:r>
    </w:p>
    <w:p w14:paraId="0F017936">
      <w:pPr>
        <w:pStyle w:val="168"/>
      </w:pPr>
      <w:r>
        <w:rPr>
          <w:rFonts w:ascii="Times New Roman" w:hAnsi="Times New Roman" w:eastAsia="仿宋"/>
        </w:rPr>
        <w:t>(1)研究结论不能推广至中国、西班牙、巴西全体工科学生；</w:t>
      </w:r>
    </w:p>
    <w:p w14:paraId="35474DD1">
      <w:pPr>
        <w:pStyle w:val="168"/>
      </w:pPr>
      <w:r>
        <w:rPr>
          <w:rFonts w:ascii="Times New Roman" w:hAnsi="Times New Roman" w:eastAsia="仿宋"/>
        </w:rPr>
        <w:t>(2)能够参加国际暑期学校的学生本身经过自我选择，样本不代表各自国家的一般学生群体。</w:t>
      </w:r>
    </w:p>
    <w:p w14:paraId="4F11151B">
      <w:pPr>
        <w:pStyle w:val="165"/>
        <w:keepNext/>
        <w:keepLines/>
      </w:pPr>
      <w:r>
        <w:rPr>
          <w:rFonts w:ascii="Times New Roman" w:hAnsi="Times New Roman" w:eastAsia="宋体"/>
        </w:rPr>
        <w:t>4.未来研究方向</w:t>
      </w:r>
    </w:p>
    <w:p w14:paraId="5942DF1B">
      <w:pPr>
        <w:pStyle w:val="168"/>
        <w:jc w:val="left"/>
      </w:pPr>
      <w:r>
        <w:rPr>
          <w:rFonts w:ascii="Times New Roman" w:hAnsi="Times New Roman" w:eastAsia="仿宋"/>
          <w:sz w:val="22"/>
          <w:lang w:val="zh-CN" w:eastAsia="zh-CN"/>
        </w:rPr>
        <w:t>(1) 扩充样本并分离混淆变量：西班牙样本扩充至15人以上；在扩大样本的基础上控制年龄、专业与既往项目经历，再检验国别差异是否仍然存在；</w:t>
      </w:r>
    </w:p>
    <w:p w14:paraId="78CADCA1">
      <w:pPr>
        <w:pStyle w:val="168"/>
      </w:pPr>
      <w:r>
        <w:rPr>
          <w:rFonts w:ascii="Times New Roman" w:hAnsi="Times New Roman" w:eastAsia="仿宋"/>
        </w:rPr>
        <w:t>(2) 引入行为录像与过程数据，建立编码者间信度检验：对“敢于质疑”等目前仅有自报证据的结论进行行为层面的直接验证；</w:t>
      </w:r>
    </w:p>
    <w:p w14:paraId="077E6A9A">
      <w:pPr>
        <w:pStyle w:val="168"/>
      </w:pPr>
      <w:r>
        <w:rPr>
          <w:rFonts w:ascii="Times New Roman" w:hAnsi="Times New Roman" w:eastAsia="仿宋"/>
        </w:rPr>
        <w:t>(3) 开展优化措施的验证性研究：将本次研究结论应用于下一届国际暑期学校，通过前后对照评估其实际效果；</w:t>
      </w:r>
    </w:p>
    <w:p w14:paraId="3E80D355">
      <w:pPr>
        <w:pStyle w:val="168"/>
      </w:pPr>
      <w:r>
        <w:rPr>
          <w:rFonts w:ascii="Times New Roman" w:hAnsi="Times New Roman" w:eastAsia="仿宋"/>
        </w:rPr>
        <w:t>(4) 追踪回访：在项目结束后追踪学生教育价值观与实践偏好的长期变化，评估国际项目的持续影响；</w:t>
      </w:r>
    </w:p>
    <w:p w14:paraId="1229D94C">
      <w:pPr>
        <w:pStyle w:val="168"/>
      </w:pPr>
      <w:r>
        <w:rPr>
          <w:rFonts w:ascii="Times New Roman" w:hAnsi="Times New Roman" w:eastAsia="仿宋"/>
        </w:rPr>
        <w:t>(5) 扩展项目场景：将研究延伸至非无人机技术领域和更长周期的课程项目，检验“教程跟随→主动建构”学习路径演变的稳健性。</w:t>
      </w:r>
    </w:p>
    <w:p w14:paraId="1BF18856">
      <w:pPr>
        <w:pStyle w:val="164"/>
        <w:keepNext/>
        <w:keepLines/>
      </w:pPr>
      <w:r>
        <w:rPr>
          <w:rFonts w:ascii="Times New Roman" w:hAnsi="Times New Roman" w:eastAsia="宋体"/>
        </w:rPr>
        <w:t>参考文献</w:t>
      </w:r>
    </w:p>
    <w:p w14:paraId="31A57EB6">
      <w:pPr>
        <w:pStyle w:val="168"/>
      </w:pPr>
      <w:r>
        <w:rPr>
          <w:rFonts w:ascii="Times New Roman" w:hAnsi="Times New Roman" w:eastAsia="仿宋"/>
        </w:rPr>
        <w:t>[1]黄嘉莉，宋国语.项目式学习的实践本体：概念内涵的演化、张力与重构[J].教育科学研究，2026(06):56-63.</w:t>
      </w:r>
    </w:p>
    <w:p w14:paraId="0E82DACA">
      <w:pPr>
        <w:pStyle w:val="168"/>
      </w:pPr>
      <w:r>
        <w:rPr>
          <w:rFonts w:ascii="Times New Roman" w:hAnsi="Times New Roman" w:eastAsia="仿宋"/>
        </w:rPr>
        <w:t>[2]路叶，杨文明.全生命周期项目式学习培育可持续创业素养[J].电池，2026,56(03):866-869.</w:t>
      </w:r>
    </w:p>
    <w:p w14:paraId="6A8BFB51">
      <w:pPr>
        <w:pStyle w:val="168"/>
      </w:pPr>
      <w:r>
        <w:rPr>
          <w:rFonts w:ascii="Times New Roman" w:hAnsi="Times New Roman" w:eastAsia="仿宋"/>
        </w:rPr>
        <w:t>[3]李君，郝莉，杨乃琪，张瑾.项目式学习在低年级工科认知实习中的实践应用[J].高等工程教育研究，2026(03):271-277.</w:t>
      </w:r>
    </w:p>
    <w:p w14:paraId="54DCC4E7">
      <w:pPr>
        <w:pStyle w:val="168"/>
      </w:pPr>
      <w:r>
        <w:rPr>
          <w:rFonts w:ascii="Times New Roman" w:hAnsi="Times New Roman" w:eastAsia="仿宋"/>
        </w:rPr>
        <w:t>[4]潘大为，袁岑溪，徐瑶，王为.中外合作办学对我国工程教育的借鉴意义——以中法合办核学院为例[J].高等工程教育研究，2024(02):45-53.</w:t>
      </w:r>
    </w:p>
    <w:p w14:paraId="52A72971">
      <w:pPr>
        <w:pStyle w:val="168"/>
      </w:pPr>
      <w:r>
        <w:rPr>
          <w:rFonts w:ascii="Times New Roman" w:hAnsi="Times New Roman" w:eastAsia="仿宋"/>
        </w:rPr>
        <w:t>[5]樊耘，王颖.中外工科人才培养模式的比较研究[J].比较教育研究，2000(01):17-20.</w:t>
      </w:r>
    </w:p>
    <w:p w14:paraId="54B1E6F3">
      <w:pPr>
        <w:pStyle w:val="168"/>
      </w:pPr>
      <w:r>
        <w:rPr>
          <w:rFonts w:ascii="Times New Roman" w:hAnsi="Times New Roman" w:eastAsia="仿宋"/>
        </w:rPr>
        <w:t>[6]任丽敏，高天迎，李玮.中外工科类人才培养模式比较及对策研究[J].现代教育科学，2008(03):48-51.</w:t>
      </w:r>
    </w:p>
    <w:p w14:paraId="4BC452FF">
      <w:pPr>
        <w:pStyle w:val="168"/>
      </w:pPr>
      <w:r>
        <w:rPr>
          <w:rFonts w:ascii="Times New Roman" w:hAnsi="Times New Roman" w:eastAsia="仿宋"/>
        </w:rPr>
        <w:t>[7]王文文，雷晓锋，冯蓉.国际化视域下研究生学术和文化交流平台的建设——以航空航天国际研究生暑期学校为例[J].学位与研究生教育，2015(06):27-31.</w:t>
      </w:r>
    </w:p>
    <w:p w14:paraId="3DA6148B">
      <w:pPr>
        <w:pStyle w:val="168"/>
      </w:pPr>
      <w:r>
        <w:rPr>
          <w:rFonts w:ascii="Times New Roman" w:hAnsi="Times New Roman" w:eastAsia="仿宋"/>
        </w:rPr>
        <w:t>[8]刘骥，薛梦姣，王文博.“一带一路”教育共同体的认知图式与价值生成——基于国际暑期学校短期交流师生的质性研究[J].比较教育研究，2026(02):20-30.</w:t>
      </w:r>
    </w:p>
    <w:p w14:paraId="6D7E538C">
      <w:pPr>
        <w:pStyle w:val="168"/>
      </w:pPr>
      <w:r>
        <w:rPr>
          <w:rFonts w:ascii="Times New Roman" w:hAnsi="Times New Roman" w:eastAsia="仿宋"/>
        </w:rPr>
        <w:t>[9]Condliffe B,Quint J,Visher M,et al.Project-based learning:A literature review[R].MDRC,2017.</w:t>
      </w:r>
    </w:p>
    <w:p w14:paraId="6F11BAE3">
      <w:pPr>
        <w:pStyle w:val="168"/>
      </w:pPr>
      <w:r>
        <w:rPr>
          <w:rFonts w:ascii="Times New Roman" w:hAnsi="Times New Roman" w:eastAsia="仿宋"/>
        </w:rPr>
        <w:t>[10]Dym C L,Agogino A M,Eris O,et al.Engineering thinking,thinking engineering[J].Journal of Engineering Education,2005,94(1):103-120.</w:t>
      </w:r>
    </w:p>
    <w:p w14:paraId="63058DAC">
      <w:pPr>
        <w:pStyle w:val="168"/>
      </w:pPr>
      <w:r>
        <w:rPr>
          <w:rFonts w:ascii="Times New Roman" w:hAnsi="Times New Roman" w:eastAsia="仿宋"/>
        </w:rPr>
        <w:t>[11]Borrego M,Cutler S.Systematic review of short-term study abroad in engineering:2005–2016[J].Journal of Engineering Education,2018,107(2):252-276.</w:t>
      </w:r>
    </w:p>
    <w:p w14:paraId="33A9EE01">
      <w:pPr>
        <w:pStyle w:val="168"/>
      </w:pPr>
      <w:r>
        <w:rPr>
          <w:rFonts w:ascii="Times New Roman" w:hAnsi="Times New Roman" w:eastAsia="仿宋"/>
        </w:rPr>
        <w:t>[12]Hofstede G.Culture's consequences:Comparing values,behaviors,institutions and organizations across nations[M].2nd ed.Sage Publications,2001.</w:t>
      </w:r>
    </w:p>
    <w:p w14:paraId="03DD1E3A">
      <w:pPr>
        <w:pStyle w:val="168"/>
        <w:spacing w:after="20"/>
        <w:ind w:left="420" w:hanging="312"/>
      </w:pPr>
    </w:p>
    <w:sectPr>
      <w:footerReference r:id="rId5" w:type="default"/>
      <w:pgSz w:w="12240" w:h="15840"/>
      <w:pgMar w:top="1361" w:right="1531" w:bottom="1247" w:left="1531" w:header="737"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erif CJK SC">
    <w:altName w:val="Cambria"/>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79F33">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4F3999"/>
    <w:rsid w:val="0F277D2D"/>
    <w:rsid w:val="17EB7C9F"/>
    <w:rsid w:val="28D948BF"/>
    <w:rsid w:val="2B942D1F"/>
    <w:rsid w:val="2C610E53"/>
    <w:rsid w:val="78471918"/>
    <w:rsid w:val="7DDE5DDA"/>
    <w:rsid w:val="7E442B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48" w:lineRule="auto"/>
      <w:ind w:firstLine="420"/>
      <w:jc w:val="both"/>
    </w:pPr>
    <w:rPr>
      <w:rFonts w:ascii="Times New Roman" w:hAnsi="Times New Roman" w:eastAsia="仿宋"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一级标题"/>
    <w:qFormat/>
    <w:uiPriority w:val="0"/>
    <w:pPr>
      <w:keepNext/>
      <w:spacing w:before="280" w:after="120" w:line="324" w:lineRule="auto"/>
      <w:ind w:firstLine="0"/>
      <w:jc w:val="left"/>
    </w:pPr>
    <w:rPr>
      <w:rFonts w:ascii="Times New Roman" w:hAnsi="Times New Roman" w:eastAsia="宋体" w:cstheme="minorBidi"/>
      <w:b/>
      <w:sz w:val="32"/>
      <w:szCs w:val="22"/>
      <w:lang w:val="en-US" w:eastAsia="en-US" w:bidi="ar-SA"/>
    </w:rPr>
  </w:style>
  <w:style w:type="paragraph" w:customStyle="1" w:styleId="165">
    <w:name w:val="二级标题"/>
    <w:qFormat/>
    <w:uiPriority w:val="0"/>
    <w:pPr>
      <w:keepNext/>
      <w:spacing w:before="200" w:after="80" w:line="324" w:lineRule="auto"/>
      <w:ind w:firstLine="0"/>
      <w:jc w:val="left"/>
    </w:pPr>
    <w:rPr>
      <w:rFonts w:ascii="Times New Roman" w:hAnsi="Times New Roman" w:eastAsia="宋体" w:cstheme="minorBidi"/>
      <w:b/>
      <w:sz w:val="28"/>
      <w:szCs w:val="22"/>
      <w:lang w:val="en-US" w:eastAsia="en-US" w:bidi="ar-SA"/>
    </w:rPr>
  </w:style>
  <w:style w:type="paragraph" w:customStyle="1" w:styleId="166">
    <w:name w:val="三级标题"/>
    <w:qFormat/>
    <w:uiPriority w:val="0"/>
    <w:pPr>
      <w:keepNext/>
      <w:spacing w:before="120" w:after="40" w:line="324" w:lineRule="auto"/>
      <w:ind w:firstLine="0"/>
      <w:jc w:val="left"/>
    </w:pPr>
    <w:rPr>
      <w:rFonts w:ascii="Times New Roman" w:hAnsi="Times New Roman" w:eastAsia="宋体" w:cstheme="minorBidi"/>
      <w:b/>
      <w:sz w:val="24"/>
      <w:szCs w:val="22"/>
      <w:lang w:val="en-US" w:eastAsia="en-US" w:bidi="ar-SA"/>
    </w:rPr>
  </w:style>
  <w:style w:type="paragraph" w:customStyle="1" w:styleId="167">
    <w:name w:val="说明文字"/>
    <w:qFormat/>
    <w:uiPriority w:val="0"/>
    <w:pPr>
      <w:keepNext w:val="0"/>
      <w:spacing w:before="0" w:after="60" w:line="348" w:lineRule="auto"/>
      <w:ind w:firstLine="420"/>
      <w:jc w:val="both"/>
    </w:pPr>
    <w:rPr>
      <w:rFonts w:ascii="Times New Roman" w:hAnsi="Times New Roman" w:eastAsia="仿宋" w:cstheme="minorBidi"/>
      <w:sz w:val="22"/>
      <w:szCs w:val="22"/>
      <w:lang w:val="en-US" w:eastAsia="en-US" w:bidi="ar-SA"/>
    </w:rPr>
  </w:style>
  <w:style w:type="paragraph" w:customStyle="1" w:styleId="168">
    <w:name w:val="条目文字"/>
    <w:qFormat/>
    <w:uiPriority w:val="0"/>
    <w:pPr>
      <w:keepNext w:val="0"/>
      <w:spacing w:before="0" w:after="20" w:line="348" w:lineRule="auto"/>
      <w:ind w:firstLine="420"/>
      <w:jc w:val="both"/>
    </w:pPr>
    <w:rPr>
      <w:rFonts w:ascii="Times New Roman" w:hAnsi="Times New Roman" w:eastAsia="仿宋"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8740</Words>
  <Characters>9007</Characters>
  <Lines>0</Lines>
  <Paragraphs>0</Paragraphs>
  <TotalTime>4</TotalTime>
  <ScaleCrop>false</ScaleCrop>
  <LinksUpToDate>false</LinksUpToDate>
  <CharactersWithSpaces>9015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孙肖霖</dc:creator>
  <dc:description>generated by python-docx</dc:description>
  <cp:keywords>国际暑期学校, 工程实践, 无人机, 调研大纲</cp:keywords>
  <cp:lastModifiedBy>唐润怡</cp:lastModifiedBy>
  <dcterms:modified xsi:type="dcterms:W3CDTF">2026-07-28T09:28:50Z</dcterms:modified>
  <dc:subject>中国、西班牙与巴西学生工程实践行为及问题解决方式的比较研究</dc:subject>
  <dc:title>修改后的调研报告大纲</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eyJoZGlkIjoiMzEwNTM5NzYwMDRjMzkwZTVkZjY2ODkwMGIxNGU0OTUiLCJ1c2VySWQiOiIxNzI4MDkwMDQ1In0=</vt:lpwstr>
  </property>
  <property fmtid="{D5CDD505-2E9C-101B-9397-08002B2CF9AE}" pid="3" name="KSOProductBuildVer">
    <vt:lpwstr>2052-12.1.0.26895</vt:lpwstr>
  </property>
  <property fmtid="{D5CDD505-2E9C-101B-9397-08002B2CF9AE}" pid="4" name="ICV">
    <vt:lpwstr>161CFCD4DC474E4186FFA1E334636DA0_12</vt:lpwstr>
  </property>
</Properties>
</file>