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CA9E7">
      <w:pPr>
        <w:pStyle w:val="13"/>
      </w:pPr>
      <w:r>
        <w:rPr>
          <w:rFonts w:ascii="Times New Roman" w:hAnsi="Times New Roman" w:eastAsia="黑体" w:cs="Times New Roman"/>
          <w:kern w:val="2"/>
          <w:sz w:val="36"/>
          <w:szCs w:val="24"/>
          <w:lang w:bidi="ar-SA"/>
        </w:rPr>
        <w:t>教育如何塑造工程思维？</w:t>
      </w:r>
    </w:p>
    <w:p w14:paraId="4D63F3D4">
      <w:pPr>
        <w:pStyle w:val="12"/>
        <w:rPr>
          <w:rFonts w:hint="eastAsia"/>
        </w:rPr>
      </w:pPr>
      <w:r>
        <w:rPr>
          <w:rFonts w:ascii="Times New Roman" w:hAnsi="Times New Roman" w:eastAsia="黑体" w:cs="Times New Roman"/>
          <w:color w:val="000000"/>
          <w:kern w:val="44"/>
          <w:sz w:val="32"/>
          <w:szCs w:val="44"/>
          <w:lang w:bidi="ar-SA"/>
        </w:rPr>
        <w:t>——基于BISS无人机项目中五国学生访谈与问卷调查的教育成因分析报告</w:t>
      </w:r>
    </w:p>
    <w:p w14:paraId="03BB36F0">
      <w:pPr>
        <w:pStyle w:val="11"/>
        <w:rPr>
          <w:rFonts w:hint="eastAsia"/>
        </w:rPr>
      </w:pPr>
      <w:r>
        <w:rPr>
          <w:rStyle w:val="16"/>
        </w:rPr>
        <w:t>摘要：</w:t>
      </w:r>
      <w:r>
        <w:rPr>
          <w:rFonts w:ascii="Times New Roman" w:hAnsi="Times New Roman" w:eastAsia="宋体" w:cs="Times New Roman"/>
          <w:sz w:val="24"/>
          <w:szCs w:val="24"/>
        </w:rPr>
        <w:t>本报告基于BISS（Beihang International Summer School）无人机项目期间对2名中国学生与3名外国学生（西班牙2人、巴西1人）的半结构化深度访谈，并结合对32名三国学生的问卷调查数据，系统探究学生在项目式学习中的行为差异如何根植于其长期所处的教育制度环境。研究发现：（1）学生的知识获取路径、问题解决第一反应、团队角色偏好、对错误的态度等行为特征，与其教育体系中的课程结构、考核方式、师生关系、实践机会性质存在强关联；（2）三国学生在教育价值观层面的差异远大于学习行为层面的差异，教育制度塑造的是"底层假设"而非表层行为；（3）巴西受访者的教育经历颠覆了"西方教育=鼓励批判性思维"的预设框架，提示分析应聚焦于"教育制度特征"而非"地理文化标签"作为分析单元。本报告为理解工程教育如何塑造学生的思维惯习提供了实证基础，并为BISS这类国际项目的教学设计与跨文化协作提供了参考。</w:t>
      </w:r>
    </w:p>
    <w:p w14:paraId="3611580C">
      <w:pPr>
        <w:pStyle w:val="2"/>
        <w:rPr>
          <w:rFonts w:hint="eastAsia"/>
        </w:rPr>
      </w:pPr>
      <w:r>
        <w:rPr>
          <w:rFonts w:ascii="Times New Roman" w:hAnsi="Times New Roman" w:eastAsia="黑体" w:cs="Times New Roman"/>
          <w:color w:val="000000"/>
          <w:kern w:val="44"/>
          <w:sz w:val="32"/>
          <w:szCs w:val="44"/>
          <w:lang w:bidi="ar-SA"/>
        </w:rPr>
        <w:t>一、研究背景与方法说明</w:t>
      </w:r>
    </w:p>
    <w:p w14:paraId="2EC3CEA4">
      <w:pPr>
        <w:pStyle w:val="3"/>
        <w:rPr>
          <w:rFonts w:hint="eastAsia"/>
        </w:rPr>
      </w:pPr>
      <w:r>
        <w:rPr>
          <w:rFonts w:ascii="Times New Roman" w:hAnsi="Times New Roman" w:eastAsia="黑体" w:cs="Times New Roman"/>
          <w:kern w:val="2"/>
          <w:sz w:val="30"/>
          <w:szCs w:val="32"/>
          <w:lang w:bidi="ar-SA"/>
        </w:rPr>
        <w:t>1.1 研究目的</w:t>
      </w:r>
    </w:p>
    <w:p w14:paraId="2E14BADC">
      <w:pPr>
        <w:pStyle w:val="11"/>
        <w:rPr>
          <w:rFonts w:hint="eastAsia"/>
        </w:rPr>
      </w:pPr>
      <w:r>
        <w:rPr>
          <w:rFonts w:ascii="Times New Roman" w:hAnsi="Times New Roman" w:eastAsia="宋体" w:cs="Times New Roman"/>
          <w:sz w:val="24"/>
          <w:szCs w:val="24"/>
        </w:rPr>
        <w:t>BISS无人机项目汇聚了来自中国、西班牙、巴西等多个国家的学生，要求其在短时间内完成从无人机装配到飞行的完整工程项目。项目过程中，不同国家学生在问题解决路径、团队协作风格、学习方式等方面表现出显著差异。本研究旨在通过深度访谈与问卷调查相结合的方法，探究这些行为差异背后的深层成因——</w:t>
      </w:r>
      <w:r>
        <w:rPr>
          <w:rFonts w:ascii="Times New Roman" w:hAnsi="Times New Roman" w:eastAsia="宋体" w:cs="Times New Roman"/>
          <w:b/>
          <w:sz w:val="24"/>
          <w:szCs w:val="24"/>
        </w:rPr>
        <w:t>这些行为习惯根植于怎样的思维模式？又与其从小到大所接受的教育模式有何关联？</w:t>
      </w:r>
    </w:p>
    <w:p w14:paraId="34E478B0">
      <w:pPr>
        <w:pStyle w:val="3"/>
        <w:rPr>
          <w:rFonts w:hint="eastAsia"/>
        </w:rPr>
      </w:pPr>
      <w:r>
        <w:rPr>
          <w:rFonts w:ascii="Times New Roman" w:hAnsi="Times New Roman" w:eastAsia="黑体" w:cs="Times New Roman"/>
          <w:kern w:val="2"/>
          <w:sz w:val="30"/>
          <w:szCs w:val="32"/>
          <w:lang w:bidi="ar-SA"/>
        </w:rPr>
        <w:t>1.2 研究设计：混合方法</w:t>
      </w:r>
    </w:p>
    <w:p w14:paraId="75C864E5">
      <w:pPr>
        <w:pStyle w:val="11"/>
        <w:rPr>
          <w:rFonts w:hint="eastAsia"/>
        </w:rPr>
      </w:pPr>
      <w:r>
        <w:rPr>
          <w:rFonts w:ascii="Times New Roman" w:hAnsi="Times New Roman" w:eastAsia="宋体" w:cs="Times New Roman"/>
          <w:sz w:val="24"/>
          <w:szCs w:val="24"/>
        </w:rPr>
        <w:t>本研究采用</w:t>
      </w:r>
      <w:r>
        <w:rPr>
          <w:rFonts w:ascii="Times New Roman" w:hAnsi="Times New Roman" w:eastAsia="宋体" w:cs="Times New Roman"/>
          <w:b/>
          <w:sz w:val="24"/>
          <w:szCs w:val="24"/>
        </w:rPr>
        <w:t>解释性序列设计（Explanatory Sequential Design）</w:t>
      </w:r>
      <w:r>
        <w:rPr>
          <w:rFonts w:ascii="Times New Roman" w:hAnsi="Times New Roman" w:eastAsia="宋体" w:cs="Times New Roman"/>
          <w:sz w:val="24"/>
          <w:szCs w:val="24"/>
        </w:rPr>
        <w:t xml:space="preserve"> ，先进行定性深度访谈以发现现象与生成假设，再通过问卷调查对假设进行量化验证与扩展。</w:t>
      </w: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14:paraId="147BD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33ABE622">
            <w:r>
              <w:t>阶段</w:t>
            </w:r>
          </w:p>
        </w:tc>
        <w:tc>
          <w:tcPr>
            <w:tcW w:w="1250" w:type="pct"/>
            <w:vAlign w:val="center"/>
          </w:tcPr>
          <w:p w14:paraId="7510A6C5">
            <w:r>
              <w:t>方法</w:t>
            </w:r>
          </w:p>
        </w:tc>
        <w:tc>
          <w:tcPr>
            <w:tcW w:w="1250" w:type="pct"/>
            <w:vAlign w:val="center"/>
          </w:tcPr>
          <w:p w14:paraId="4510AABA">
            <w:r>
              <w:t>目的</w:t>
            </w:r>
          </w:p>
        </w:tc>
        <w:tc>
          <w:tcPr>
            <w:tcW w:w="1250" w:type="pct"/>
            <w:vAlign w:val="center"/>
          </w:tcPr>
          <w:p w14:paraId="6810AFA5">
            <w:r>
              <w:t>样本量</w:t>
            </w:r>
          </w:p>
        </w:tc>
      </w:tr>
      <w:tr w14:paraId="5026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3F3C4737">
            <w:r>
              <w:t>第一阶段</w:t>
            </w:r>
          </w:p>
        </w:tc>
        <w:tc>
          <w:tcPr>
            <w:tcW w:w="1250" w:type="pct"/>
            <w:vAlign w:val="center"/>
          </w:tcPr>
          <w:p w14:paraId="74A7B52C">
            <w:r>
              <w:t>半结构化深度访谈</w:t>
            </w:r>
          </w:p>
        </w:tc>
        <w:tc>
          <w:tcPr>
            <w:tcW w:w="1250" w:type="pct"/>
            <w:vAlign w:val="center"/>
          </w:tcPr>
          <w:p w14:paraId="21A1E307">
            <w:r>
              <w:t>探索教育经历与行为习惯之间的关联，生成初步假设</w:t>
            </w:r>
          </w:p>
        </w:tc>
        <w:tc>
          <w:tcPr>
            <w:tcW w:w="1250" w:type="pct"/>
            <w:vAlign w:val="center"/>
          </w:tcPr>
          <w:p w14:paraId="09B86A18">
            <w:r>
              <w:t>5人（中2+西2+巴1）</w:t>
            </w:r>
          </w:p>
        </w:tc>
      </w:tr>
      <w:tr w14:paraId="7E166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0" w:type="pct"/>
            <w:vAlign w:val="center"/>
          </w:tcPr>
          <w:p w14:paraId="7857E13F">
            <w:r>
              <w:t>第二阶段</w:t>
            </w:r>
          </w:p>
        </w:tc>
        <w:tc>
          <w:tcPr>
            <w:tcW w:w="1250" w:type="pct"/>
            <w:vAlign w:val="center"/>
          </w:tcPr>
          <w:p w14:paraId="4CD6F88C">
            <w:r>
              <w:t>结构化问卷调查</w:t>
            </w:r>
          </w:p>
        </w:tc>
        <w:tc>
          <w:tcPr>
            <w:tcW w:w="1250" w:type="pct"/>
            <w:vAlign w:val="center"/>
          </w:tcPr>
          <w:p w14:paraId="70A6BEC6">
            <w:r>
              <w:t>验证访谈发现，获取群体层面的统计规律</w:t>
            </w:r>
          </w:p>
        </w:tc>
        <w:tc>
          <w:tcPr>
            <w:tcW w:w="1250" w:type="pct"/>
            <w:vAlign w:val="center"/>
          </w:tcPr>
          <w:p w14:paraId="333698A7">
            <w:r>
              <w:t>32人（中9+西4+巴19）</w:t>
            </w:r>
          </w:p>
        </w:tc>
      </w:tr>
    </w:tbl>
    <w:p w14:paraId="6B8B5216">
      <w:pPr>
        <w:rPr>
          <w:rFonts w:hint="eastAsia"/>
        </w:rPr>
      </w:pPr>
    </w:p>
    <w:p w14:paraId="239BBA96">
      <w:pPr>
        <w:pStyle w:val="11"/>
        <w:rPr>
          <w:rFonts w:hint="eastAsia"/>
        </w:rPr>
      </w:pPr>
      <w:r>
        <w:rPr>
          <w:rFonts w:ascii="Times New Roman" w:hAnsi="Times New Roman" w:eastAsia="宋体" w:cs="Times New Roman"/>
          <w:sz w:val="24"/>
          <w:szCs w:val="24"/>
        </w:rPr>
        <w:t>这种设计确保了"深度"与"广度"的互补：访谈提供因果机制层面的洞察，问卷提供统计规律层面的验证。</w:t>
      </w:r>
    </w:p>
    <w:p w14:paraId="5D57A514">
      <w:pPr>
        <w:pStyle w:val="3"/>
        <w:rPr>
          <w:rFonts w:hint="eastAsia"/>
        </w:rPr>
      </w:pPr>
      <w:r>
        <w:rPr>
          <w:rFonts w:ascii="Times New Roman" w:hAnsi="Times New Roman" w:eastAsia="黑体" w:cs="Times New Roman"/>
          <w:kern w:val="2"/>
          <w:sz w:val="30"/>
          <w:szCs w:val="32"/>
          <w:lang w:bidi="ar-SA"/>
        </w:rPr>
        <w:t>1.3 访谈执行概要</w:t>
      </w:r>
    </w:p>
    <w:p w14:paraId="4BBEE97A">
      <w:pPr>
        <w:pStyle w:val="11"/>
        <w:numPr>
          <w:ilvl w:val="0"/>
          <w:numId w:val="1"/>
        </w:numPr>
        <w:ind w:left="425" w:leftChars="0" w:hanging="425" w:firstLineChars="0"/>
        <w:rPr>
          <w:rFonts w:hint="eastAsia"/>
        </w:rPr>
      </w:pPr>
      <w:r>
        <w:rPr>
          <w:rFonts w:ascii="Times New Roman" w:hAnsi="Times New Roman" w:eastAsia="宋体" w:cs="Times New Roman"/>
          <w:b/>
          <w:sz w:val="24"/>
          <w:szCs w:val="24"/>
        </w:rPr>
        <w:t>访谈框架</w:t>
      </w:r>
      <w:r>
        <w:rPr>
          <w:rFonts w:ascii="Times New Roman" w:hAnsi="Times New Roman" w:eastAsia="宋体" w:cs="Times New Roman"/>
          <w:sz w:val="24"/>
          <w:szCs w:val="24"/>
        </w:rPr>
        <w:t>：依据预先设计的半结构化访谈纲要，涵盖四大模块——教育经历全景扫描、科技教育的课堂体验、项目式学习经历与问题解决风格、教育理念与文化价值观。</w:t>
      </w:r>
    </w:p>
    <w:p w14:paraId="04688A9C">
      <w:pPr>
        <w:pStyle w:val="11"/>
        <w:numPr>
          <w:ilvl w:val="0"/>
          <w:numId w:val="1"/>
        </w:numPr>
        <w:ind w:left="425" w:leftChars="0" w:hanging="425" w:firstLineChars="0"/>
        <w:rPr>
          <w:rFonts w:hint="eastAsia"/>
        </w:rPr>
      </w:pPr>
      <w:r>
        <w:rPr>
          <w:rFonts w:ascii="Times New Roman" w:hAnsi="Times New Roman" w:eastAsia="宋体" w:cs="Times New Roman"/>
          <w:b/>
          <w:sz w:val="24"/>
          <w:szCs w:val="24"/>
        </w:rPr>
        <w:t>受访者构成</w:t>
      </w:r>
      <w:r>
        <w:rPr>
          <w:rFonts w:ascii="Times New Roman" w:hAnsi="Times New Roman" w:eastAsia="宋体" w:cs="Times New Roman"/>
          <w:sz w:val="24"/>
          <w:szCs w:val="24"/>
        </w:rPr>
        <w:t>：共计5人——中国2人（1名硕士生、1名博士生）、西班牙2人（本科/硕士各1人）、巴西1人（在职水文工程师）。</w:t>
      </w:r>
    </w:p>
    <w:p w14:paraId="14D5278B">
      <w:pPr>
        <w:pStyle w:val="11"/>
        <w:numPr>
          <w:ilvl w:val="0"/>
          <w:numId w:val="1"/>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b/>
          <w:sz w:val="24"/>
          <w:szCs w:val="24"/>
        </w:rPr>
        <w:t>访谈时长</w:t>
      </w:r>
      <w:r>
        <w:rPr>
          <w:rFonts w:ascii="Times New Roman" w:hAnsi="Times New Roman" w:eastAsia="宋体" w:cs="Times New Roman"/>
          <w:sz w:val="24"/>
          <w:szCs w:val="24"/>
        </w:rPr>
        <w:t>：每场7-11分钟，均为面对面录音访谈。</w:t>
      </w:r>
    </w:p>
    <w:p w14:paraId="47CE3510">
      <w:pPr>
        <w:pStyle w:val="11"/>
        <w:numPr>
          <w:ilvl w:val="0"/>
          <w:numId w:val="1"/>
        </w:numPr>
        <w:ind w:left="425" w:leftChars="0" w:hanging="425" w:firstLineChars="0"/>
        <w:rPr>
          <w:rFonts w:hint="eastAsia"/>
        </w:rPr>
      </w:pPr>
      <w:r>
        <w:rPr>
          <w:rFonts w:ascii="Times New Roman" w:hAnsi="Times New Roman" w:eastAsia="宋体" w:cs="Times New Roman"/>
          <w:b/>
          <w:sz w:val="24"/>
          <w:szCs w:val="24"/>
        </w:rPr>
        <w:t>分析方法</w:t>
      </w:r>
      <w:r>
        <w:rPr>
          <w:rFonts w:ascii="Times New Roman" w:hAnsi="Times New Roman" w:eastAsia="宋体" w:cs="Times New Roman"/>
          <w:sz w:val="24"/>
          <w:szCs w:val="24"/>
        </w:rPr>
        <w:t>：主题分析法，基于访谈纲要预设的四维对比框架进行归因分析。</w:t>
      </w:r>
    </w:p>
    <w:p w14:paraId="6AEF59B9">
      <w:pPr>
        <w:pStyle w:val="3"/>
        <w:rPr>
          <w:rFonts w:hint="eastAsia"/>
        </w:rPr>
      </w:pPr>
      <w:r>
        <w:rPr>
          <w:rFonts w:ascii="Times New Roman" w:hAnsi="Times New Roman" w:eastAsia="黑体" w:cs="Times New Roman"/>
          <w:kern w:val="2"/>
          <w:sz w:val="30"/>
          <w:szCs w:val="32"/>
          <w:lang w:bidi="ar-SA"/>
        </w:rPr>
        <w:t>1.4 问卷调查执行概要</w:t>
      </w:r>
    </w:p>
    <w:p w14:paraId="1F827C53">
      <w:pPr>
        <w:pStyle w:val="11"/>
        <w:numPr>
          <w:ilvl w:val="0"/>
          <w:numId w:val="2"/>
        </w:numPr>
        <w:ind w:left="0" w:leftChars="0" w:firstLine="482" w:firstLineChars="200"/>
        <w:rPr>
          <w:rFonts w:hint="eastAsia"/>
        </w:rPr>
      </w:pPr>
      <w:r>
        <w:rPr>
          <w:rFonts w:ascii="Times New Roman" w:hAnsi="Times New Roman" w:eastAsia="宋体" w:cs="Times New Roman"/>
          <w:b/>
          <w:sz w:val="24"/>
          <w:szCs w:val="24"/>
        </w:rPr>
        <w:t>问卷设计</w:t>
      </w:r>
      <w:r>
        <w:rPr>
          <w:rFonts w:ascii="Times New Roman" w:hAnsi="Times New Roman" w:eastAsia="宋体" w:cs="Times New Roman"/>
          <w:sz w:val="24"/>
          <w:szCs w:val="24"/>
        </w:rPr>
        <w:t>：基于访谈发现设计结构化问卷，涵盖四大模块——基础信息、思维方式、中小学教育、大学教育、教育价值观。</w:t>
      </w:r>
    </w:p>
    <w:p w14:paraId="4F9A2275">
      <w:pPr>
        <w:pStyle w:val="11"/>
        <w:numPr>
          <w:ilvl w:val="0"/>
          <w:numId w:val="2"/>
        </w:numPr>
        <w:ind w:left="0" w:leftChars="0" w:firstLine="482" w:firstLineChars="200"/>
        <w:rPr>
          <w:rFonts w:hint="eastAsia"/>
        </w:rPr>
      </w:pPr>
      <w:r>
        <w:rPr>
          <w:rFonts w:ascii="Times New Roman" w:hAnsi="Times New Roman" w:eastAsia="宋体" w:cs="Times New Roman"/>
          <w:b/>
          <w:sz w:val="24"/>
          <w:szCs w:val="24"/>
        </w:rPr>
        <w:t>受访者构成</w:t>
      </w:r>
      <w:r>
        <w:rPr>
          <w:rFonts w:ascii="Times New Roman" w:hAnsi="Times New Roman" w:eastAsia="宋体" w:cs="Times New Roman"/>
          <w:sz w:val="24"/>
          <w:szCs w:val="24"/>
        </w:rPr>
        <w:t>：共计32人——中国9人（28.12%）、巴西19人（59.38%）、西班牙4人（12.50%）。</w:t>
      </w:r>
    </w:p>
    <w:p w14:paraId="56FC8472">
      <w:pPr>
        <w:pStyle w:val="11"/>
        <w:numPr>
          <w:ilvl w:val="0"/>
          <w:numId w:val="2"/>
        </w:numPr>
        <w:ind w:left="0" w:leftChars="0" w:firstLine="480" w:firstLineChars="200"/>
        <w:rPr>
          <w:rFonts w:hint="eastAsia"/>
        </w:rPr>
      </w:pPr>
      <w:r>
        <w:rPr>
          <w:rFonts w:ascii="Times New Roman" w:hAnsi="Times New Roman" w:eastAsia="宋体" w:cs="Times New Roman"/>
          <w:sz w:val="24"/>
          <w:szCs w:val="24"/>
        </w:rPr>
        <w:t xml:space="preserve"> </w:t>
      </w:r>
      <w:r>
        <w:rPr>
          <w:rFonts w:ascii="Times New Roman" w:hAnsi="Times New Roman" w:eastAsia="宋体" w:cs="Times New Roman"/>
          <w:b/>
          <w:sz w:val="24"/>
          <w:szCs w:val="24"/>
        </w:rPr>
        <w:t>专业分布</w:t>
      </w:r>
      <w:r>
        <w:rPr>
          <w:rFonts w:ascii="Times New Roman" w:hAnsi="Times New Roman" w:eastAsia="宋体" w:cs="Times New Roman"/>
          <w:sz w:val="24"/>
          <w:szCs w:val="24"/>
        </w:rPr>
        <w:t>：工程技术类21人（65.62%）、人文社科类4人（12.50%）、自然科学类4人（12.50%）。</w:t>
      </w:r>
    </w:p>
    <w:p w14:paraId="366D01F9">
      <w:pPr>
        <w:pStyle w:val="11"/>
        <w:numPr>
          <w:ilvl w:val="0"/>
          <w:numId w:val="2"/>
        </w:numPr>
        <w:ind w:left="0" w:leftChars="0" w:firstLine="482" w:firstLineChars="200"/>
        <w:rPr>
          <w:rFonts w:hint="eastAsia"/>
        </w:rPr>
      </w:pPr>
      <w:r>
        <w:rPr>
          <w:rFonts w:ascii="Times New Roman" w:hAnsi="Times New Roman" w:eastAsia="宋体" w:cs="Times New Roman"/>
          <w:b/>
          <w:sz w:val="24"/>
          <w:szCs w:val="24"/>
        </w:rPr>
        <w:t>年龄分布</w:t>
      </w:r>
      <w:r>
        <w:rPr>
          <w:rFonts w:ascii="Times New Roman" w:hAnsi="Times New Roman" w:eastAsia="宋体" w:cs="Times New Roman"/>
          <w:sz w:val="24"/>
          <w:szCs w:val="24"/>
        </w:rPr>
        <w:t>：25岁以上13人（40.62%）、18-22岁12人（37.50%）、23-25岁7人（21.88%）。</w:t>
      </w:r>
    </w:p>
    <w:p w14:paraId="04D88A26">
      <w:pPr>
        <w:pStyle w:val="11"/>
        <w:numPr>
          <w:ilvl w:val="0"/>
          <w:numId w:val="2"/>
        </w:numPr>
        <w:ind w:left="0" w:leftChars="0" w:firstLine="482" w:firstLineChars="200"/>
        <w:rPr>
          <w:rFonts w:hint="eastAsia"/>
        </w:rPr>
      </w:pPr>
      <w:r>
        <w:rPr>
          <w:rFonts w:ascii="Times New Roman" w:hAnsi="Times New Roman" w:eastAsia="宋体" w:cs="Times New Roman"/>
          <w:b/>
          <w:sz w:val="24"/>
          <w:szCs w:val="24"/>
        </w:rPr>
        <w:t>分析方法</w:t>
      </w:r>
      <w:r>
        <w:rPr>
          <w:rFonts w:ascii="Times New Roman" w:hAnsi="Times New Roman" w:eastAsia="宋体" w:cs="Times New Roman"/>
          <w:sz w:val="24"/>
          <w:szCs w:val="24"/>
        </w:rPr>
        <w:t>：描述性统计与交叉分析，以三国对比为主要分析框架。</w:t>
      </w:r>
    </w:p>
    <w:p w14:paraId="705DA75B">
      <w:pPr>
        <w:pStyle w:val="3"/>
        <w:rPr>
          <w:rFonts w:hint="eastAsia"/>
        </w:rPr>
      </w:pPr>
      <w:r>
        <w:rPr>
          <w:rFonts w:ascii="Times New Roman" w:hAnsi="Times New Roman" w:eastAsia="黑体" w:cs="Times New Roman"/>
          <w:kern w:val="2"/>
          <w:sz w:val="30"/>
          <w:szCs w:val="32"/>
          <w:lang w:bidi="ar-SA"/>
        </w:rPr>
        <w:t>1.5 分析框架说明</w:t>
      </w:r>
    </w:p>
    <w:p w14:paraId="29CD90E2">
      <w:pPr>
        <w:pStyle w:val="11"/>
        <w:rPr>
          <w:rFonts w:hint="eastAsia"/>
        </w:rPr>
      </w:pPr>
      <w:r>
        <w:rPr>
          <w:rFonts w:ascii="Times New Roman" w:hAnsi="Times New Roman" w:eastAsia="宋体" w:cs="Times New Roman"/>
          <w:sz w:val="24"/>
          <w:szCs w:val="24"/>
        </w:rPr>
        <w:t>本报告采用"</w:t>
      </w:r>
      <w:r>
        <w:rPr>
          <w:rFonts w:ascii="Times New Roman" w:hAnsi="Times New Roman" w:eastAsia="宋体" w:cs="Times New Roman"/>
          <w:b/>
          <w:sz w:val="24"/>
          <w:szCs w:val="24"/>
        </w:rPr>
        <w:t>教育制度特征→思维惯习→BISS项目行为表现</w:t>
      </w:r>
      <w:r>
        <w:rPr>
          <w:rFonts w:ascii="Times New Roman" w:hAnsi="Times New Roman" w:eastAsia="宋体" w:cs="Times New Roman"/>
          <w:sz w:val="24"/>
          <w:szCs w:val="24"/>
        </w:rPr>
        <w:t>"的因果链作为核心分析逻辑，具体包含以下五个对比维度：</w:t>
      </w:r>
    </w:p>
    <w:p w14:paraId="2A4F3635">
      <w:pPr>
        <w:rPr>
          <w:rFonts w:hint="eastAsia"/>
        </w:rPr>
      </w:pPr>
    </w:p>
    <w:p w14:paraId="1A34462D">
      <w:pPr>
        <w:spacing w:after="75" w:afterAutospacing="0"/>
        <w:jc w:val="center"/>
        <w:rPr>
          <w:rFonts w:hint="default" w:ascii="Times New Roman" w:hAnsi="Times New Roman" w:cs="Times New Roman"/>
          <w:b/>
          <w:bCs/>
          <w:sz w:val="20"/>
          <w:szCs w:val="20"/>
        </w:rPr>
      </w:pPr>
      <w:r>
        <w:rPr>
          <w:rFonts w:hint="default" w:ascii="Times New Roman" w:hAnsi="Times New Roman" w:cs="Times New Roman"/>
          <w:b/>
          <w:bCs/>
          <w:sz w:val="20"/>
          <w:szCs w:val="20"/>
        </w:rPr>
        <w:t>相关维度信息表</w:t>
      </w:r>
    </w:p>
    <w:tbl>
      <w:tblPr>
        <w:tblStyle w:val="14"/>
        <w:tblW w:w="842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07"/>
        <w:gridCol w:w="4484"/>
        <w:gridCol w:w="2335"/>
      </w:tblGrid>
      <w:tr w14:paraId="546C4D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CCCCCC" w:sz="12" w:space="0"/>
              <w:left w:val="nil"/>
              <w:bottom w:val="nil"/>
              <w:right w:val="nil"/>
            </w:tcBorders>
            <w:shd w:val="clear" w:color="auto" w:fill="F0F0F0"/>
            <w:noWrap w:val="0"/>
            <w:tcMar>
              <w:top w:w="60" w:type="dxa"/>
              <w:left w:w="60" w:type="dxa"/>
              <w:bottom w:w="60" w:type="dxa"/>
              <w:right w:w="60" w:type="dxa"/>
            </w:tcMar>
            <w:vAlign w:val="center"/>
          </w:tcPr>
          <w:p w14:paraId="6E7D328B">
            <w:pPr>
              <w:snapToGrid w:val="0"/>
              <w:spacing w:beforeAutospacing="0" w:afterAutospacing="0"/>
              <w:ind w:left="0" w:leftChars="0" w:right="0" w:righ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维度</w:t>
            </w:r>
          </w:p>
        </w:tc>
        <w:tc>
          <w:tcPr>
            <w:tcW w:w="0" w:type="auto"/>
            <w:tcBorders>
              <w:top w:val="single" w:color="CCCCCC" w:sz="12" w:space="0"/>
              <w:left w:val="nil"/>
              <w:bottom w:val="nil"/>
              <w:right w:val="nil"/>
            </w:tcBorders>
            <w:shd w:val="clear" w:color="auto" w:fill="F0F0F0"/>
            <w:noWrap w:val="0"/>
            <w:tcMar>
              <w:top w:w="60" w:type="dxa"/>
              <w:left w:w="60" w:type="dxa"/>
              <w:bottom w:w="60" w:type="dxa"/>
              <w:right w:w="60" w:type="dxa"/>
            </w:tcMar>
            <w:vAlign w:val="center"/>
          </w:tcPr>
          <w:p w14:paraId="7CC7E6B6">
            <w:pPr>
              <w:snapToGrid w:val="0"/>
              <w:spacing w:beforeAutospacing="0" w:afterAutospacing="0"/>
              <w:ind w:left="0" w:leftChars="0" w:right="0" w:righ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操作化定义</w:t>
            </w:r>
          </w:p>
        </w:tc>
        <w:tc>
          <w:tcPr>
            <w:tcW w:w="2335" w:type="dxa"/>
            <w:tcBorders>
              <w:top w:val="single" w:color="CCCCCC" w:sz="12" w:space="0"/>
              <w:left w:val="nil"/>
              <w:bottom w:val="nil"/>
              <w:right w:val="nil"/>
            </w:tcBorders>
            <w:shd w:val="clear" w:color="auto" w:fill="F0F0F0"/>
            <w:noWrap w:val="0"/>
            <w:tcMar>
              <w:top w:w="60" w:type="dxa"/>
              <w:left w:w="60" w:type="dxa"/>
              <w:bottom w:w="60" w:type="dxa"/>
              <w:right w:w="60" w:type="dxa"/>
            </w:tcMar>
            <w:vAlign w:val="center"/>
          </w:tcPr>
          <w:p w14:paraId="6722DB3C">
            <w:pPr>
              <w:snapToGrid w:val="0"/>
              <w:spacing w:beforeAutospacing="0" w:afterAutospacing="0"/>
              <w:ind w:left="0" w:leftChars="0" w:right="0" w:righ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考察问题</w:t>
            </w:r>
          </w:p>
        </w:tc>
      </w:tr>
      <w:tr w14:paraId="765A7F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CCCCCC" w:sz="4" w:space="0"/>
              <w:left w:val="nil"/>
              <w:bottom w:val="nil"/>
              <w:right w:val="nil"/>
            </w:tcBorders>
            <w:noWrap w:val="0"/>
            <w:tcMar>
              <w:top w:w="60" w:type="dxa"/>
              <w:left w:w="60" w:type="dxa"/>
              <w:bottom w:w="60" w:type="dxa"/>
              <w:right w:w="60" w:type="dxa"/>
            </w:tcMar>
            <w:vAlign w:val="center"/>
          </w:tcPr>
          <w:p w14:paraId="70C6A7CF">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知识获取路径</w:t>
            </w:r>
          </w:p>
        </w:tc>
        <w:tc>
          <w:tcPr>
            <w:tcW w:w="0" w:type="auto"/>
            <w:tcBorders>
              <w:top w:val="single" w:color="CCCCCC" w:sz="4" w:space="0"/>
              <w:left w:val="nil"/>
              <w:bottom w:val="nil"/>
              <w:right w:val="nil"/>
            </w:tcBorders>
            <w:noWrap w:val="0"/>
            <w:tcMar>
              <w:top w:w="60" w:type="dxa"/>
              <w:left w:w="60" w:type="dxa"/>
              <w:bottom w:w="60" w:type="dxa"/>
              <w:right w:w="60" w:type="dxa"/>
            </w:tcMar>
            <w:vAlign w:val="center"/>
          </w:tcPr>
          <w:p w14:paraId="486C3D21">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学生如何习得新知识（先学后用/边做边学/用中求学）</w:t>
            </w:r>
          </w:p>
        </w:tc>
        <w:tc>
          <w:tcPr>
            <w:tcW w:w="2335" w:type="dxa"/>
            <w:tcBorders>
              <w:top w:val="single" w:color="CCCCCC" w:sz="4" w:space="0"/>
              <w:left w:val="nil"/>
              <w:bottom w:val="nil"/>
              <w:right w:val="nil"/>
            </w:tcBorders>
            <w:noWrap w:val="0"/>
            <w:tcMar>
              <w:top w:w="60" w:type="dxa"/>
              <w:left w:w="60" w:type="dxa"/>
              <w:bottom w:w="60" w:type="dxa"/>
              <w:right w:w="60" w:type="dxa"/>
            </w:tcMar>
            <w:vAlign w:val="center"/>
          </w:tcPr>
          <w:p w14:paraId="20195410">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访谈Q5 - Q8 / 问卷Q2</w:t>
            </w:r>
          </w:p>
        </w:tc>
      </w:tr>
      <w:tr w14:paraId="6BF430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60" w:type="dxa"/>
              <w:left w:w="60" w:type="dxa"/>
              <w:bottom w:w="60" w:type="dxa"/>
              <w:right w:w="60" w:type="dxa"/>
            </w:tcMar>
            <w:vAlign w:val="center"/>
          </w:tcPr>
          <w:p w14:paraId="28A18CA5">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问题解决第一反应</w:t>
            </w:r>
          </w:p>
        </w:tc>
        <w:tc>
          <w:tcPr>
            <w:tcW w:w="0" w:type="auto"/>
            <w:tcBorders>
              <w:top w:val="nil"/>
              <w:left w:val="nil"/>
              <w:bottom w:val="nil"/>
              <w:right w:val="nil"/>
            </w:tcBorders>
            <w:noWrap w:val="0"/>
            <w:tcMar>
              <w:top w:w="60" w:type="dxa"/>
              <w:left w:w="60" w:type="dxa"/>
              <w:bottom w:w="60" w:type="dxa"/>
              <w:right w:w="60" w:type="dxa"/>
            </w:tcMar>
            <w:vAlign w:val="center"/>
          </w:tcPr>
          <w:p w14:paraId="53493388">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遇到未知技术问题时首选的求助/应对策略</w:t>
            </w:r>
          </w:p>
        </w:tc>
        <w:tc>
          <w:tcPr>
            <w:tcW w:w="2335" w:type="dxa"/>
            <w:tcBorders>
              <w:top w:val="nil"/>
              <w:left w:val="nil"/>
              <w:bottom w:val="nil"/>
              <w:right w:val="nil"/>
            </w:tcBorders>
            <w:noWrap w:val="0"/>
            <w:tcMar>
              <w:top w:w="60" w:type="dxa"/>
              <w:left w:w="60" w:type="dxa"/>
              <w:bottom w:w="60" w:type="dxa"/>
              <w:right w:w="60" w:type="dxa"/>
            </w:tcMar>
            <w:vAlign w:val="center"/>
          </w:tcPr>
          <w:p w14:paraId="7675C3FD">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访谈Q11 - Q12</w:t>
            </w:r>
          </w:p>
        </w:tc>
      </w:tr>
      <w:tr w14:paraId="4D8362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60" w:type="dxa"/>
              <w:left w:w="60" w:type="dxa"/>
              <w:bottom w:w="60" w:type="dxa"/>
              <w:right w:w="60" w:type="dxa"/>
            </w:tcMar>
            <w:vAlign w:val="center"/>
          </w:tcPr>
          <w:p w14:paraId="499BFD72">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对权威的态度</w:t>
            </w:r>
          </w:p>
        </w:tc>
        <w:tc>
          <w:tcPr>
            <w:tcW w:w="0" w:type="auto"/>
            <w:tcBorders>
              <w:top w:val="nil"/>
              <w:left w:val="nil"/>
              <w:bottom w:val="nil"/>
              <w:right w:val="nil"/>
            </w:tcBorders>
            <w:noWrap w:val="0"/>
            <w:tcMar>
              <w:top w:w="60" w:type="dxa"/>
              <w:left w:w="60" w:type="dxa"/>
              <w:bottom w:w="60" w:type="dxa"/>
              <w:right w:w="60" w:type="dxa"/>
            </w:tcMar>
            <w:vAlign w:val="center"/>
          </w:tcPr>
          <w:p w14:paraId="1D439F20">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对教师/导师指导角色的认知与互动方式</w:t>
            </w:r>
          </w:p>
        </w:tc>
        <w:tc>
          <w:tcPr>
            <w:tcW w:w="2335" w:type="dxa"/>
            <w:tcBorders>
              <w:top w:val="nil"/>
              <w:left w:val="nil"/>
              <w:bottom w:val="nil"/>
              <w:right w:val="nil"/>
            </w:tcBorders>
            <w:noWrap w:val="0"/>
            <w:tcMar>
              <w:top w:w="60" w:type="dxa"/>
              <w:left w:w="60" w:type="dxa"/>
              <w:bottom w:w="60" w:type="dxa"/>
              <w:right w:w="60" w:type="dxa"/>
            </w:tcMar>
            <w:vAlign w:val="center"/>
          </w:tcPr>
          <w:p w14:paraId="527A3D06">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访谈Q3,Q8,Q12 / 问卷Q3</w:t>
            </w:r>
          </w:p>
        </w:tc>
      </w:tr>
      <w:tr w14:paraId="049511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60" w:type="dxa"/>
              <w:left w:w="60" w:type="dxa"/>
              <w:bottom w:w="60" w:type="dxa"/>
              <w:right w:w="60" w:type="dxa"/>
            </w:tcMar>
            <w:vAlign w:val="center"/>
          </w:tcPr>
          <w:p w14:paraId="75327BDF">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团队角色偏好</w:t>
            </w:r>
          </w:p>
        </w:tc>
        <w:tc>
          <w:tcPr>
            <w:tcW w:w="0" w:type="auto"/>
            <w:tcBorders>
              <w:top w:val="nil"/>
              <w:left w:val="nil"/>
              <w:bottom w:val="nil"/>
              <w:right w:val="nil"/>
            </w:tcBorders>
            <w:noWrap w:val="0"/>
            <w:tcMar>
              <w:top w:w="60" w:type="dxa"/>
              <w:left w:w="60" w:type="dxa"/>
              <w:bottom w:w="60" w:type="dxa"/>
              <w:right w:w="60" w:type="dxa"/>
            </w:tcMar>
            <w:vAlign w:val="center"/>
          </w:tcPr>
          <w:p w14:paraId="325B53E5">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在团队项目中主动承担的角色类型</w:t>
            </w:r>
          </w:p>
        </w:tc>
        <w:tc>
          <w:tcPr>
            <w:tcW w:w="2335" w:type="dxa"/>
            <w:tcBorders>
              <w:top w:val="nil"/>
              <w:left w:val="nil"/>
              <w:bottom w:val="nil"/>
              <w:right w:val="nil"/>
            </w:tcBorders>
            <w:noWrap w:val="0"/>
            <w:tcMar>
              <w:top w:w="60" w:type="dxa"/>
              <w:left w:w="60" w:type="dxa"/>
              <w:bottom w:w="60" w:type="dxa"/>
              <w:right w:w="60" w:type="dxa"/>
            </w:tcMar>
            <w:vAlign w:val="center"/>
          </w:tcPr>
          <w:p w14:paraId="1853A513">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访谈Q13 / 问卷Q4</w:t>
            </w:r>
          </w:p>
        </w:tc>
      </w:tr>
      <w:tr w14:paraId="1F108C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07" w:type="dxa"/>
            <w:tcBorders>
              <w:top w:val="nil"/>
              <w:left w:val="nil"/>
              <w:bottom w:val="single" w:color="CCCCCC" w:sz="12" w:space="0"/>
              <w:right w:val="nil"/>
            </w:tcBorders>
            <w:noWrap w:val="0"/>
            <w:tcMar>
              <w:top w:w="60" w:type="dxa"/>
              <w:left w:w="60" w:type="dxa"/>
              <w:bottom w:w="60" w:type="dxa"/>
              <w:right w:w="60" w:type="dxa"/>
            </w:tcMar>
            <w:vAlign w:val="center"/>
          </w:tcPr>
          <w:p w14:paraId="0E7FA644">
            <w:pPr>
              <w:snapToGrid w:val="0"/>
              <w:spacing w:beforeAutospacing="0" w:afterAutospacing="0"/>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试错成本感知</w:t>
            </w:r>
          </w:p>
        </w:tc>
        <w:tc>
          <w:tcPr>
            <w:tcW w:w="4484" w:type="dxa"/>
            <w:tcBorders>
              <w:top w:val="nil"/>
              <w:left w:val="nil"/>
              <w:bottom w:val="single" w:color="CCCCCC" w:sz="12" w:space="0"/>
              <w:right w:val="nil"/>
            </w:tcBorders>
            <w:noWrap w:val="0"/>
            <w:tcMar>
              <w:top w:w="60" w:type="dxa"/>
              <w:left w:w="60" w:type="dxa"/>
              <w:bottom w:w="60" w:type="dxa"/>
              <w:right w:w="60" w:type="dxa"/>
            </w:tcMar>
            <w:vAlign w:val="center"/>
          </w:tcPr>
          <w:p w14:paraId="797F9A55">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对犯错的态度（恐惧/接纳/工具性）</w:t>
            </w:r>
          </w:p>
        </w:tc>
        <w:tc>
          <w:tcPr>
            <w:tcW w:w="2335" w:type="dxa"/>
            <w:tcBorders>
              <w:top w:val="nil"/>
              <w:left w:val="nil"/>
              <w:bottom w:val="single" w:color="CCCCCC" w:sz="12" w:space="0"/>
              <w:right w:val="nil"/>
            </w:tcBorders>
            <w:noWrap w:val="0"/>
            <w:tcMar>
              <w:top w:w="60" w:type="dxa"/>
              <w:left w:w="60" w:type="dxa"/>
              <w:bottom w:w="60" w:type="dxa"/>
              <w:right w:w="60" w:type="dxa"/>
            </w:tcMar>
            <w:vAlign w:val="center"/>
          </w:tcPr>
          <w:p w14:paraId="30F7563F">
            <w:pPr>
              <w:snapToGrid w:val="0"/>
              <w:spacing w:beforeAutospacing="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rPr>
              <w:t>访谈Q16</w:t>
            </w:r>
          </w:p>
        </w:tc>
      </w:tr>
    </w:tbl>
    <w:p w14:paraId="082EF87C">
      <w:pPr>
        <w:rPr>
          <w:rFonts w:hint="eastAsia"/>
        </w:rPr>
      </w:pPr>
    </w:p>
    <w:p w14:paraId="53B2D9F2">
      <w:pPr>
        <w:pStyle w:val="2"/>
        <w:rPr>
          <w:rFonts w:hint="eastAsia"/>
        </w:rPr>
      </w:pPr>
      <w:r>
        <w:rPr>
          <w:rFonts w:ascii="Times New Roman" w:hAnsi="Times New Roman" w:eastAsia="黑体" w:cs="Times New Roman"/>
          <w:color w:val="000000"/>
          <w:kern w:val="44"/>
          <w:sz w:val="32"/>
          <w:szCs w:val="44"/>
          <w:lang w:bidi="ar-SA"/>
        </w:rPr>
        <w:t>二、受访者教育背景全景</w:t>
      </w:r>
    </w:p>
    <w:p w14:paraId="20D91F4B">
      <w:pPr>
        <w:pStyle w:val="3"/>
        <w:rPr>
          <w:rFonts w:hint="eastAsia"/>
        </w:rPr>
      </w:pPr>
      <w:r>
        <w:rPr>
          <w:rFonts w:ascii="Times New Roman" w:hAnsi="Times New Roman" w:eastAsia="黑体" w:cs="Times New Roman"/>
          <w:kern w:val="2"/>
          <w:sz w:val="30"/>
          <w:szCs w:val="32"/>
          <w:lang w:bidi="ar-SA"/>
        </w:rPr>
        <w:t>2.1 中国受访者（访谈+问卷）</w:t>
      </w:r>
    </w:p>
    <w:p w14:paraId="4D99160D">
      <w:pPr>
        <w:pStyle w:val="11"/>
        <w:rPr>
          <w:rFonts w:hint="eastAsia"/>
        </w:rPr>
      </w:pPr>
      <w:r>
        <w:rPr>
          <w:rFonts w:ascii="Times New Roman" w:hAnsi="Times New Roman" w:eastAsia="宋体" w:cs="Times New Roman"/>
          <w:b/>
          <w:sz w:val="24"/>
          <w:szCs w:val="24"/>
        </w:rPr>
        <w:t>访谈受访者C1（男，硕士在读）</w:t>
      </w:r>
    </w:p>
    <w:p w14:paraId="17D01DB3">
      <w:pPr>
        <w:pStyle w:val="11"/>
        <w:numPr>
          <w:ilvl w:val="0"/>
          <w:numId w:val="3"/>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教育路径：北京（小学→高中，北京八中）→ 西安交通大学（软件工程本科）→ 杭州（人工智能方向硕士）</w:t>
      </w:r>
    </w:p>
    <w:p w14:paraId="497F2F8D">
      <w:pPr>
        <w:pStyle w:val="11"/>
        <w:numPr>
          <w:ilvl w:val="0"/>
          <w:numId w:val="3"/>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编程启蒙：高中课外课程接触少量Python</w:t>
      </w:r>
    </w:p>
    <w:p w14:paraId="58B9A047">
      <w:pPr>
        <w:pStyle w:val="11"/>
        <w:numPr>
          <w:ilvl w:val="0"/>
          <w:numId w:val="3"/>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专业选择：大类分流时选软件，"计算机方向太准了，所以选个软件"</w:t>
      </w:r>
    </w:p>
    <w:p w14:paraId="72907E18">
      <w:pPr>
        <w:pStyle w:val="11"/>
        <w:numPr>
          <w:ilvl w:val="0"/>
          <w:numId w:val="3"/>
        </w:numPr>
        <w:ind w:left="425" w:leftChars="0" w:hanging="425" w:firstLineChars="0"/>
        <w:rPr>
          <w:rFonts w:hint="eastAsia"/>
        </w:rPr>
      </w:pPr>
      <w:r>
        <w:rPr>
          <w:rFonts w:ascii="Times New Roman" w:hAnsi="Times New Roman" w:eastAsia="宋体" w:cs="Times New Roman"/>
          <w:sz w:val="24"/>
          <w:szCs w:val="24"/>
        </w:rPr>
        <w:t>项目经历：约3个（课程实践+实习+小学期），多为前后端网页设计</w:t>
      </w:r>
    </w:p>
    <w:p w14:paraId="05756336">
      <w:pPr>
        <w:pStyle w:val="11"/>
        <w:rPr>
          <w:rFonts w:hint="eastAsia"/>
        </w:rPr>
      </w:pPr>
      <w:r>
        <w:rPr>
          <w:rFonts w:ascii="Times New Roman" w:hAnsi="Times New Roman" w:eastAsia="宋体" w:cs="Times New Roman"/>
          <w:b/>
          <w:sz w:val="24"/>
          <w:szCs w:val="24"/>
        </w:rPr>
        <w:t>访谈受访者C2（男，博士在读，博二）</w:t>
      </w:r>
    </w:p>
    <w:p w14:paraId="5897A69C">
      <w:pPr>
        <w:pStyle w:val="11"/>
        <w:numPr>
          <w:ilvl w:val="0"/>
          <w:numId w:val="4"/>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教育路径：辽宁本溪（高中）→ 北航沈元学院（本科）→ 北航人工智能学院（博士）</w:t>
      </w:r>
    </w:p>
    <w:p w14:paraId="432A5A99">
      <w:pPr>
        <w:pStyle w:val="11"/>
        <w:numPr>
          <w:ilvl w:val="0"/>
          <w:numId w:val="4"/>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编程启蒙：高中可选计算机竞赛，但本人选数学</w:t>
      </w:r>
    </w:p>
    <w:p w14:paraId="4B459BCB">
      <w:pPr>
        <w:pStyle w:val="11"/>
        <w:numPr>
          <w:ilvl w:val="0"/>
          <w:numId w:val="4"/>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专业选择：保研时因AI热门而选择，"社会因素"为主</w:t>
      </w:r>
    </w:p>
    <w:p w14:paraId="43F4C21C">
      <w:pPr>
        <w:pStyle w:val="11"/>
        <w:numPr>
          <w:ilvl w:val="0"/>
          <w:numId w:val="4"/>
        </w:numPr>
        <w:ind w:left="425" w:leftChars="0" w:hanging="425" w:firstLineChars="0"/>
        <w:rPr>
          <w:rFonts w:hint="eastAsia"/>
        </w:rPr>
      </w:pPr>
      <w:r>
        <w:rPr>
          <w:rFonts w:ascii="Times New Roman" w:hAnsi="Times New Roman" w:eastAsia="宋体" w:cs="Times New Roman"/>
          <w:sz w:val="24"/>
          <w:szCs w:val="24"/>
        </w:rPr>
        <w:t>关键经历：大二温控鱼缸项目——从零到成品，涵盖PCB焊接、电路设计、控制逻辑</w:t>
      </w:r>
    </w:p>
    <w:p w14:paraId="33E25972">
      <w:pPr>
        <w:pStyle w:val="11"/>
        <w:rPr>
          <w:rFonts w:hint="eastAsia"/>
        </w:rPr>
      </w:pPr>
      <w:r>
        <w:rPr>
          <w:rFonts w:ascii="Times New Roman" w:hAnsi="Times New Roman" w:eastAsia="宋体" w:cs="Times New Roman"/>
          <w:b/>
          <w:sz w:val="24"/>
          <w:szCs w:val="24"/>
        </w:rPr>
        <w:t>问卷群体画像（9人）</w:t>
      </w:r>
    </w:p>
    <w:p w14:paraId="6CE4953A">
      <w:pPr>
        <w:pStyle w:val="11"/>
        <w:numPr>
          <w:ilvl w:val="0"/>
          <w:numId w:val="5"/>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年龄：88.89%为18-22岁</w:t>
      </w:r>
    </w:p>
    <w:p w14:paraId="7E310250">
      <w:pPr>
        <w:pStyle w:val="11"/>
        <w:numPr>
          <w:ilvl w:val="0"/>
          <w:numId w:val="5"/>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专业：77.78%为工程技术类</w:t>
      </w:r>
    </w:p>
    <w:p w14:paraId="3EF70809">
      <w:pPr>
        <w:pStyle w:val="11"/>
        <w:numPr>
          <w:ilvl w:val="0"/>
          <w:numId w:val="5"/>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留学经历：100%无出国经历</w:t>
      </w:r>
    </w:p>
    <w:p w14:paraId="29A6FE2F">
      <w:pPr>
        <w:pStyle w:val="11"/>
        <w:numPr>
          <w:ilvl w:val="0"/>
          <w:numId w:val="5"/>
        </w:numPr>
        <w:ind w:left="425" w:leftChars="0" w:hanging="425" w:firstLineChars="0"/>
        <w:rPr>
          <w:rFonts w:hint="eastAsia"/>
        </w:rPr>
      </w:pPr>
      <w:r>
        <w:rPr>
          <w:rFonts w:ascii="Times New Roman" w:hAnsi="Times New Roman" w:eastAsia="宋体" w:cs="Times New Roman"/>
          <w:sz w:val="24"/>
          <w:szCs w:val="24"/>
        </w:rPr>
        <w:t>学习方式偏好：66.67%偏好"跟随老师指导，按部就班"</w:t>
      </w:r>
    </w:p>
    <w:p w14:paraId="522D6443">
      <w:pPr>
        <w:pStyle w:val="3"/>
        <w:rPr>
          <w:rFonts w:hint="eastAsia"/>
        </w:rPr>
      </w:pPr>
      <w:r>
        <w:rPr>
          <w:rFonts w:ascii="Times New Roman" w:hAnsi="Times New Roman" w:eastAsia="黑体" w:cs="Times New Roman"/>
          <w:kern w:val="2"/>
          <w:sz w:val="30"/>
          <w:szCs w:val="32"/>
          <w:lang w:bidi="ar-SA"/>
        </w:rPr>
        <w:t>2.2 西班牙受访者（访谈+问卷）</w:t>
      </w:r>
    </w:p>
    <w:p w14:paraId="14556FF3">
      <w:pPr>
        <w:pStyle w:val="11"/>
        <w:rPr>
          <w:rFonts w:hint="eastAsia"/>
        </w:rPr>
      </w:pPr>
      <w:r>
        <w:rPr>
          <w:rFonts w:ascii="Times New Roman" w:hAnsi="Times New Roman" w:eastAsia="宋体" w:cs="Times New Roman"/>
          <w:b/>
          <w:sz w:val="24"/>
          <w:szCs w:val="24"/>
        </w:rPr>
        <w:t>访谈受访者S1（男，本科在读）</w:t>
      </w:r>
    </w:p>
    <w:p w14:paraId="4C7D990A">
      <w:pPr>
        <w:pStyle w:val="11"/>
        <w:numPr>
          <w:ilvl w:val="0"/>
          <w:numId w:val="6"/>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教育路径：西班牙技术高中→ 大学计算机工程专业（软件工程方向）</w:t>
      </w:r>
    </w:p>
    <w:p w14:paraId="2AE50F3C">
      <w:pPr>
        <w:pStyle w:val="11"/>
        <w:numPr>
          <w:ilvl w:val="0"/>
          <w:numId w:val="6"/>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编程启蒙：高中技术课程包含编程入门、信息安全</w:t>
      </w:r>
    </w:p>
    <w:p w14:paraId="4502960C">
      <w:pPr>
        <w:pStyle w:val="11"/>
        <w:numPr>
          <w:ilvl w:val="0"/>
          <w:numId w:val="6"/>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专业选择：高中接触计算机科学后对编程产生兴趣，家庭无影响</w:t>
      </w:r>
    </w:p>
    <w:p w14:paraId="52E9F4B7">
      <w:pPr>
        <w:pStyle w:val="11"/>
        <w:numPr>
          <w:ilvl w:val="0"/>
          <w:numId w:val="6"/>
        </w:numPr>
        <w:ind w:left="425" w:leftChars="0" w:hanging="425" w:firstLineChars="0"/>
        <w:rPr>
          <w:rFonts w:hint="eastAsia"/>
        </w:rPr>
      </w:pPr>
      <w:r>
        <w:rPr>
          <w:rFonts w:ascii="Times New Roman" w:hAnsi="Times New Roman" w:eastAsia="宋体" w:cs="Times New Roman"/>
          <w:sz w:val="24"/>
          <w:szCs w:val="24"/>
        </w:rPr>
        <w:t>项目经历：去年在德国参加火箭建造与发射项目</w:t>
      </w:r>
    </w:p>
    <w:p w14:paraId="21810BC2">
      <w:pPr>
        <w:pStyle w:val="11"/>
        <w:rPr>
          <w:rFonts w:hint="eastAsia"/>
        </w:rPr>
      </w:pPr>
      <w:r>
        <w:rPr>
          <w:rFonts w:ascii="Times New Roman" w:hAnsi="Times New Roman" w:eastAsia="宋体" w:cs="Times New Roman"/>
          <w:b/>
          <w:sz w:val="24"/>
          <w:szCs w:val="24"/>
        </w:rPr>
        <w:t>访谈受访者S2（硕士在读）</w:t>
      </w:r>
    </w:p>
    <w:p w14:paraId="289E2F0B">
      <w:pPr>
        <w:pStyle w:val="11"/>
        <w:numPr>
          <w:ilvl w:val="0"/>
          <w:numId w:val="7"/>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教育路径：技术高中→ 系统信息专业（计算机+管理学交叉）→ 硕士（AI/图论/算法复杂度）</w:t>
      </w:r>
    </w:p>
    <w:p w14:paraId="04A3D727">
      <w:pPr>
        <w:pStyle w:val="11"/>
        <w:numPr>
          <w:ilvl w:val="0"/>
          <w:numId w:val="7"/>
        </w:numPr>
        <w:ind w:left="425" w:leftChars="0" w:hanging="425" w:firstLineChars="0"/>
        <w:rPr>
          <w:rFonts w:hint="eastAsia"/>
        </w:rPr>
      </w:pPr>
      <w:r>
        <w:rPr>
          <w:rFonts w:ascii="Times New Roman" w:hAnsi="Times New Roman" w:eastAsia="宋体" w:cs="Times New Roman"/>
          <w:sz w:val="24"/>
          <w:szCs w:val="24"/>
        </w:rPr>
        <w:t>海外经历：曾在海外从事计算机相关工作，本次是第一次参加海外暑期学校</w:t>
      </w:r>
    </w:p>
    <w:p w14:paraId="5E624D32">
      <w:pPr>
        <w:pStyle w:val="11"/>
        <w:rPr>
          <w:rFonts w:hint="eastAsia"/>
        </w:rPr>
      </w:pPr>
      <w:r>
        <w:rPr>
          <w:rFonts w:ascii="Times New Roman" w:hAnsi="Times New Roman" w:eastAsia="宋体" w:cs="Times New Roman"/>
          <w:b/>
          <w:sz w:val="24"/>
          <w:szCs w:val="24"/>
        </w:rPr>
        <w:t>问卷群体画像（4人）</w:t>
      </w:r>
    </w:p>
    <w:p w14:paraId="7B5BA08D">
      <w:pPr>
        <w:pStyle w:val="11"/>
        <w:numPr>
          <w:ilvl w:val="0"/>
          <w:numId w:val="8"/>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年龄：100%为18-22岁</w:t>
      </w:r>
    </w:p>
    <w:p w14:paraId="57F6480B">
      <w:pPr>
        <w:pStyle w:val="11"/>
        <w:numPr>
          <w:ilvl w:val="0"/>
          <w:numId w:val="8"/>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专业：100%为工程技术类</w:t>
      </w:r>
    </w:p>
    <w:p w14:paraId="1CCA0D5C">
      <w:pPr>
        <w:pStyle w:val="11"/>
        <w:numPr>
          <w:ilvl w:val="0"/>
          <w:numId w:val="8"/>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留学经历：100%无出国经历</w:t>
      </w:r>
    </w:p>
    <w:p w14:paraId="3A0DDAA9">
      <w:pPr>
        <w:pStyle w:val="11"/>
        <w:numPr>
          <w:ilvl w:val="0"/>
          <w:numId w:val="8"/>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学习方式偏好：四种偏好各占25%（分布最均衡）</w:t>
      </w:r>
    </w:p>
    <w:p w14:paraId="1E039943">
      <w:pPr>
        <w:pStyle w:val="3"/>
        <w:rPr>
          <w:rFonts w:hint="eastAsia"/>
        </w:rPr>
      </w:pPr>
      <w:r>
        <w:rPr>
          <w:rFonts w:ascii="Times New Roman" w:hAnsi="Times New Roman" w:eastAsia="黑体" w:cs="Times New Roman"/>
          <w:kern w:val="2"/>
          <w:sz w:val="30"/>
          <w:szCs w:val="32"/>
          <w:lang w:bidi="ar-SA"/>
        </w:rPr>
        <w:t>2.3 巴西受访者（访谈+问卷）</w:t>
      </w:r>
    </w:p>
    <w:p w14:paraId="74B58AAC">
      <w:pPr>
        <w:pStyle w:val="11"/>
        <w:rPr>
          <w:rFonts w:hint="eastAsia"/>
        </w:rPr>
      </w:pPr>
      <w:r>
        <w:rPr>
          <w:rFonts w:ascii="Times New Roman" w:hAnsi="Times New Roman" w:eastAsia="宋体" w:cs="Times New Roman"/>
          <w:b/>
          <w:sz w:val="24"/>
          <w:szCs w:val="24"/>
        </w:rPr>
        <w:t>访谈受访者B1（男，在职水文工程师）</w:t>
      </w:r>
    </w:p>
    <w:p w14:paraId="204FF72E">
      <w:pPr>
        <w:pStyle w:val="11"/>
        <w:numPr>
          <w:ilvl w:val="0"/>
          <w:numId w:val="9"/>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教育路径：亚马逊河口城市私立中小学→ 大学卫生工程→ 硕士（地下水污染）→ 公共公司水文工作</w:t>
      </w:r>
    </w:p>
    <w:p w14:paraId="2BF886CC">
      <w:pPr>
        <w:pStyle w:val="11"/>
        <w:numPr>
          <w:ilvl w:val="0"/>
          <w:numId w:val="9"/>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技术启蒙：中小学"完全没有开设技术项目或工程相关课程"，全部为"老师讲授、学生听讲"</w:t>
      </w:r>
    </w:p>
    <w:p w14:paraId="382927BD">
      <w:pPr>
        <w:pStyle w:val="11"/>
        <w:numPr>
          <w:ilvl w:val="0"/>
          <w:numId w:val="9"/>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关键经历：亚马逊森林野外水文测量——使用声呐和多普勒设备，独立解决现场问题</w:t>
      </w:r>
    </w:p>
    <w:p w14:paraId="4134264F">
      <w:pPr>
        <w:pStyle w:val="11"/>
        <w:numPr>
          <w:ilvl w:val="0"/>
          <w:numId w:val="9"/>
        </w:numPr>
        <w:ind w:left="425" w:leftChars="0" w:hanging="425" w:firstLineChars="0"/>
        <w:rPr>
          <w:rFonts w:hint="eastAsia"/>
        </w:rPr>
      </w:pPr>
      <w:r>
        <w:rPr>
          <w:rFonts w:ascii="Times New Roman" w:hAnsi="Times New Roman" w:eastAsia="宋体" w:cs="Times New Roman"/>
          <w:sz w:val="24"/>
          <w:szCs w:val="24"/>
        </w:rPr>
        <w:t>BISS感受："一台无人机价格约相当于巴西一个月最低工资，多数家庭无法接触"</w:t>
      </w:r>
    </w:p>
    <w:p w14:paraId="178FA118">
      <w:pPr>
        <w:pStyle w:val="11"/>
        <w:rPr>
          <w:rFonts w:hint="eastAsia"/>
        </w:rPr>
      </w:pPr>
      <w:r>
        <w:rPr>
          <w:rFonts w:ascii="Times New Roman" w:hAnsi="Times New Roman" w:eastAsia="宋体" w:cs="Times New Roman"/>
          <w:b/>
          <w:sz w:val="24"/>
          <w:szCs w:val="24"/>
        </w:rPr>
        <w:t>问卷群体画像（19人）</w:t>
      </w:r>
    </w:p>
    <w:p w14:paraId="73FBC9DF">
      <w:pPr>
        <w:pStyle w:val="11"/>
        <w:numPr>
          <w:ilvl w:val="0"/>
          <w:numId w:val="10"/>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年龄：68.42%为25岁以上（三国中最年长）</w:t>
      </w:r>
    </w:p>
    <w:p w14:paraId="5205D9AA">
      <w:pPr>
        <w:pStyle w:val="11"/>
        <w:numPr>
          <w:ilvl w:val="0"/>
          <w:numId w:val="10"/>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专业：52.63%为工程技术类</w:t>
      </w:r>
    </w:p>
    <w:p w14:paraId="200BD4CD">
      <w:pPr>
        <w:pStyle w:val="11"/>
        <w:numPr>
          <w:ilvl w:val="0"/>
          <w:numId w:val="10"/>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留学经历：68.42%无出国经历（31.58%有）</w:t>
      </w:r>
    </w:p>
    <w:p w14:paraId="675B5CD9">
      <w:pPr>
        <w:pStyle w:val="11"/>
        <w:numPr>
          <w:ilvl w:val="0"/>
          <w:numId w:val="10"/>
        </w:numPr>
        <w:ind w:left="425" w:leftChars="0" w:hanging="425" w:firstLineChars="0"/>
        <w:rPr>
          <w:rFonts w:hint="eastAsia"/>
        </w:rPr>
      </w:pPr>
      <w:r>
        <w:rPr>
          <w:rFonts w:ascii="Times New Roman" w:hAnsi="Times New Roman" w:eastAsia="宋体" w:cs="Times New Roman"/>
          <w:sz w:val="24"/>
          <w:szCs w:val="24"/>
        </w:rPr>
        <w:t>学习方式偏好：52.63%偏好"实践项目驱动，边做边学"</w:t>
      </w:r>
    </w:p>
    <w:p w14:paraId="4A44288F">
      <w:pPr>
        <w:pStyle w:val="2"/>
        <w:rPr>
          <w:rFonts w:hint="eastAsia"/>
        </w:rPr>
      </w:pPr>
      <w:r>
        <w:rPr>
          <w:rFonts w:ascii="Times New Roman" w:hAnsi="Times New Roman" w:eastAsia="黑体" w:cs="Times New Roman"/>
          <w:color w:val="000000"/>
          <w:kern w:val="44"/>
          <w:sz w:val="32"/>
          <w:szCs w:val="44"/>
          <w:lang w:bidi="ar-SA"/>
        </w:rPr>
        <w:t>三、问卷数据量化分析</w:t>
      </w:r>
    </w:p>
    <w:p w14:paraId="186D312B">
      <w:pPr>
        <w:pStyle w:val="3"/>
        <w:rPr>
          <w:rFonts w:hint="eastAsia"/>
        </w:rPr>
      </w:pPr>
      <w:r>
        <w:rPr>
          <w:rFonts w:ascii="Times New Roman" w:hAnsi="Times New Roman" w:eastAsia="黑体" w:cs="Times New Roman"/>
          <w:kern w:val="2"/>
          <w:sz w:val="30"/>
          <w:szCs w:val="32"/>
          <w:lang w:bidi="ar-SA"/>
        </w:rPr>
        <w:t>3.1 基础教育阶段：三国趋同，中国最"应试"</w:t>
      </w:r>
    </w:p>
    <w:p w14:paraId="773D506E">
      <w:pPr>
        <w:pStyle w:val="4"/>
        <w:rPr>
          <w:rFonts w:hint="eastAsia"/>
        </w:rPr>
      </w:pPr>
      <w:r>
        <w:rPr>
          <w:rFonts w:ascii="Times New Roman" w:hAnsi="Times New Roman" w:eastAsia="黑体" w:cs="Times New Roman"/>
          <w:kern w:val="2"/>
          <w:sz w:val="30"/>
          <w:szCs w:val="32"/>
          <w:lang w:bidi="ar-SA"/>
        </w:rPr>
        <w:t>3.1.1 中小学教学方式：讲授为主占绝对主导</w:t>
      </w:r>
    </w:p>
    <w:p w14:paraId="76670D19">
      <w:pPr>
        <w:spacing w:after="75" w:afterAutospacing="0"/>
        <w:jc w:val="center"/>
        <w:rPr>
          <w:rFonts w:hint="default" w:ascii="Times New Roman" w:hAnsi="Times New Roman" w:cs="Times New Roman"/>
          <w:b/>
          <w:bCs/>
          <w:sz w:val="21"/>
          <w:szCs w:val="21"/>
        </w:rPr>
      </w:pPr>
      <w:r>
        <w:rPr>
          <w:rFonts w:hint="default" w:ascii="Times New Roman" w:hAnsi="Times New Roman" w:cs="Times New Roman"/>
          <w:b/>
          <w:bCs/>
          <w:sz w:val="21"/>
          <w:szCs w:val="21"/>
        </w:rPr>
        <w:t>不同教学方式在各国及总体的占比表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3"/>
        <w:gridCol w:w="1426"/>
        <w:gridCol w:w="1644"/>
        <w:gridCol w:w="1426"/>
        <w:gridCol w:w="1427"/>
      </w:tblGrid>
      <w:tr w14:paraId="2CCC4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71A7FE00">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教学方式</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56ACA2D5">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中国（占比）</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4D108B27">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西班牙（占比）</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4A9D5B59">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巴西（占比）</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04D31176">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总体（占比）</w:t>
            </w:r>
          </w:p>
        </w:tc>
      </w:tr>
      <w:tr w14:paraId="6CDC3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3639743">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老师讲授为主，被动听讲</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A2CBF5B">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100.0%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27B2F10">
            <w:pPr>
              <w:spacing w:beforeAutospacing="0" w:afterAutospacing="0"/>
              <w:ind w:right="0"/>
              <w:jc w:val="right"/>
              <w:rPr>
                <w:rFonts w:hint="default" w:ascii="Times New Roman" w:hAnsi="Times New Roman" w:cs="Times New Roman"/>
              </w:rPr>
            </w:pPr>
            <w:r>
              <w:rPr>
                <w:rFonts w:hint="default" w:ascii="Times New Roman" w:hAnsi="Times New Roman" w:cs="Times New Roman"/>
              </w:rPr>
              <w:t>50.0%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2A48818">
            <w:pPr>
              <w:spacing w:beforeAutospacing="0" w:afterAutospacing="0"/>
              <w:ind w:right="0"/>
              <w:jc w:val="right"/>
              <w:rPr>
                <w:rFonts w:hint="default" w:ascii="Times New Roman" w:hAnsi="Times New Roman" w:cs="Times New Roman"/>
              </w:rPr>
            </w:pPr>
            <w:r>
              <w:rPr>
                <w:rFonts w:hint="default" w:ascii="Times New Roman" w:hAnsi="Times New Roman" w:cs="Times New Roman"/>
              </w:rPr>
              <w:t>68.4%</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424190A">
            <w:pPr>
              <w:spacing w:beforeAutospacing="0" w:afterAutospacing="0"/>
              <w:ind w:right="0"/>
              <w:jc w:val="right"/>
              <w:rPr>
                <w:rFonts w:hint="default" w:ascii="Times New Roman" w:hAnsi="Times New Roman" w:cs="Times New Roman"/>
              </w:rPr>
            </w:pPr>
            <w:r>
              <w:rPr>
                <w:rFonts w:hint="default" w:ascii="Times New Roman" w:hAnsi="Times New Roman" w:cs="Times New Roman"/>
              </w:rPr>
              <w:t>75.0%</w:t>
            </w:r>
          </w:p>
        </w:tc>
      </w:tr>
      <w:tr w14:paraId="5AD37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48EA464">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师生互动/课堂讨论</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06B8000">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47322F2">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699D910">
            <w:pPr>
              <w:spacing w:beforeAutospacing="0" w:afterAutospacing="0"/>
              <w:ind w:right="0"/>
              <w:jc w:val="right"/>
              <w:rPr>
                <w:rFonts w:hint="default" w:ascii="Times New Roman" w:hAnsi="Times New Roman" w:cs="Times New Roman"/>
              </w:rPr>
            </w:pPr>
            <w:r>
              <w:rPr>
                <w:rFonts w:hint="default" w:ascii="Times New Roman" w:hAnsi="Times New Roman" w:cs="Times New Roman"/>
              </w:rPr>
              <w:t>5.3%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190EB6D">
            <w:pPr>
              <w:spacing w:beforeAutospacing="0" w:afterAutospacing="0"/>
              <w:ind w:right="0"/>
              <w:jc w:val="right"/>
              <w:rPr>
                <w:rFonts w:hint="default" w:ascii="Times New Roman" w:hAnsi="Times New Roman" w:cs="Times New Roman"/>
              </w:rPr>
            </w:pPr>
            <w:r>
              <w:rPr>
                <w:rFonts w:hint="default" w:ascii="Times New Roman" w:hAnsi="Times New Roman" w:cs="Times New Roman"/>
              </w:rPr>
              <w:t>3.1%</w:t>
            </w:r>
          </w:p>
        </w:tc>
      </w:tr>
      <w:tr w14:paraId="6400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8206A6E">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项目式/动手实践</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8BD8240">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03C7CDA">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4540E71">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10.5%</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ED6F467">
            <w:pPr>
              <w:spacing w:beforeAutospacing="0" w:afterAutospacing="0"/>
              <w:ind w:right="0"/>
              <w:jc w:val="right"/>
              <w:rPr>
                <w:rFonts w:hint="default" w:ascii="Times New Roman" w:hAnsi="Times New Roman" w:cs="Times New Roman"/>
              </w:rPr>
            </w:pPr>
            <w:r>
              <w:rPr>
                <w:rFonts w:hint="default" w:ascii="Times New Roman" w:hAnsi="Times New Roman" w:cs="Times New Roman"/>
              </w:rPr>
              <w:t>6.2%</w:t>
            </w:r>
          </w:p>
        </w:tc>
      </w:tr>
      <w:tr w14:paraId="78403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F38C36A">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线上学习为主</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B863DBD">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80871C6">
            <w:pPr>
              <w:spacing w:beforeAutospacing="0" w:afterAutospacing="0"/>
              <w:ind w:right="0"/>
              <w:jc w:val="right"/>
              <w:rPr>
                <w:rFonts w:hint="default" w:ascii="Times New Roman" w:hAnsi="Times New Roman" w:cs="Times New Roman"/>
              </w:rPr>
            </w:pPr>
            <w:r>
              <w:rPr>
                <w:rFonts w:hint="default" w:ascii="Times New Roman" w:hAnsi="Times New Roman" w:cs="Times New Roman"/>
              </w:rPr>
              <w:t>50.0%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B37B321">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15.8%</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B3F44E0">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15.6%</w:t>
            </w:r>
          </w:p>
        </w:tc>
      </w:tr>
    </w:tbl>
    <w:p w14:paraId="47B1AAE3">
      <w:pPr>
        <w:rPr>
          <w:rFonts w:hint="eastAsia"/>
        </w:rPr>
      </w:pPr>
    </w:p>
    <w:p w14:paraId="0E6B7227">
      <w:pPr>
        <w:pStyle w:val="11"/>
        <w:rPr>
          <w:rFonts w:hint="eastAsia"/>
        </w:rPr>
      </w:pPr>
      <w:r>
        <w:rPr>
          <w:rFonts w:ascii="Times New Roman" w:hAnsi="Times New Roman" w:eastAsia="宋体" w:cs="Times New Roman"/>
          <w:b/>
          <w:sz w:val="24"/>
          <w:szCs w:val="24"/>
        </w:rPr>
        <w:t>关键发现</w:t>
      </w:r>
      <w:r>
        <w:rPr>
          <w:rFonts w:ascii="Times New Roman" w:hAnsi="Times New Roman" w:eastAsia="宋体" w:cs="Times New Roman"/>
          <w:sz w:val="24"/>
          <w:szCs w:val="24"/>
        </w:rPr>
        <w:t>：三国中小学教育均以"讲授式"为主导（总体75%），中国100%为讲授式，是所有群体中单一教学模式占比最高的。</w:t>
      </w:r>
      <w:r>
        <w:rPr>
          <w:rFonts w:ascii="Times New Roman" w:hAnsi="Times New Roman" w:eastAsia="宋体" w:cs="Times New Roman"/>
          <w:b/>
          <w:sz w:val="24"/>
          <w:szCs w:val="24"/>
        </w:rPr>
        <w:t>项目式学习和课堂讨论在三国基础教育中均属边缘实践</w:t>
      </w:r>
      <w:r>
        <w:rPr>
          <w:rFonts w:ascii="Times New Roman" w:hAnsi="Times New Roman" w:eastAsia="宋体" w:cs="Times New Roman"/>
          <w:sz w:val="24"/>
          <w:szCs w:val="24"/>
        </w:rPr>
        <w:t>（分别仅占6.25%和3.12%）。西班牙50%选择"线上学习为主"值得注意，可能与疫情或特定学校模式有关。</w:t>
      </w:r>
    </w:p>
    <w:p w14:paraId="519466AF">
      <w:pPr>
        <w:pStyle w:val="4"/>
        <w:rPr>
          <w:rFonts w:hint="eastAsia"/>
        </w:rPr>
      </w:pPr>
      <w:r>
        <w:rPr>
          <w:rFonts w:ascii="Times New Roman" w:hAnsi="Times New Roman" w:eastAsia="黑体" w:cs="Times New Roman"/>
          <w:kern w:val="2"/>
          <w:sz w:val="30"/>
          <w:szCs w:val="32"/>
          <w:lang w:bidi="ar-SA"/>
        </w:rPr>
        <w:t>3.1.2 中小学最重视的能力：记忆与解题的"东亚模式"在中国最突出</w:t>
      </w:r>
    </w:p>
    <w:p w14:paraId="1070082D">
      <w:pPr>
        <w:spacing w:after="75" w:afterAutospacing="0"/>
        <w:jc w:val="center"/>
        <w:rPr>
          <w:rFonts w:hint="default" w:ascii="Times New Roman" w:hAnsi="Times New Roman" w:cs="Times New Roman"/>
          <w:b/>
          <w:bCs/>
          <w:sz w:val="21"/>
          <w:szCs w:val="21"/>
        </w:rPr>
      </w:pPr>
      <w:r>
        <w:rPr>
          <w:rFonts w:hint="default" w:ascii="Times New Roman" w:hAnsi="Times New Roman" w:cs="Times New Roman"/>
          <w:b/>
          <w:bCs/>
          <w:sz w:val="21"/>
          <w:szCs w:val="21"/>
        </w:rPr>
        <w:t>不同国家各项能力占比表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3"/>
        <w:gridCol w:w="1177"/>
        <w:gridCol w:w="1270"/>
        <w:gridCol w:w="1118"/>
        <w:gridCol w:w="1118"/>
      </w:tblGrid>
      <w:tr w14:paraId="4CE28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694FDD37">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能力</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69246D0E">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中国</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61608DFF">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西班牙</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4F586D83">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巴西</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32E694E4">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总体</w:t>
            </w:r>
          </w:p>
        </w:tc>
      </w:tr>
      <w:tr w14:paraId="2A26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E1B0571">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记忆和背诵能力</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372642E">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77.8%</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AD27C81">
            <w:pPr>
              <w:spacing w:beforeAutospacing="0" w:afterAutospacing="0"/>
              <w:ind w:right="0"/>
              <w:jc w:val="right"/>
              <w:rPr>
                <w:rFonts w:hint="default" w:ascii="Times New Roman" w:hAnsi="Times New Roman" w:cs="Times New Roman"/>
              </w:rPr>
            </w:pPr>
            <w:r>
              <w:rPr>
                <w:rFonts w:hint="default" w:ascii="Times New Roman" w:hAnsi="Times New Roman" w:cs="Times New Roman"/>
              </w:rPr>
              <w:t>50.0%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E319CC4">
            <w:pPr>
              <w:spacing w:beforeAutospacing="0" w:afterAutospacing="0"/>
              <w:ind w:right="0"/>
              <w:jc w:val="right"/>
              <w:rPr>
                <w:rFonts w:hint="default" w:ascii="Times New Roman" w:hAnsi="Times New Roman" w:cs="Times New Roman"/>
              </w:rPr>
            </w:pPr>
            <w:r>
              <w:rPr>
                <w:rFonts w:hint="default" w:ascii="Times New Roman" w:hAnsi="Times New Roman" w:cs="Times New Roman"/>
              </w:rPr>
              <w:t>63.2%</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07C6F41">
            <w:pPr>
              <w:spacing w:beforeAutospacing="0" w:afterAutospacing="0"/>
              <w:ind w:right="0"/>
              <w:jc w:val="right"/>
              <w:rPr>
                <w:rFonts w:hint="default" w:ascii="Times New Roman" w:hAnsi="Times New Roman" w:cs="Times New Roman"/>
              </w:rPr>
            </w:pPr>
            <w:r>
              <w:rPr>
                <w:rFonts w:hint="default" w:ascii="Times New Roman" w:hAnsi="Times New Roman" w:cs="Times New Roman"/>
              </w:rPr>
              <w:t>65.6%</w:t>
            </w:r>
          </w:p>
        </w:tc>
      </w:tr>
      <w:tr w14:paraId="1260C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DA3FCD5">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逻辑推理与解题能力</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855F615">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88.9%</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5EB195E">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F7A3405">
            <w:pPr>
              <w:spacing w:beforeAutospacing="0" w:afterAutospacing="0"/>
              <w:ind w:right="0"/>
              <w:jc w:val="right"/>
              <w:rPr>
                <w:rFonts w:hint="default" w:ascii="Times New Roman" w:hAnsi="Times New Roman" w:cs="Times New Roman"/>
              </w:rPr>
            </w:pPr>
            <w:r>
              <w:rPr>
                <w:rFonts w:hint="default" w:ascii="Times New Roman" w:hAnsi="Times New Roman" w:cs="Times New Roman"/>
              </w:rPr>
              <w:t>57.9%</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E9ACDA4">
            <w:pPr>
              <w:spacing w:beforeAutospacing="0" w:afterAutospacing="0"/>
              <w:ind w:right="0"/>
              <w:jc w:val="right"/>
              <w:rPr>
                <w:rFonts w:hint="default" w:ascii="Times New Roman" w:hAnsi="Times New Roman" w:cs="Times New Roman"/>
              </w:rPr>
            </w:pPr>
            <w:r>
              <w:rPr>
                <w:rFonts w:hint="default" w:ascii="Times New Roman" w:hAnsi="Times New Roman" w:cs="Times New Roman"/>
              </w:rPr>
              <w:t>62.5%</w:t>
            </w:r>
          </w:p>
        </w:tc>
      </w:tr>
      <w:tr w14:paraId="21F3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B87C7C6">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批判性思维与独立表达</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3F9B65B">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11.1%</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12802FF">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50.0%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1D5535B">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15.8%</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268A153">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18.8%</w:t>
            </w:r>
          </w:p>
        </w:tc>
      </w:tr>
      <w:tr w14:paraId="6BA45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E1185EA">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动手实践与创新能力</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948CD77">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FCF6587">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A129EC5">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10.5%</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B983669">
            <w:pPr>
              <w:spacing w:beforeAutospacing="0" w:afterAutospacing="0"/>
              <w:ind w:right="0"/>
              <w:jc w:val="right"/>
              <w:rPr>
                <w:rFonts w:hint="default" w:ascii="Times New Roman" w:hAnsi="Times New Roman" w:cs="Times New Roman"/>
              </w:rPr>
            </w:pPr>
            <w:r>
              <w:rPr>
                <w:rFonts w:hint="default" w:ascii="Times New Roman" w:hAnsi="Times New Roman" w:cs="Times New Roman"/>
              </w:rPr>
              <w:t>9.4%</w:t>
            </w:r>
          </w:p>
        </w:tc>
      </w:tr>
      <w:tr w14:paraId="6FCA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97A31C8">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团队协作与沟通能力</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17BE90B">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46F3D9D">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074D63F">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C1BDACC">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r>
    </w:tbl>
    <w:p w14:paraId="5D3498BD">
      <w:pPr>
        <w:rPr>
          <w:rFonts w:hint="eastAsia"/>
        </w:rPr>
      </w:pPr>
    </w:p>
    <w:p w14:paraId="4B297ECD">
      <w:pPr>
        <w:pStyle w:val="11"/>
        <w:rPr>
          <w:rFonts w:hint="eastAsia"/>
        </w:rPr>
      </w:pPr>
      <w:r>
        <w:rPr>
          <w:rFonts w:ascii="Times New Roman" w:hAnsi="Times New Roman" w:eastAsia="宋体" w:cs="Times New Roman"/>
          <w:b/>
          <w:sz w:val="24"/>
          <w:szCs w:val="24"/>
        </w:rPr>
        <w:t>关键发现</w:t>
      </w:r>
      <w:r>
        <w:rPr>
          <w:rFonts w:ascii="Times New Roman" w:hAnsi="Times New Roman" w:eastAsia="宋体" w:cs="Times New Roman"/>
          <w:sz w:val="24"/>
          <w:szCs w:val="24"/>
        </w:rPr>
        <w:t>：</w:t>
      </w:r>
    </w:p>
    <w:p w14:paraId="28639B5C">
      <w:pPr>
        <w:pStyle w:val="11"/>
        <w:numPr>
          <w:ilvl w:val="0"/>
          <w:numId w:val="11"/>
        </w:numPr>
        <w:ind w:left="425" w:leftChars="0" w:hanging="425" w:firstLineChars="0"/>
        <w:rPr>
          <w:rFonts w:hint="eastAsia"/>
        </w:rPr>
      </w:pPr>
      <w:r>
        <w:rPr>
          <w:rFonts w:ascii="Times New Roman" w:hAnsi="Times New Roman" w:eastAsia="宋体" w:cs="Times New Roman"/>
          <w:b/>
          <w:sz w:val="24"/>
          <w:szCs w:val="24"/>
        </w:rPr>
        <w:t>中国的"双高"特征</w:t>
      </w:r>
      <w:r>
        <w:rPr>
          <w:rFonts w:ascii="Times New Roman" w:hAnsi="Times New Roman" w:eastAsia="宋体" w:cs="Times New Roman"/>
          <w:sz w:val="24"/>
          <w:szCs w:val="24"/>
        </w:rPr>
        <w:t>：记忆（77.78%）和解题（88.89%）能力培养占比均为三国最高，且远高于批判性思维（11.11%）。这是典型的应试教育能力培养结构。</w:t>
      </w:r>
    </w:p>
    <w:p w14:paraId="35F6830E">
      <w:pPr>
        <w:pStyle w:val="11"/>
        <w:numPr>
          <w:ilvl w:val="0"/>
          <w:numId w:val="11"/>
        </w:numPr>
        <w:ind w:left="425" w:leftChars="0" w:hanging="425" w:firstLineChars="0"/>
        <w:rPr>
          <w:rFonts w:hint="eastAsia"/>
        </w:rPr>
      </w:pPr>
      <w:r>
        <w:rPr>
          <w:rFonts w:ascii="Times New Roman" w:hAnsi="Times New Roman" w:eastAsia="宋体" w:cs="Times New Roman"/>
          <w:b/>
          <w:sz w:val="24"/>
          <w:szCs w:val="24"/>
        </w:rPr>
        <w:t>西班牙的"批判性转向"</w:t>
      </w:r>
      <w:r>
        <w:rPr>
          <w:rFonts w:ascii="Times New Roman" w:hAnsi="Times New Roman" w:eastAsia="宋体" w:cs="Times New Roman"/>
          <w:sz w:val="24"/>
          <w:szCs w:val="24"/>
        </w:rPr>
        <w:t>：50%选择批判性思维与独立表达能力，为三国最高，与其受访者S2"不同教授有不同偏好，部分鼓励提问"的描述一致。</w:t>
      </w:r>
    </w:p>
    <w:p w14:paraId="7492470D">
      <w:pPr>
        <w:pStyle w:val="11"/>
        <w:numPr>
          <w:ilvl w:val="0"/>
          <w:numId w:val="11"/>
        </w:numPr>
        <w:ind w:left="425" w:leftChars="0" w:hanging="425" w:firstLineChars="0"/>
        <w:rPr>
          <w:rFonts w:hint="eastAsia"/>
        </w:rPr>
      </w:pPr>
      <w:r>
        <w:rPr>
          <w:rFonts w:ascii="Times New Roman" w:hAnsi="Times New Roman" w:eastAsia="宋体" w:cs="Times New Roman"/>
          <w:b/>
          <w:sz w:val="24"/>
          <w:szCs w:val="24"/>
        </w:rPr>
        <w:t>团队协作能力在三国基础教育中均为0%</w:t>
      </w:r>
      <w:r>
        <w:rPr>
          <w:rFonts w:ascii="Times New Roman" w:hAnsi="Times New Roman" w:eastAsia="宋体" w:cs="Times New Roman"/>
          <w:sz w:val="24"/>
          <w:szCs w:val="24"/>
        </w:rPr>
        <w:t>——这一发现极具冲击力：无论中国、西班牙还是巴西，中小学阶段均</w:t>
      </w:r>
      <w:r>
        <w:rPr>
          <w:rFonts w:ascii="Times New Roman" w:hAnsi="Times New Roman" w:eastAsia="宋体" w:cs="Times New Roman"/>
          <w:b/>
          <w:sz w:val="24"/>
          <w:szCs w:val="24"/>
        </w:rPr>
        <w:t>不系统培养团队协作能力</w:t>
      </w:r>
      <w:r>
        <w:rPr>
          <w:rFonts w:ascii="Times New Roman" w:hAnsi="Times New Roman" w:eastAsia="宋体" w:cs="Times New Roman"/>
          <w:sz w:val="24"/>
          <w:szCs w:val="24"/>
        </w:rPr>
        <w:t>。这意味着学生在进入大学或职场时，团队协作技能几乎完全依赖课外或自学。</w:t>
      </w:r>
    </w:p>
    <w:p w14:paraId="32B482C4">
      <w:pPr>
        <w:pStyle w:val="11"/>
        <w:numPr>
          <w:ilvl w:val="0"/>
          <w:numId w:val="11"/>
        </w:numPr>
        <w:ind w:left="425" w:leftChars="0" w:hanging="425" w:firstLineChars="0"/>
        <w:rPr>
          <w:rFonts w:hint="eastAsia"/>
        </w:rPr>
      </w:pPr>
      <w:r>
        <w:rPr>
          <w:rFonts w:ascii="Times New Roman" w:hAnsi="Times New Roman" w:eastAsia="宋体" w:cs="Times New Roman"/>
          <w:b/>
          <w:bCs/>
          <w:sz w:val="24"/>
          <w:szCs w:val="24"/>
        </w:rPr>
        <w:t>巴西的"中间状态"</w:t>
      </w:r>
      <w:r>
        <w:rPr>
          <w:rFonts w:ascii="Times New Roman" w:hAnsi="Times New Roman" w:eastAsia="宋体" w:cs="Times New Roman"/>
          <w:sz w:val="24"/>
          <w:szCs w:val="24"/>
        </w:rPr>
        <w:t>：记忆（63.16%）和解题（57.89%）仍为主导，但批判性思维（15.79%）和动手实践（10.53%）已有一定存在感。</w:t>
      </w:r>
    </w:p>
    <w:p w14:paraId="5F199FF4">
      <w:pPr>
        <w:pStyle w:val="4"/>
        <w:rPr>
          <w:rFonts w:hint="eastAsia"/>
        </w:rPr>
      </w:pPr>
      <w:r>
        <w:rPr>
          <w:rFonts w:ascii="Times New Roman" w:hAnsi="Times New Roman" w:eastAsia="黑体" w:cs="Times New Roman"/>
          <w:kern w:val="2"/>
          <w:sz w:val="30"/>
          <w:szCs w:val="32"/>
          <w:lang w:bidi="ar-SA"/>
        </w:rPr>
        <w:t>3.1.3 科技类课程地位：中国最低，巴西两极分化</w:t>
      </w:r>
    </w:p>
    <w:p w14:paraId="4550992E">
      <w:pPr>
        <w:spacing w:after="75" w:afterAutospacing="0"/>
        <w:jc w:val="center"/>
        <w:rPr>
          <w:rFonts w:hint="default" w:ascii="Times New Roman" w:hAnsi="Times New Roman" w:cs="Times New Roman"/>
          <w:b/>
          <w:bCs/>
          <w:sz w:val="21"/>
          <w:szCs w:val="21"/>
        </w:rPr>
      </w:pPr>
      <w:r>
        <w:rPr>
          <w:rFonts w:hint="default" w:ascii="Times New Roman" w:hAnsi="Times New Roman" w:cs="Times New Roman"/>
          <w:b/>
          <w:bCs/>
          <w:sz w:val="21"/>
          <w:szCs w:val="21"/>
        </w:rPr>
        <w:t>科技类课程地位占比情况表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7"/>
        <w:gridCol w:w="1211"/>
        <w:gridCol w:w="1306"/>
        <w:gridCol w:w="1211"/>
        <w:gridCol w:w="1211"/>
      </w:tblGrid>
      <w:tr w14:paraId="57161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5A2A41AD">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科技类课程地位</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55709C21">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中国</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2A39DFC0">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西班牙</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21BDFE22">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巴西</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51DF3DBE">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总体</w:t>
            </w:r>
          </w:p>
        </w:tc>
      </w:tr>
      <w:tr w14:paraId="7F09F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92E8560">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主科，纳入核心考试</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CA683D8">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3E9D9BB">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50.0%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4FE9FC9">
            <w:pPr>
              <w:spacing w:beforeAutospacing="0" w:afterAutospacing="0"/>
              <w:ind w:right="0"/>
              <w:jc w:val="right"/>
              <w:rPr>
                <w:rFonts w:hint="default" w:ascii="Times New Roman" w:hAnsi="Times New Roman" w:cs="Times New Roman"/>
              </w:rPr>
            </w:pPr>
            <w:r>
              <w:rPr>
                <w:rFonts w:hint="default" w:ascii="Times New Roman" w:hAnsi="Times New Roman" w:cs="Times New Roman"/>
              </w:rPr>
              <w:t>42.1%</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2C3CE9C">
            <w:pPr>
              <w:spacing w:beforeAutospacing="0" w:afterAutospacing="0"/>
              <w:ind w:right="0"/>
              <w:jc w:val="right"/>
              <w:rPr>
                <w:rFonts w:hint="default" w:ascii="Times New Roman" w:hAnsi="Times New Roman" w:cs="Times New Roman"/>
              </w:rPr>
            </w:pPr>
            <w:r>
              <w:rPr>
                <w:rFonts w:hint="default" w:ascii="Times New Roman" w:hAnsi="Times New Roman" w:cs="Times New Roman"/>
              </w:rPr>
              <w:t>31.3%</w:t>
            </w:r>
          </w:p>
        </w:tc>
      </w:tr>
      <w:tr w14:paraId="78F8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FF14B52">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副科，考试占比低</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B8CFAC4">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88.9%</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B4728C2">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6B7D35A">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10.5%</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EBCDE18">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34.4%</w:t>
            </w:r>
          </w:p>
        </w:tc>
      </w:tr>
      <w:tr w14:paraId="1C97B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EBFE8C6">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基本没有开设</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8AAA6A4">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11.1%</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2C5ED2D">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45E97EF">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36.8%</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5349C7C">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28.1%</w:t>
            </w:r>
          </w:p>
        </w:tc>
      </w:tr>
      <w:tr w14:paraId="4AAA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23E6C47">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兴趣类课程</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342F051">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81D96A5">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7385B41">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10.5%</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FD8D4C3">
            <w:pPr>
              <w:spacing w:beforeAutospacing="0" w:afterAutospacing="0"/>
              <w:ind w:right="0"/>
              <w:jc w:val="right"/>
              <w:rPr>
                <w:rFonts w:hint="default" w:ascii="Times New Roman" w:hAnsi="Times New Roman" w:cs="Times New Roman"/>
              </w:rPr>
            </w:pPr>
            <w:r>
              <w:rPr>
                <w:rFonts w:hint="default" w:ascii="Times New Roman" w:hAnsi="Times New Roman" w:cs="Times New Roman"/>
              </w:rPr>
              <w:t>6.3%</w:t>
            </w:r>
          </w:p>
        </w:tc>
      </w:tr>
    </w:tbl>
    <w:p w14:paraId="28D22564">
      <w:pPr>
        <w:rPr>
          <w:rFonts w:hint="eastAsia"/>
        </w:rPr>
      </w:pPr>
    </w:p>
    <w:p w14:paraId="6AC5EA07">
      <w:pPr>
        <w:pStyle w:val="11"/>
        <w:rPr>
          <w:rFonts w:hint="eastAsia"/>
        </w:rPr>
      </w:pPr>
      <w:r>
        <w:rPr>
          <w:rFonts w:ascii="Times New Roman" w:hAnsi="Times New Roman" w:eastAsia="宋体" w:cs="Times New Roman"/>
          <w:b/>
          <w:sz w:val="24"/>
          <w:szCs w:val="24"/>
        </w:rPr>
        <w:t>关键发现</w:t>
      </w:r>
      <w:r>
        <w:rPr>
          <w:rFonts w:ascii="Times New Roman" w:hAnsi="Times New Roman" w:eastAsia="宋体" w:cs="Times New Roman"/>
          <w:sz w:val="24"/>
          <w:szCs w:val="24"/>
        </w:rPr>
        <w:t>：</w:t>
      </w:r>
    </w:p>
    <w:p w14:paraId="5C151322">
      <w:pPr>
        <w:pStyle w:val="11"/>
        <w:numPr>
          <w:ilvl w:val="0"/>
          <w:numId w:val="12"/>
        </w:numPr>
        <w:ind w:left="425" w:leftChars="0" w:hanging="425" w:firstLineChars="0"/>
        <w:rPr>
          <w:rFonts w:hint="eastAsia"/>
        </w:rPr>
      </w:pPr>
      <w:r>
        <w:rPr>
          <w:rFonts w:ascii="Times New Roman" w:hAnsi="Times New Roman" w:eastAsia="宋体" w:cs="Times New Roman"/>
          <w:sz w:val="24"/>
          <w:szCs w:val="24"/>
        </w:rPr>
        <w:t>中国的科技类课程</w:t>
      </w:r>
      <w:r>
        <w:rPr>
          <w:rFonts w:ascii="Times New Roman" w:hAnsi="Times New Roman" w:eastAsia="宋体" w:cs="Times New Roman"/>
          <w:b/>
          <w:sz w:val="24"/>
          <w:szCs w:val="24"/>
        </w:rPr>
        <w:t>88.89%为"副科"</w:t>
      </w:r>
      <w:r>
        <w:rPr>
          <w:rFonts w:ascii="Times New Roman" w:hAnsi="Times New Roman" w:eastAsia="宋体" w:cs="Times New Roman"/>
          <w:sz w:val="24"/>
          <w:szCs w:val="24"/>
        </w:rPr>
        <w:t xml:space="preserve"> ，考试占比低。这与访谈中C1"高中少量编程课，课外课程"、C2"高中可选计算机竞赛，但本人选数学"的描述高度吻合。科技教育在中国基础教育中处于边缘位置。</w:t>
      </w:r>
    </w:p>
    <w:p w14:paraId="79F5FD6B">
      <w:pPr>
        <w:pStyle w:val="11"/>
        <w:numPr>
          <w:ilvl w:val="0"/>
          <w:numId w:val="12"/>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巴西呈现两极分化：42.11%为主科，36.84%基本没有开设——反映巴西教育体系内部的高度不均（与受访者B1来自私立中小学、亚马逊地区可能相关）。</w:t>
      </w:r>
    </w:p>
    <w:p w14:paraId="3738FEDB">
      <w:pPr>
        <w:pStyle w:val="11"/>
        <w:numPr>
          <w:ilvl w:val="0"/>
          <w:numId w:val="12"/>
        </w:numPr>
        <w:ind w:left="425" w:leftChars="0" w:hanging="425" w:firstLineChars="0"/>
        <w:rPr>
          <w:rFonts w:hint="eastAsia"/>
        </w:rPr>
      </w:pPr>
      <w:r>
        <w:rPr>
          <w:rFonts w:ascii="Times New Roman" w:hAnsi="Times New Roman" w:eastAsia="宋体" w:cs="Times New Roman"/>
          <w:sz w:val="24"/>
          <w:szCs w:val="24"/>
        </w:rPr>
        <w:t>西班牙50%将科技类课程列为主科，与其"编程4.0"国家计划的政策背景一致。</w:t>
      </w:r>
    </w:p>
    <w:p w14:paraId="1FF41ED5">
      <w:pPr>
        <w:pStyle w:val="4"/>
        <w:rPr>
          <w:rFonts w:hint="eastAsia"/>
        </w:rPr>
      </w:pPr>
      <w:r>
        <w:rPr>
          <w:rFonts w:ascii="Times New Roman" w:hAnsi="Times New Roman" w:eastAsia="黑体" w:cs="Times New Roman"/>
          <w:kern w:val="2"/>
          <w:sz w:val="30"/>
          <w:szCs w:val="32"/>
          <w:lang w:bidi="ar-SA"/>
        </w:rPr>
        <w:t>3.1.4 中小学科技类课程教学方式：理论主导，巴西"无实验"比例最高</w:t>
      </w:r>
    </w:p>
    <w:p w14:paraId="3810A06C">
      <w:pPr>
        <w:spacing w:after="75" w:afterAutospacing="0"/>
        <w:jc w:val="center"/>
        <w:rPr>
          <w:rFonts w:hint="default" w:ascii="Times New Roman" w:hAnsi="Times New Roman" w:cs="Times New Roman"/>
          <w:b/>
          <w:bCs/>
          <w:sz w:val="21"/>
          <w:szCs w:val="21"/>
        </w:rPr>
      </w:pPr>
      <w:r>
        <w:rPr>
          <w:rFonts w:hint="default" w:ascii="Times New Roman" w:hAnsi="Times New Roman" w:cs="Times New Roman"/>
          <w:b/>
          <w:bCs/>
          <w:sz w:val="21"/>
          <w:szCs w:val="21"/>
        </w:rPr>
        <w:t>科技类课程教学方式占比情况表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4"/>
        <w:gridCol w:w="1161"/>
        <w:gridCol w:w="1319"/>
        <w:gridCol w:w="1161"/>
        <w:gridCol w:w="1161"/>
      </w:tblGrid>
      <w:tr w14:paraId="761D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2D0997BA">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科技类课程教学方式</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31936DA7">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中国</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1ABEB901">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西班牙</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2A0ED3D3">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巴西</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1E277089">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总体</w:t>
            </w:r>
          </w:p>
        </w:tc>
      </w:tr>
      <w:tr w14:paraId="09BDC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4D546F6">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理论为主，实验为辅</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3AE4BD8">
            <w:pPr>
              <w:spacing w:beforeAutospacing="0" w:afterAutospacing="0"/>
              <w:ind w:right="0"/>
              <w:jc w:val="right"/>
              <w:rPr>
                <w:rFonts w:hint="default" w:ascii="Times New Roman" w:hAnsi="Times New Roman" w:cs="Times New Roman"/>
              </w:rPr>
            </w:pPr>
            <w:r>
              <w:rPr>
                <w:rFonts w:hint="default" w:ascii="Times New Roman" w:hAnsi="Times New Roman" w:cs="Times New Roman"/>
              </w:rPr>
              <w:t>33.3%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32EEB77">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FA33084">
            <w:pPr>
              <w:spacing w:beforeAutospacing="0" w:afterAutospacing="0"/>
              <w:ind w:right="0"/>
              <w:jc w:val="right"/>
              <w:rPr>
                <w:rFonts w:hint="default" w:ascii="Times New Roman" w:hAnsi="Times New Roman" w:cs="Times New Roman"/>
              </w:rPr>
            </w:pPr>
            <w:r>
              <w:rPr>
                <w:rFonts w:hint="default" w:ascii="Times New Roman" w:hAnsi="Times New Roman" w:cs="Times New Roman"/>
              </w:rPr>
              <w:t>31.6%</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C6457B5">
            <w:pPr>
              <w:spacing w:beforeAutospacing="0" w:afterAutospacing="0"/>
              <w:ind w:right="0"/>
              <w:jc w:val="right"/>
              <w:rPr>
                <w:rFonts w:hint="default" w:ascii="Times New Roman" w:hAnsi="Times New Roman" w:cs="Times New Roman"/>
              </w:rPr>
            </w:pPr>
            <w:r>
              <w:rPr>
                <w:rFonts w:hint="default" w:ascii="Times New Roman" w:hAnsi="Times New Roman" w:cs="Times New Roman"/>
              </w:rPr>
              <w:t>31.2%</w:t>
            </w:r>
          </w:p>
        </w:tc>
      </w:tr>
      <w:tr w14:paraId="06BE2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55BF973">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纯理论，无实验/操作</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638E133">
            <w:pPr>
              <w:spacing w:beforeAutospacing="0" w:afterAutospacing="0"/>
              <w:ind w:right="0"/>
              <w:jc w:val="right"/>
              <w:rPr>
                <w:rFonts w:hint="default" w:ascii="Times New Roman" w:hAnsi="Times New Roman" w:cs="Times New Roman"/>
              </w:rPr>
            </w:pPr>
            <w:r>
              <w:rPr>
                <w:rFonts w:hint="default" w:ascii="Times New Roman" w:hAnsi="Times New Roman" w:cs="Times New Roman"/>
              </w:rPr>
              <w:t>33.3%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7637822">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50.0%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FA0994F">
            <w:pPr>
              <w:spacing w:beforeAutospacing="0" w:afterAutospacing="0"/>
              <w:ind w:right="0"/>
              <w:jc w:val="right"/>
              <w:rPr>
                <w:rFonts w:hint="default" w:ascii="Times New Roman" w:hAnsi="Times New Roman" w:cs="Times New Roman"/>
              </w:rPr>
            </w:pPr>
            <w:r>
              <w:rPr>
                <w:rFonts w:hint="default" w:ascii="Times New Roman" w:hAnsi="Times New Roman" w:cs="Times New Roman"/>
              </w:rPr>
              <w:t>42.1%</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0246AD3">
            <w:pPr>
              <w:spacing w:beforeAutospacing="0" w:afterAutospacing="0"/>
              <w:ind w:right="0"/>
              <w:jc w:val="right"/>
              <w:rPr>
                <w:rFonts w:hint="default" w:ascii="Times New Roman" w:hAnsi="Times New Roman" w:cs="Times New Roman"/>
              </w:rPr>
            </w:pPr>
            <w:r>
              <w:rPr>
                <w:rFonts w:hint="default" w:ascii="Times New Roman" w:hAnsi="Times New Roman" w:cs="Times New Roman"/>
              </w:rPr>
              <w:t>37.5%</w:t>
            </w:r>
          </w:p>
        </w:tc>
      </w:tr>
      <w:tr w14:paraId="1668C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1D3DD71">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实验为主，理论为辅</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AE83EC1">
            <w:pPr>
              <w:spacing w:beforeAutospacing="0" w:afterAutospacing="0"/>
              <w:ind w:right="0"/>
              <w:jc w:val="right"/>
              <w:rPr>
                <w:rFonts w:hint="default" w:ascii="Times New Roman" w:hAnsi="Times New Roman" w:cs="Times New Roman"/>
              </w:rPr>
            </w:pPr>
            <w:r>
              <w:rPr>
                <w:rFonts w:hint="default" w:ascii="Times New Roman" w:hAnsi="Times New Roman" w:cs="Times New Roman"/>
              </w:rPr>
              <w:t>33.3%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EF58FAA">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92BD72B">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15.8%</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248D431">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18.8%</w:t>
            </w:r>
          </w:p>
        </w:tc>
      </w:tr>
      <w:tr w14:paraId="1F9F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80445ED">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纯实验/操作</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BE29663">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945B019">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35CB9D6">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10.5%</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F9F13BF">
            <w:pPr>
              <w:spacing w:beforeAutospacing="0" w:afterAutospacing="0"/>
              <w:ind w:right="0"/>
              <w:jc w:val="right"/>
              <w:rPr>
                <w:rFonts w:hint="default" w:ascii="Times New Roman" w:hAnsi="Times New Roman" w:cs="Times New Roman"/>
              </w:rPr>
            </w:pPr>
            <w:r>
              <w:rPr>
                <w:rFonts w:hint="default" w:ascii="Times New Roman" w:hAnsi="Times New Roman" w:cs="Times New Roman"/>
              </w:rPr>
              <w:t>9.4%</w:t>
            </w:r>
          </w:p>
        </w:tc>
      </w:tr>
    </w:tbl>
    <w:p w14:paraId="6074E276">
      <w:pPr>
        <w:rPr>
          <w:rFonts w:hint="eastAsia"/>
        </w:rPr>
      </w:pPr>
    </w:p>
    <w:p w14:paraId="4C898C64">
      <w:pPr>
        <w:pStyle w:val="11"/>
        <w:rPr>
          <w:rFonts w:hint="eastAsia"/>
        </w:rPr>
      </w:pPr>
      <w:r>
        <w:rPr>
          <w:rFonts w:ascii="Times New Roman" w:hAnsi="Times New Roman" w:eastAsia="宋体" w:cs="Times New Roman"/>
          <w:b/>
          <w:sz w:val="24"/>
          <w:szCs w:val="24"/>
        </w:rPr>
        <w:t>关键发现</w:t>
      </w:r>
      <w:r>
        <w:rPr>
          <w:rFonts w:ascii="Times New Roman" w:hAnsi="Times New Roman" w:eastAsia="宋体" w:cs="Times New Roman"/>
          <w:sz w:val="24"/>
          <w:szCs w:val="24"/>
        </w:rPr>
        <w:t>：三国科技类课程均以理论讲授为主导，"纯理论无实验"占总体37.50%，为最大类别。西班牙50%、巴西42.11%的科技课程纯理论讲授，</w:t>
      </w:r>
      <w:r>
        <w:rPr>
          <w:rFonts w:ascii="Times New Roman" w:hAnsi="Times New Roman" w:eastAsia="宋体" w:cs="Times New Roman"/>
          <w:b/>
          <w:sz w:val="24"/>
          <w:szCs w:val="24"/>
        </w:rPr>
        <w:t>"动手实验"在三国中小学科技教育中均为弱势</w:t>
      </w:r>
      <w:r>
        <w:rPr>
          <w:rFonts w:ascii="Times New Roman" w:hAnsi="Times New Roman" w:eastAsia="宋体" w:cs="Times New Roman"/>
          <w:sz w:val="24"/>
          <w:szCs w:val="24"/>
        </w:rPr>
        <w:t>。这解释了为何BISS项目对多数学生来说是"首次高强度动手实践"。</w:t>
      </w:r>
    </w:p>
    <w:p w14:paraId="7F2EC492">
      <w:pPr>
        <w:pStyle w:val="3"/>
        <w:rPr>
          <w:rFonts w:hint="eastAsia"/>
        </w:rPr>
      </w:pPr>
      <w:r>
        <w:rPr>
          <w:rFonts w:ascii="Times New Roman" w:hAnsi="Times New Roman" w:eastAsia="黑体" w:cs="Times New Roman"/>
          <w:kern w:val="2"/>
          <w:sz w:val="30"/>
          <w:szCs w:val="32"/>
          <w:lang w:bidi="ar-SA"/>
        </w:rPr>
        <w:t>3.2 大学教育阶段：分化显现</w:t>
      </w:r>
    </w:p>
    <w:p w14:paraId="6CDFB161">
      <w:pPr>
        <w:pStyle w:val="4"/>
        <w:rPr>
          <w:rFonts w:hint="eastAsia"/>
        </w:rPr>
      </w:pPr>
      <w:r>
        <w:rPr>
          <w:rFonts w:ascii="Times New Roman" w:hAnsi="Times New Roman" w:eastAsia="黑体" w:cs="Times New Roman"/>
          <w:kern w:val="2"/>
          <w:sz w:val="30"/>
          <w:szCs w:val="32"/>
          <w:lang w:bidi="ar-SA"/>
        </w:rPr>
        <w:t>3.2.1 大学专业学习更强调的能力</w:t>
      </w:r>
    </w:p>
    <w:p w14:paraId="632D00B5">
      <w:pPr>
        <w:spacing w:after="75" w:afterAutospacing="0"/>
        <w:jc w:val="center"/>
        <w:rPr>
          <w:rFonts w:hint="eastAsia" w:ascii="宋体" w:hAnsi="宋体" w:eastAsia="宋体" w:cs="宋体"/>
          <w:b/>
          <w:bCs/>
          <w:sz w:val="21"/>
          <w:szCs w:val="21"/>
        </w:rPr>
      </w:pPr>
      <w:r>
        <w:rPr>
          <w:rFonts w:hint="eastAsia" w:ascii="宋体" w:hAnsi="宋体" w:eastAsia="宋体" w:cs="宋体"/>
          <w:b/>
          <w:bCs/>
          <w:sz w:val="21"/>
          <w:szCs w:val="21"/>
        </w:rPr>
        <w:t>不同国家各项能力占比情况表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9"/>
        <w:gridCol w:w="1132"/>
        <w:gridCol w:w="1321"/>
        <w:gridCol w:w="1132"/>
        <w:gridCol w:w="1132"/>
      </w:tblGrid>
      <w:tr w14:paraId="0879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2B431D36">
            <w:pPr>
              <w:spacing w:beforeAutospacing="0" w:afterAutospacing="0"/>
              <w:ind w:right="0"/>
              <w:jc w:val="center"/>
              <w:rPr>
                <w:rFonts w:hint="eastAsia" w:ascii="宋体" w:hAnsi="宋体" w:eastAsia="宋体" w:cs="宋体"/>
                <w:b/>
                <w:bCs/>
              </w:rPr>
            </w:pPr>
            <w:r>
              <w:rPr>
                <w:rFonts w:hint="eastAsia" w:ascii="宋体" w:hAnsi="宋体" w:eastAsia="宋体" w:cs="宋体"/>
                <w:b/>
                <w:bCs/>
              </w:rPr>
              <w:t>能力</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46436F6B">
            <w:pPr>
              <w:spacing w:beforeAutospacing="0" w:afterAutospacing="0"/>
              <w:ind w:right="0"/>
              <w:jc w:val="center"/>
              <w:rPr>
                <w:rFonts w:hint="eastAsia" w:ascii="宋体" w:hAnsi="宋体" w:eastAsia="宋体" w:cs="宋体"/>
                <w:b/>
                <w:bCs/>
              </w:rPr>
            </w:pPr>
            <w:r>
              <w:rPr>
                <w:rFonts w:hint="eastAsia" w:ascii="宋体" w:hAnsi="宋体" w:eastAsia="宋体" w:cs="宋体"/>
                <w:b/>
                <w:bCs/>
              </w:rPr>
              <w:t>中国</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2A687DC7">
            <w:pPr>
              <w:spacing w:beforeAutospacing="0" w:afterAutospacing="0"/>
              <w:ind w:right="0"/>
              <w:jc w:val="center"/>
              <w:rPr>
                <w:rFonts w:hint="eastAsia" w:ascii="宋体" w:hAnsi="宋体" w:eastAsia="宋体" w:cs="宋体"/>
                <w:b/>
                <w:bCs/>
              </w:rPr>
            </w:pPr>
            <w:r>
              <w:rPr>
                <w:rFonts w:hint="eastAsia" w:ascii="宋体" w:hAnsi="宋体" w:eastAsia="宋体" w:cs="宋体"/>
                <w:b/>
                <w:bCs/>
              </w:rPr>
              <w:t>西班牙</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49D4F77F">
            <w:pPr>
              <w:spacing w:beforeAutospacing="0" w:afterAutospacing="0"/>
              <w:ind w:right="0"/>
              <w:jc w:val="center"/>
              <w:rPr>
                <w:rFonts w:hint="eastAsia" w:ascii="宋体" w:hAnsi="宋体" w:eastAsia="宋体" w:cs="宋体"/>
                <w:b/>
                <w:bCs/>
              </w:rPr>
            </w:pPr>
            <w:r>
              <w:rPr>
                <w:rFonts w:hint="eastAsia" w:ascii="宋体" w:hAnsi="宋体" w:eastAsia="宋体" w:cs="宋体"/>
                <w:b/>
                <w:bCs/>
              </w:rPr>
              <w:t>巴西</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53CBD5E8">
            <w:pPr>
              <w:spacing w:beforeAutospacing="0" w:afterAutospacing="0"/>
              <w:ind w:right="0"/>
              <w:jc w:val="center"/>
              <w:rPr>
                <w:rFonts w:hint="eastAsia" w:ascii="宋体" w:hAnsi="宋体" w:eastAsia="宋体" w:cs="宋体"/>
                <w:b/>
                <w:bCs/>
              </w:rPr>
            </w:pPr>
            <w:r>
              <w:rPr>
                <w:rFonts w:hint="eastAsia" w:ascii="宋体" w:hAnsi="宋体" w:eastAsia="宋体" w:cs="宋体"/>
                <w:b/>
                <w:bCs/>
              </w:rPr>
              <w:t>总体</w:t>
            </w:r>
          </w:p>
        </w:tc>
      </w:tr>
      <w:tr w14:paraId="252CC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8336CDE">
            <w:pPr>
              <w:spacing w:beforeAutospacing="0" w:afterAutospacing="0"/>
              <w:ind w:right="0"/>
              <w:jc w:val="center"/>
              <w:rPr>
                <w:rFonts w:hint="eastAsia" w:ascii="宋体" w:hAnsi="宋体" w:eastAsia="宋体" w:cs="宋体"/>
              </w:rPr>
            </w:pPr>
            <w:r>
              <w:rPr>
                <w:rFonts w:hint="eastAsia" w:ascii="宋体" w:hAnsi="宋体" w:eastAsia="宋体" w:cs="宋体"/>
              </w:rPr>
              <w:t>理论知识掌握</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62FAFF8">
            <w:pPr>
              <w:spacing w:beforeAutospacing="0" w:afterAutospacing="0"/>
              <w:ind w:right="0"/>
              <w:jc w:val="right"/>
              <w:rPr>
                <w:rFonts w:hint="eastAsia" w:ascii="宋体" w:hAnsi="宋体" w:eastAsia="宋体" w:cs="宋体"/>
              </w:rPr>
            </w:pPr>
            <w:r>
              <w:rPr>
                <w:rFonts w:hint="eastAsia" w:ascii="宋体" w:hAnsi="宋体" w:eastAsia="宋体" w:cs="宋体"/>
              </w:rPr>
              <w:t>-</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C4A259E">
            <w:pPr>
              <w:spacing w:beforeAutospacing="0" w:afterAutospacing="0"/>
              <w:ind w:right="0"/>
              <w:jc w:val="right"/>
              <w:rPr>
                <w:rFonts w:hint="eastAsia" w:ascii="宋体" w:hAnsi="宋体" w:eastAsia="宋体" w:cs="宋体"/>
              </w:rPr>
            </w:pPr>
            <w:r>
              <w:rPr>
                <w:rFonts w:hint="eastAsia" w:ascii="宋体" w:hAnsi="宋体" w:eastAsia="宋体" w:cs="宋体"/>
              </w:rPr>
              <w:t>-</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502CC30">
            <w:pPr>
              <w:spacing w:beforeAutospacing="0" w:afterAutospacing="0"/>
              <w:ind w:right="0"/>
              <w:jc w:val="right"/>
              <w:rPr>
                <w:rFonts w:hint="eastAsia" w:ascii="宋体" w:hAnsi="宋体" w:eastAsia="宋体" w:cs="宋体"/>
              </w:rPr>
            </w:pPr>
            <w:r>
              <w:rPr>
                <w:rFonts w:hint="eastAsia" w:ascii="宋体" w:hAnsi="宋体" w:eastAsia="宋体" w:cs="宋体"/>
              </w:rPr>
              <w:t>-</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E14F45F">
            <w:pPr>
              <w:spacing w:beforeAutospacing="0" w:afterAutospacing="0"/>
              <w:ind w:right="0"/>
              <w:jc w:val="right"/>
              <w:rPr>
                <w:rFonts w:hint="eastAsia" w:ascii="宋体" w:hAnsi="宋体" w:eastAsia="宋体" w:cs="宋体"/>
              </w:rPr>
            </w:pPr>
            <w:r>
              <w:rPr>
                <w:rFonts w:hint="eastAsia" w:ascii="宋体" w:hAnsi="宋体" w:eastAsia="宋体" w:cs="宋体"/>
              </w:rPr>
              <w:t>46.9%</w:t>
            </w:r>
          </w:p>
        </w:tc>
      </w:tr>
      <w:tr w14:paraId="3316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D5BF244">
            <w:pPr>
              <w:spacing w:beforeAutospacing="0" w:afterAutospacing="0"/>
              <w:ind w:right="0"/>
              <w:jc w:val="center"/>
              <w:rPr>
                <w:rFonts w:hint="eastAsia" w:ascii="宋体" w:hAnsi="宋体" w:eastAsia="宋体" w:cs="宋体"/>
              </w:rPr>
            </w:pPr>
            <w:r>
              <w:rPr>
                <w:rFonts w:hint="eastAsia" w:ascii="宋体" w:hAnsi="宋体" w:eastAsia="宋体" w:cs="宋体"/>
              </w:rPr>
              <w:t>逻辑分析与解题能力</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8F669FE">
            <w:pPr>
              <w:spacing w:beforeAutospacing="0" w:afterAutospacing="0"/>
              <w:ind w:right="0"/>
              <w:jc w:val="right"/>
              <w:rPr>
                <w:rFonts w:hint="eastAsia" w:ascii="宋体" w:hAnsi="宋体" w:eastAsia="宋体" w:cs="宋体"/>
              </w:rPr>
            </w:pPr>
            <w:r>
              <w:rPr>
                <w:rFonts w:hint="eastAsia" w:ascii="宋体" w:hAnsi="宋体" w:eastAsia="宋体" w:cs="宋体"/>
              </w:rPr>
              <w:t>44.4%</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9E31A82">
            <w:pPr>
              <w:spacing w:beforeAutospacing="0" w:afterAutospacing="0"/>
              <w:ind w:right="0"/>
              <w:jc w:val="right"/>
              <w:rPr>
                <w:rFonts w:hint="eastAsia" w:ascii="宋体" w:hAnsi="宋体" w:eastAsia="宋体" w:cs="宋体"/>
              </w:rPr>
            </w:pPr>
            <w:r>
              <w:rPr>
                <w:rFonts w:hint="eastAsia" w:ascii="宋体" w:hAnsi="宋体" w:eastAsia="宋体" w:cs="宋体"/>
                <w:b/>
              </w:rPr>
              <w:t>75.0%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2A26AF7">
            <w:pPr>
              <w:spacing w:beforeAutospacing="0" w:afterAutospacing="0"/>
              <w:ind w:right="0"/>
              <w:jc w:val="right"/>
              <w:rPr>
                <w:rFonts w:hint="eastAsia" w:ascii="宋体" w:hAnsi="宋体" w:eastAsia="宋体" w:cs="宋体"/>
              </w:rPr>
            </w:pPr>
            <w:r>
              <w:rPr>
                <w:rFonts w:hint="eastAsia" w:ascii="宋体" w:hAnsi="宋体" w:eastAsia="宋体" w:cs="宋体"/>
              </w:rPr>
              <w:t>42.1%</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E378D16">
            <w:pPr>
              <w:spacing w:beforeAutospacing="0" w:afterAutospacing="0"/>
              <w:ind w:right="0"/>
              <w:jc w:val="right"/>
              <w:rPr>
                <w:rFonts w:hint="eastAsia" w:ascii="宋体" w:hAnsi="宋体" w:eastAsia="宋体" w:cs="宋体"/>
              </w:rPr>
            </w:pPr>
            <w:r>
              <w:rPr>
                <w:rFonts w:hint="eastAsia" w:ascii="宋体" w:hAnsi="宋体" w:eastAsia="宋体" w:cs="宋体"/>
              </w:rPr>
              <w:t>21.9%</w:t>
            </w:r>
          </w:p>
        </w:tc>
      </w:tr>
      <w:tr w14:paraId="7C372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F3DC89A">
            <w:pPr>
              <w:spacing w:beforeAutospacing="0" w:afterAutospacing="0"/>
              <w:ind w:right="0"/>
              <w:jc w:val="center"/>
              <w:rPr>
                <w:rFonts w:hint="eastAsia" w:ascii="宋体" w:hAnsi="宋体" w:eastAsia="宋体" w:cs="宋体"/>
              </w:rPr>
            </w:pPr>
            <w:r>
              <w:rPr>
                <w:rFonts w:hint="eastAsia" w:ascii="宋体" w:hAnsi="宋体" w:eastAsia="宋体" w:cs="宋体"/>
              </w:rPr>
              <w:t>科研创新与实践能力</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80A8E2C">
            <w:pPr>
              <w:spacing w:beforeAutospacing="0" w:afterAutospacing="0"/>
              <w:ind w:right="0"/>
              <w:jc w:val="right"/>
              <w:rPr>
                <w:rFonts w:hint="eastAsia" w:ascii="宋体" w:hAnsi="宋体" w:eastAsia="宋体" w:cs="宋体"/>
              </w:rPr>
            </w:pPr>
            <w:r>
              <w:rPr>
                <w:rFonts w:hint="eastAsia" w:ascii="宋体" w:hAnsi="宋体" w:eastAsia="宋体" w:cs="宋体"/>
              </w:rPr>
              <w:t>11.1%</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6EBF511">
            <w:pPr>
              <w:spacing w:beforeAutospacing="0" w:afterAutospacing="0"/>
              <w:ind w:right="0"/>
              <w:jc w:val="right"/>
              <w:rPr>
                <w:rFonts w:hint="eastAsia" w:ascii="宋体" w:hAnsi="宋体" w:eastAsia="宋体" w:cs="宋体"/>
              </w:rPr>
            </w:pPr>
            <w:r>
              <w:rPr>
                <w:rFonts w:hint="eastAsia" w:ascii="宋体" w:hAnsi="宋体" w:eastAsia="宋体" w:cs="宋体"/>
              </w:rPr>
              <w:t>25.0%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D27257B">
            <w:pPr>
              <w:spacing w:beforeAutospacing="0" w:afterAutospacing="0"/>
              <w:ind w:right="0"/>
              <w:jc w:val="right"/>
              <w:rPr>
                <w:rFonts w:hint="eastAsia" w:ascii="宋体" w:hAnsi="宋体" w:eastAsia="宋体" w:cs="宋体"/>
              </w:rPr>
            </w:pPr>
            <w:r>
              <w:rPr>
                <w:rFonts w:hint="eastAsia" w:ascii="宋体" w:hAnsi="宋体" w:eastAsia="宋体" w:cs="宋体"/>
              </w:rPr>
              <w:t>26.3%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8343C37">
            <w:pPr>
              <w:spacing w:beforeAutospacing="0" w:afterAutospacing="0"/>
              <w:ind w:right="0"/>
              <w:jc w:val="right"/>
              <w:rPr>
                <w:rFonts w:hint="eastAsia" w:ascii="宋体" w:hAnsi="宋体" w:eastAsia="宋体" w:cs="宋体"/>
              </w:rPr>
            </w:pPr>
            <w:r>
              <w:rPr>
                <w:rFonts w:hint="eastAsia" w:ascii="宋体" w:hAnsi="宋体" w:eastAsia="宋体" w:cs="宋体"/>
              </w:rPr>
              <w:t>18.8%</w:t>
            </w:r>
          </w:p>
        </w:tc>
      </w:tr>
      <w:tr w14:paraId="4B5E7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608E571">
            <w:pPr>
              <w:spacing w:beforeAutospacing="0" w:afterAutospacing="0"/>
              <w:ind w:right="0"/>
              <w:jc w:val="center"/>
              <w:rPr>
                <w:rFonts w:hint="eastAsia" w:ascii="宋体" w:hAnsi="宋体" w:eastAsia="宋体" w:cs="宋体"/>
              </w:rPr>
            </w:pPr>
            <w:r>
              <w:rPr>
                <w:rFonts w:hint="eastAsia" w:ascii="宋体" w:hAnsi="宋体" w:eastAsia="宋体" w:cs="宋体"/>
              </w:rPr>
              <w:t>跨文化交流/团队协作</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2270FEF">
            <w:pPr>
              <w:spacing w:beforeAutospacing="0" w:afterAutospacing="0"/>
              <w:ind w:right="0"/>
              <w:jc w:val="right"/>
              <w:rPr>
                <w:rFonts w:hint="eastAsia" w:ascii="宋体" w:hAnsi="宋体" w:eastAsia="宋体" w:cs="宋体"/>
              </w:rPr>
            </w:pPr>
            <w:r>
              <w:rPr>
                <w:rFonts w:hint="eastAsia" w:ascii="宋体" w:hAnsi="宋体" w:eastAsia="宋体" w:cs="宋体"/>
              </w:rPr>
              <w:t>44.4%</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A2C0C35">
            <w:pPr>
              <w:spacing w:beforeAutospacing="0" w:afterAutospacing="0"/>
              <w:ind w:right="0"/>
              <w:jc w:val="right"/>
              <w:rPr>
                <w:rFonts w:hint="eastAsia" w:ascii="宋体" w:hAnsi="宋体" w:eastAsia="宋体" w:cs="宋体"/>
              </w:rPr>
            </w:pPr>
            <w:r>
              <w:rPr>
                <w:rFonts w:hint="eastAsia" w:ascii="宋体" w:hAnsi="宋体" w:eastAsia="宋体" w:cs="宋体"/>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964DC09">
            <w:pPr>
              <w:spacing w:beforeAutospacing="0" w:afterAutospacing="0"/>
              <w:ind w:right="0"/>
              <w:jc w:val="right"/>
              <w:rPr>
                <w:rFonts w:hint="eastAsia" w:ascii="宋体" w:hAnsi="宋体" w:eastAsia="宋体" w:cs="宋体"/>
              </w:rPr>
            </w:pPr>
            <w:r>
              <w:rPr>
                <w:rFonts w:hint="eastAsia" w:ascii="宋体" w:hAnsi="宋体" w:eastAsia="宋体" w:cs="宋体"/>
              </w:rPr>
              <w:t>21.1%</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DC4C39F">
            <w:pPr>
              <w:spacing w:beforeAutospacing="0" w:afterAutospacing="0"/>
              <w:ind w:right="0"/>
              <w:jc w:val="right"/>
              <w:rPr>
                <w:rFonts w:hint="eastAsia" w:ascii="宋体" w:hAnsi="宋体" w:eastAsia="宋体" w:cs="宋体"/>
              </w:rPr>
            </w:pPr>
            <w:r>
              <w:rPr>
                <w:rFonts w:hint="eastAsia" w:ascii="宋体" w:hAnsi="宋体" w:eastAsia="宋体" w:cs="宋体"/>
              </w:rPr>
              <w:t>12.5%</w:t>
            </w:r>
          </w:p>
        </w:tc>
      </w:tr>
    </w:tbl>
    <w:p w14:paraId="23979A46">
      <w:pPr>
        <w:rPr>
          <w:rFonts w:hint="eastAsia"/>
        </w:rPr>
      </w:pPr>
    </w:p>
    <w:p w14:paraId="0921C776">
      <w:pPr>
        <w:pStyle w:val="11"/>
        <w:rPr>
          <w:rFonts w:hint="eastAsia"/>
        </w:rPr>
      </w:pPr>
      <w:r>
        <w:rPr>
          <w:rFonts w:ascii="Times New Roman" w:hAnsi="Times New Roman" w:eastAsia="宋体" w:cs="Times New Roman"/>
          <w:sz w:val="24"/>
          <w:szCs w:val="24"/>
        </w:rPr>
        <w:t>*注：中国问卷该题选项略有不同，故"理论知识掌握"一栏总体数据来自原始汇总表。</w:t>
      </w:r>
    </w:p>
    <w:p w14:paraId="3B224DBE">
      <w:pPr>
        <w:pStyle w:val="11"/>
        <w:rPr>
          <w:rFonts w:hint="eastAsia"/>
        </w:rPr>
      </w:pPr>
      <w:r>
        <w:rPr>
          <w:rFonts w:ascii="Times New Roman" w:hAnsi="Times New Roman" w:eastAsia="宋体" w:cs="Times New Roman"/>
          <w:b/>
          <w:sz w:val="24"/>
          <w:szCs w:val="24"/>
        </w:rPr>
        <w:t>关键发现</w:t>
      </w:r>
      <w:r>
        <w:rPr>
          <w:rFonts w:ascii="Times New Roman" w:hAnsi="Times New Roman" w:eastAsia="宋体" w:cs="Times New Roman"/>
          <w:sz w:val="24"/>
          <w:szCs w:val="24"/>
        </w:rPr>
        <w:t>：</w:t>
      </w:r>
    </w:p>
    <w:p w14:paraId="58555BCB">
      <w:pPr>
        <w:pStyle w:val="11"/>
        <w:numPr>
          <w:ilvl w:val="0"/>
          <w:numId w:val="13"/>
        </w:numPr>
        <w:ind w:left="425" w:leftChars="0" w:hanging="425" w:firstLineChars="0"/>
        <w:rPr>
          <w:rFonts w:hint="eastAsia"/>
        </w:rPr>
      </w:pPr>
      <w:r>
        <w:rPr>
          <w:rFonts w:ascii="Times New Roman" w:hAnsi="Times New Roman" w:eastAsia="宋体" w:cs="Times New Roman"/>
          <w:sz w:val="24"/>
          <w:szCs w:val="24"/>
        </w:rPr>
        <w:t xml:space="preserve"> 西班牙大学教育75%强调逻辑分析与解题能力，与其纯科学方向硕士培养定位一致。</w:t>
      </w:r>
    </w:p>
    <w:p w14:paraId="5E64767F">
      <w:pPr>
        <w:pStyle w:val="11"/>
        <w:numPr>
          <w:ilvl w:val="0"/>
          <w:numId w:val="13"/>
        </w:numPr>
        <w:ind w:left="425" w:leftChars="0" w:hanging="425" w:firstLineChars="0"/>
        <w:rPr>
          <w:rFonts w:hint="eastAsia"/>
        </w:rPr>
      </w:pPr>
      <w:r>
        <w:rPr>
          <w:rFonts w:ascii="Times New Roman" w:hAnsi="Times New Roman" w:eastAsia="宋体" w:cs="Times New Roman"/>
          <w:sz w:val="24"/>
          <w:szCs w:val="24"/>
        </w:rPr>
        <w:t xml:space="preserve"> 中国大学教育呈现</w:t>
      </w:r>
      <w:r>
        <w:rPr>
          <w:rFonts w:ascii="Times New Roman" w:hAnsi="Times New Roman" w:eastAsia="宋体" w:cs="Times New Roman"/>
          <w:b/>
          <w:sz w:val="24"/>
          <w:szCs w:val="24"/>
        </w:rPr>
        <w:t>"逻辑分析（44.44%）+跨文化交流（44.44%）"双高</w:t>
      </w:r>
      <w:r>
        <w:rPr>
          <w:rFonts w:ascii="Times New Roman" w:hAnsi="Times New Roman" w:eastAsia="宋体" w:cs="Times New Roman"/>
          <w:sz w:val="24"/>
          <w:szCs w:val="24"/>
        </w:rPr>
        <w:t>的特征，可能与国内高校近年推进国际化办学有关。</w:t>
      </w:r>
    </w:p>
    <w:p w14:paraId="117D8766">
      <w:pPr>
        <w:pStyle w:val="11"/>
        <w:numPr>
          <w:ilvl w:val="0"/>
          <w:numId w:val="13"/>
        </w:numPr>
        <w:ind w:left="425" w:leftChars="0" w:hanging="425" w:firstLineChars="0"/>
        <w:rPr>
          <w:rFonts w:hint="eastAsia"/>
        </w:rPr>
      </w:pPr>
      <w:r>
        <w:rPr>
          <w:rFonts w:ascii="Times New Roman" w:hAnsi="Times New Roman" w:eastAsia="宋体" w:cs="Times New Roman"/>
          <w:sz w:val="24"/>
          <w:szCs w:val="24"/>
        </w:rPr>
        <w:t xml:space="preserve"> 巴西42.11%强调逻辑分析，26.32%强调科研创新，结构相对均衡。</w:t>
      </w:r>
    </w:p>
    <w:p w14:paraId="27D8C05A">
      <w:pPr>
        <w:pStyle w:val="4"/>
        <w:rPr>
          <w:rFonts w:hint="eastAsia" w:eastAsiaTheme="minorEastAsia"/>
          <w:sz w:val="36"/>
          <w:szCs w:val="44"/>
          <w:lang w:eastAsia="zh-CN"/>
        </w:rPr>
      </w:pPr>
      <w:r>
        <w:rPr>
          <w:rFonts w:ascii="Times New Roman" w:hAnsi="Times New Roman" w:eastAsia="黑体" w:cs="Times New Roman"/>
          <w:kern w:val="2"/>
          <w:sz w:val="30"/>
          <w:szCs w:val="32"/>
          <w:lang w:bidi="ar-SA"/>
        </w:rPr>
        <w:t>3.2.3 大学老师对有争议话题的处理方式</w:t>
      </w:r>
    </w:p>
    <w:p w14:paraId="1B194407">
      <w:pPr>
        <w:spacing w:after="75" w:afterAutospacing="0"/>
        <w:jc w:val="center"/>
        <w:rPr>
          <w:rFonts w:hint="default" w:ascii="Times New Roman" w:hAnsi="Times New Roman" w:cs="Times New Roman"/>
          <w:b/>
          <w:bCs/>
          <w:sz w:val="20"/>
          <w:szCs w:val="20"/>
        </w:rPr>
      </w:pPr>
      <w:r>
        <w:rPr>
          <w:rFonts w:hint="default" w:ascii="Times New Roman" w:hAnsi="Times New Roman" w:cs="Times New Roman"/>
          <w:b/>
          <w:bCs/>
          <w:sz w:val="20"/>
          <w:szCs w:val="20"/>
        </w:rPr>
        <w:t>各地区参与频率情况表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68"/>
        <w:gridCol w:w="1181"/>
        <w:gridCol w:w="1274"/>
        <w:gridCol w:w="1122"/>
        <w:gridCol w:w="1181"/>
      </w:tblGrid>
      <w:tr w14:paraId="5AF8B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38AF1C1D">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参与频率</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6CE510F0">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中国</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66918E14">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西班牙</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54950646">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巴西</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2D1F6DA4">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总体</w:t>
            </w:r>
          </w:p>
        </w:tc>
      </w:tr>
      <w:tr w14:paraId="0DE78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ABD9F2F">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从未参与</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87ECD7E">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22.2%</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A87636D">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50.0%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7293C16">
            <w:pPr>
              <w:spacing w:beforeAutospacing="0" w:afterAutospacing="0"/>
              <w:ind w:right="0"/>
              <w:jc w:val="right"/>
              <w:rPr>
                <w:rFonts w:hint="default" w:ascii="Times New Roman" w:hAnsi="Times New Roman" w:cs="Times New Roman"/>
              </w:rPr>
            </w:pPr>
            <w:r>
              <w:rPr>
                <w:rFonts w:hint="default" w:ascii="Times New Roman" w:hAnsi="Times New Roman" w:cs="Times New Roman"/>
              </w:rPr>
              <w:t>42.1%</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90FCF36">
            <w:pPr>
              <w:spacing w:beforeAutospacing="0" w:afterAutospacing="0"/>
              <w:ind w:right="0"/>
              <w:jc w:val="right"/>
              <w:rPr>
                <w:rFonts w:hint="default" w:ascii="Times New Roman" w:hAnsi="Times New Roman" w:cs="Times New Roman"/>
              </w:rPr>
            </w:pPr>
            <w:r>
              <w:rPr>
                <w:rFonts w:hint="default" w:ascii="Times New Roman" w:hAnsi="Times New Roman" w:cs="Times New Roman"/>
              </w:rPr>
              <w:t>37.5%</w:t>
            </w:r>
          </w:p>
        </w:tc>
      </w:tr>
      <w:tr w14:paraId="59EA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CF65E51">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偶尔参与（1 - 2次）</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259293C">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44.4%</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BFCF224">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C149B21">
            <w:pPr>
              <w:spacing w:beforeAutospacing="0" w:afterAutospacing="0"/>
              <w:ind w:right="0"/>
              <w:jc w:val="right"/>
              <w:rPr>
                <w:rFonts w:hint="default" w:ascii="Times New Roman" w:hAnsi="Times New Roman" w:cs="Times New Roman"/>
              </w:rPr>
            </w:pPr>
            <w:r>
              <w:rPr>
                <w:rFonts w:hint="default" w:ascii="Times New Roman" w:hAnsi="Times New Roman" w:cs="Times New Roman"/>
              </w:rPr>
              <w:t>42.1%</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1317451">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40.6%</w:t>
            </w:r>
          </w:p>
        </w:tc>
      </w:tr>
      <w:tr w14:paraId="6947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15A3E79">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经常参与（3 - 5次）</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EA0DFEE">
            <w:pPr>
              <w:spacing w:beforeAutospacing="0" w:afterAutospacing="0"/>
              <w:ind w:right="0"/>
              <w:jc w:val="right"/>
              <w:rPr>
                <w:rFonts w:hint="default" w:ascii="Times New Roman" w:hAnsi="Times New Roman" w:cs="Times New Roman"/>
              </w:rPr>
            </w:pPr>
            <w:r>
              <w:rPr>
                <w:rFonts w:hint="default" w:ascii="Times New Roman" w:hAnsi="Times New Roman" w:cs="Times New Roman"/>
              </w:rPr>
              <w:t>33.3%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5653394">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2EAD380">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5.3%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27D4C67">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15.6%</w:t>
            </w:r>
          </w:p>
        </w:tc>
      </w:tr>
      <w:tr w14:paraId="5944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36F0C97">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持续参与（5次以上）</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1B68E8A">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EA952B1">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EE0D0EC">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10.5%</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9B09E70">
            <w:pPr>
              <w:spacing w:beforeAutospacing="0" w:afterAutospacing="0"/>
              <w:ind w:right="0"/>
              <w:jc w:val="right"/>
              <w:rPr>
                <w:rFonts w:hint="default" w:ascii="Times New Roman" w:hAnsi="Times New Roman" w:cs="Times New Roman"/>
              </w:rPr>
            </w:pPr>
            <w:r>
              <w:rPr>
                <w:rFonts w:hint="default" w:ascii="Times New Roman" w:hAnsi="Times New Roman" w:cs="Times New Roman"/>
              </w:rPr>
              <w:t>6.3%</w:t>
            </w:r>
          </w:p>
        </w:tc>
      </w:tr>
    </w:tbl>
    <w:p w14:paraId="2FB9EE78">
      <w:pPr>
        <w:rPr>
          <w:rFonts w:hint="eastAsia"/>
        </w:rPr>
      </w:pPr>
    </w:p>
    <w:p w14:paraId="37883FFE">
      <w:pPr>
        <w:pStyle w:val="11"/>
        <w:rPr>
          <w:rFonts w:ascii="Times New Roman" w:hAnsi="Times New Roman" w:eastAsia="宋体" w:cs="Times New Roman"/>
          <w:sz w:val="24"/>
          <w:szCs w:val="24"/>
        </w:rPr>
      </w:pPr>
      <w:r>
        <w:rPr>
          <w:rFonts w:ascii="Times New Roman" w:hAnsi="Times New Roman" w:eastAsia="宋体" w:cs="Times New Roman"/>
          <w:b/>
          <w:sz w:val="24"/>
          <w:szCs w:val="24"/>
        </w:rPr>
        <w:t>关键发现</w:t>
      </w:r>
      <w:r>
        <w:rPr>
          <w:rFonts w:ascii="Times New Roman" w:hAnsi="Times New Roman" w:eastAsia="宋体" w:cs="Times New Roman"/>
          <w:sz w:val="24"/>
          <w:szCs w:val="24"/>
        </w:rPr>
        <w:t>：</w:t>
      </w:r>
    </w:p>
    <w:p w14:paraId="381A500B">
      <w:pPr>
        <w:pStyle w:val="11"/>
        <w:numPr>
          <w:ilvl w:val="0"/>
          <w:numId w:val="14"/>
        </w:numPr>
        <w:ind w:left="425" w:leftChars="0" w:hanging="425" w:firstLineChars="0"/>
        <w:rPr>
          <w:rFonts w:hint="eastAsia"/>
        </w:rPr>
      </w:pPr>
      <w:r>
        <w:rPr>
          <w:rFonts w:ascii="Times New Roman" w:hAnsi="Times New Roman" w:eastAsia="宋体" w:cs="Times New Roman"/>
          <w:b/>
          <w:sz w:val="24"/>
          <w:szCs w:val="24"/>
        </w:rPr>
        <w:t>中国学生科研活动参与率显著更高</w:t>
      </w:r>
      <w:r>
        <w:rPr>
          <w:rFonts w:ascii="Times New Roman" w:hAnsi="Times New Roman" w:eastAsia="宋体" w:cs="Times New Roman"/>
          <w:sz w:val="24"/>
          <w:szCs w:val="24"/>
        </w:rPr>
        <w:t>：仅22.22%从未参与，33.33%经常参与，为三国最高。</w:t>
      </w:r>
    </w:p>
    <w:p w14:paraId="36394E36">
      <w:pPr>
        <w:pStyle w:val="11"/>
        <w:numPr>
          <w:ilvl w:val="0"/>
          <w:numId w:val="14"/>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巴西学生科研参与最少：42.11%从未参与，经常参与仅5.26%（但其群体中有10.53%持续参与，显示少数精英的存在）。</w:t>
      </w:r>
    </w:p>
    <w:p w14:paraId="1ED300DF">
      <w:pPr>
        <w:pStyle w:val="11"/>
        <w:numPr>
          <w:ilvl w:val="0"/>
          <w:numId w:val="14"/>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西班牙50%从未参与，与其本科阶段以课程学习为主的培养模式一致。</w:t>
      </w:r>
    </w:p>
    <w:p w14:paraId="4B3859CA">
      <w:pPr>
        <w:pStyle w:val="11"/>
        <w:numPr>
          <w:ilvl w:val="0"/>
          <w:numId w:val="14"/>
        </w:numPr>
        <w:ind w:left="425" w:leftChars="0" w:hanging="425" w:firstLineChars="0"/>
        <w:rPr>
          <w:rFonts w:hint="eastAsia"/>
        </w:rPr>
      </w:pPr>
      <w:r>
        <w:rPr>
          <w:rFonts w:ascii="Times New Roman" w:hAnsi="Times New Roman" w:eastAsia="宋体" w:cs="Times New Roman"/>
          <w:sz w:val="24"/>
          <w:szCs w:val="24"/>
        </w:rPr>
        <w:t>总体来看，</w:t>
      </w:r>
      <w:r>
        <w:rPr>
          <w:rFonts w:ascii="Times New Roman" w:hAnsi="Times New Roman" w:eastAsia="宋体" w:cs="Times New Roman"/>
          <w:b/>
          <w:bCs/>
          <w:sz w:val="24"/>
          <w:szCs w:val="24"/>
        </w:rPr>
        <w:t>"从未参与"（37.50%）和"偶尔参与"（40.62%）合计占近八成</w:t>
      </w:r>
      <w:r>
        <w:rPr>
          <w:rFonts w:ascii="Times New Roman" w:hAnsi="Times New Roman" w:eastAsia="宋体" w:cs="Times New Roman"/>
          <w:sz w:val="24"/>
          <w:szCs w:val="24"/>
        </w:rPr>
        <w:t>，大学生科研实践机会仍然有限。</w:t>
      </w:r>
    </w:p>
    <w:p w14:paraId="15B08D24">
      <w:pPr>
        <w:pStyle w:val="4"/>
        <w:rPr>
          <w:rFonts w:hint="eastAsia"/>
        </w:rPr>
      </w:pPr>
      <w:r>
        <w:rPr>
          <w:rFonts w:ascii="Times New Roman" w:hAnsi="Times New Roman" w:eastAsia="黑体" w:cs="Times New Roman"/>
          <w:kern w:val="2"/>
          <w:sz w:val="30"/>
          <w:szCs w:val="32"/>
          <w:lang w:bidi="ar-SA"/>
        </w:rPr>
        <w:t>3.2.2 科研/创新实践活动参与频率</w:t>
      </w:r>
    </w:p>
    <w:p w14:paraId="41BC4DCC">
      <w:pPr>
        <w:spacing w:after="75" w:afterAutospacing="0"/>
        <w:jc w:val="center"/>
        <w:rPr>
          <w:rFonts w:hint="default" w:ascii="Times New Roman" w:hAnsi="Times New Roman" w:cs="Times New Roman"/>
          <w:b/>
          <w:bCs/>
          <w:sz w:val="21"/>
          <w:szCs w:val="21"/>
        </w:rPr>
      </w:pPr>
      <w:r>
        <w:rPr>
          <w:rFonts w:hint="default" w:ascii="Times New Roman" w:hAnsi="Times New Roman" w:cs="Times New Roman"/>
          <w:b/>
          <w:bCs/>
          <w:sz w:val="21"/>
          <w:szCs w:val="21"/>
        </w:rPr>
        <w:t>不同处理方式在各国及总体中的占比表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0"/>
        <w:gridCol w:w="1002"/>
        <w:gridCol w:w="1081"/>
        <w:gridCol w:w="951"/>
        <w:gridCol w:w="1002"/>
      </w:tblGrid>
      <w:tr w14:paraId="797BB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3626C2EB">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处理方式</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3D92807D">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中国</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63DBF77E">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西班牙</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07005271">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巴西</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107674AA">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总体</w:t>
            </w:r>
          </w:p>
        </w:tc>
      </w:tr>
      <w:tr w14:paraId="6614A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0DE6B2F">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直接给出标准答案，不允许讨论</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09A9F9B">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22.2%</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9452D1A">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75.0%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D45496E">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26.3%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10FE67A">
            <w:pPr>
              <w:spacing w:beforeAutospacing="0" w:afterAutospacing="0"/>
              <w:ind w:right="0"/>
              <w:jc w:val="right"/>
              <w:rPr>
                <w:rFonts w:hint="default" w:ascii="Times New Roman" w:hAnsi="Times New Roman" w:cs="Times New Roman"/>
              </w:rPr>
            </w:pPr>
            <w:r>
              <w:rPr>
                <w:rFonts w:hint="default" w:ascii="Times New Roman" w:hAnsi="Times New Roman" w:cs="Times New Roman"/>
              </w:rPr>
              <w:t>31.2%</w:t>
            </w:r>
          </w:p>
        </w:tc>
      </w:tr>
      <w:tr w14:paraId="202FD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2EE5DC7">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引导学生讨论，鼓励不同观点</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60AE5B3">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22.2%</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576D3B1">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4D48105">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26.3%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9055BA9">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40.6%</w:t>
            </w:r>
          </w:p>
        </w:tc>
      </w:tr>
      <w:tr w14:paraId="4DCB8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E40FC0C">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回避争议话题，跳过不讲</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F7F32A1">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55.6%</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7406D9C">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563877A">
            <w:pPr>
              <w:spacing w:beforeAutospacing="0" w:afterAutospacing="0"/>
              <w:ind w:right="0"/>
              <w:jc w:val="right"/>
              <w:rPr>
                <w:rFonts w:hint="default" w:ascii="Times New Roman" w:hAnsi="Times New Roman" w:cs="Times New Roman"/>
              </w:rPr>
            </w:pPr>
            <w:r>
              <w:rPr>
                <w:rFonts w:hint="default" w:ascii="Times New Roman" w:hAnsi="Times New Roman" w:cs="Times New Roman"/>
              </w:rPr>
              <w:t>42.1%</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697DC1E">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25.0%</w:t>
            </w:r>
          </w:p>
        </w:tc>
      </w:tr>
      <w:tr w14:paraId="0CB8C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8D5CDCD">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让学生自主探究，不给出结论</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B69579D">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5F6FF8B">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86A4BF7">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5.3%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F78FE8D">
            <w:pPr>
              <w:spacing w:beforeAutospacing="0" w:afterAutospacing="0"/>
              <w:ind w:right="0"/>
              <w:jc w:val="right"/>
              <w:rPr>
                <w:rFonts w:hint="default" w:ascii="Times New Roman" w:hAnsi="Times New Roman" w:cs="Times New Roman"/>
              </w:rPr>
            </w:pPr>
            <w:r>
              <w:rPr>
                <w:rFonts w:hint="default" w:ascii="Times New Roman" w:hAnsi="Times New Roman" w:cs="Times New Roman"/>
              </w:rPr>
              <w:t>3.1%</w:t>
            </w:r>
          </w:p>
        </w:tc>
      </w:tr>
    </w:tbl>
    <w:p w14:paraId="4329448C">
      <w:pPr>
        <w:rPr>
          <w:rFonts w:hint="eastAsia"/>
        </w:rPr>
      </w:pPr>
    </w:p>
    <w:p w14:paraId="0A328D34">
      <w:pPr>
        <w:pStyle w:val="11"/>
        <w:rPr>
          <w:rFonts w:hint="eastAsia"/>
        </w:rPr>
      </w:pPr>
      <w:r>
        <w:rPr>
          <w:rFonts w:ascii="Times New Roman" w:hAnsi="Times New Roman" w:eastAsia="宋体" w:cs="Times New Roman"/>
          <w:b/>
          <w:sz w:val="24"/>
          <w:szCs w:val="24"/>
        </w:rPr>
        <w:t>关键发现</w:t>
      </w:r>
      <w:r>
        <w:rPr>
          <w:rFonts w:ascii="Times New Roman" w:hAnsi="Times New Roman" w:eastAsia="宋体" w:cs="Times New Roman"/>
          <w:sz w:val="24"/>
          <w:szCs w:val="24"/>
        </w:rPr>
        <w:t>：</w:t>
      </w:r>
    </w:p>
    <w:p w14:paraId="49F6DC90">
      <w:pPr>
        <w:pStyle w:val="11"/>
        <w:numPr>
          <w:ilvl w:val="0"/>
          <w:numId w:val="15"/>
        </w:numPr>
        <w:ind w:left="425" w:leftChars="0" w:hanging="425" w:firstLineChars="0"/>
        <w:rPr>
          <w:rFonts w:hint="eastAsia"/>
        </w:rPr>
      </w:pPr>
      <w:r>
        <w:rPr>
          <w:rFonts w:ascii="Times New Roman" w:hAnsi="Times New Roman" w:eastAsia="宋体" w:cs="Times New Roman"/>
          <w:sz w:val="24"/>
          <w:szCs w:val="24"/>
        </w:rPr>
        <w:t>中国大学老师对争议话题的典型做法是</w:t>
      </w:r>
      <w:r>
        <w:rPr>
          <w:rFonts w:ascii="Times New Roman" w:hAnsi="Times New Roman" w:eastAsia="宋体" w:cs="Times New Roman"/>
          <w:b/>
          <w:sz w:val="24"/>
          <w:szCs w:val="24"/>
        </w:rPr>
        <w:t>回避</w:t>
      </w:r>
      <w:r>
        <w:rPr>
          <w:rFonts w:ascii="Times New Roman" w:hAnsi="Times New Roman" w:eastAsia="宋体" w:cs="Times New Roman"/>
          <w:sz w:val="24"/>
          <w:szCs w:val="24"/>
        </w:rPr>
        <w:t>（55.56%），反映了课堂讨论空间的有限性。</w:t>
      </w:r>
    </w:p>
    <w:p w14:paraId="66DC9702">
      <w:pPr>
        <w:pStyle w:val="11"/>
        <w:numPr>
          <w:ilvl w:val="0"/>
          <w:numId w:val="15"/>
        </w:numPr>
        <w:ind w:left="425" w:leftChars="0" w:hanging="425" w:firstLineChars="0"/>
        <w:rPr>
          <w:rFonts w:hint="eastAsia"/>
        </w:rPr>
      </w:pPr>
      <w:r>
        <w:rPr>
          <w:rFonts w:ascii="Times New Roman" w:hAnsi="Times New Roman" w:eastAsia="宋体" w:cs="Times New Roman"/>
          <w:sz w:val="24"/>
          <w:szCs w:val="24"/>
        </w:rPr>
        <w:t>西班牙大学老师</w:t>
      </w:r>
      <w:r>
        <w:rPr>
          <w:rFonts w:ascii="Times New Roman" w:hAnsi="Times New Roman" w:eastAsia="宋体" w:cs="Times New Roman"/>
          <w:b/>
          <w:sz w:val="24"/>
          <w:szCs w:val="24"/>
        </w:rPr>
        <w:t>最倾向于直接给出标准答案</w:t>
      </w:r>
      <w:r>
        <w:rPr>
          <w:rFonts w:ascii="Times New Roman" w:hAnsi="Times New Roman" w:eastAsia="宋体" w:cs="Times New Roman"/>
          <w:sz w:val="24"/>
          <w:szCs w:val="24"/>
        </w:rPr>
        <w:t>（75%），与西班牙受访者S2"部分教授更偏向让学生直接找到正确答案"的描述一致。</w:t>
      </w:r>
    </w:p>
    <w:p w14:paraId="21B8ACD2">
      <w:pPr>
        <w:pStyle w:val="11"/>
        <w:numPr>
          <w:ilvl w:val="0"/>
          <w:numId w:val="15"/>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巴西呈现复杂图景：42.11%回避、26.32%给出标准答案、26.32%引导讨论——与巴西受访者B1"教育不培养思考和提问能力"的描述部分吻合，但也有相当比例教师鼓励讨论。</w:t>
      </w:r>
    </w:p>
    <w:p w14:paraId="5E56D58B">
      <w:pPr>
        <w:pStyle w:val="11"/>
        <w:numPr>
          <w:ilvl w:val="0"/>
          <w:numId w:val="15"/>
        </w:numPr>
        <w:ind w:left="425" w:leftChars="0" w:hanging="425" w:firstLineChars="0"/>
        <w:rPr>
          <w:rFonts w:hint="eastAsia"/>
        </w:rPr>
      </w:pPr>
      <w:r>
        <w:rPr>
          <w:rFonts w:ascii="Times New Roman" w:hAnsi="Times New Roman" w:eastAsia="宋体" w:cs="Times New Roman"/>
          <w:sz w:val="24"/>
          <w:szCs w:val="24"/>
        </w:rPr>
        <w:t>总体而言，</w:t>
      </w:r>
      <w:r>
        <w:rPr>
          <w:rFonts w:ascii="Times New Roman" w:hAnsi="Times New Roman" w:eastAsia="宋体" w:cs="Times New Roman"/>
          <w:b/>
          <w:bCs/>
          <w:sz w:val="24"/>
          <w:szCs w:val="24"/>
        </w:rPr>
        <w:t>"引导学生讨论"（40.62%）虽然是最大类别，但距离"讨论式课堂"的普遍化仍有距离。</w:t>
      </w:r>
    </w:p>
    <w:p w14:paraId="2E50D134">
      <w:pPr>
        <w:pStyle w:val="3"/>
        <w:rPr>
          <w:rFonts w:hint="eastAsia"/>
        </w:rPr>
      </w:pPr>
      <w:r>
        <w:rPr>
          <w:rFonts w:ascii="Times New Roman" w:hAnsi="Times New Roman" w:eastAsia="黑体" w:cs="Times New Roman"/>
          <w:kern w:val="2"/>
          <w:sz w:val="30"/>
          <w:szCs w:val="32"/>
          <w:lang w:bidi="ar-SA"/>
        </w:rPr>
        <w:t>3.3 教育价值观：三国差异最显著的维度</w:t>
      </w:r>
    </w:p>
    <w:p w14:paraId="3E39CA00">
      <w:pPr>
        <w:pStyle w:val="4"/>
        <w:rPr>
          <w:rFonts w:hint="eastAsia"/>
        </w:rPr>
      </w:pPr>
      <w:r>
        <w:rPr>
          <w:rFonts w:ascii="Times New Roman" w:hAnsi="Times New Roman" w:eastAsia="黑体" w:cs="Times New Roman"/>
          <w:kern w:val="2"/>
          <w:sz w:val="30"/>
          <w:szCs w:val="32"/>
          <w:lang w:bidi="ar-SA"/>
        </w:rPr>
        <w:t>3.3.1 家庭和学校最常灌输的观念</w:t>
      </w:r>
    </w:p>
    <w:p w14:paraId="07714BE5">
      <w:pPr>
        <w:spacing w:after="75" w:afterAutospacing="0"/>
        <w:jc w:val="center"/>
        <w:rPr>
          <w:rFonts w:hint="eastAsia" w:ascii="宋体" w:hAnsi="宋体" w:eastAsia="宋体" w:cs="宋体"/>
          <w:b/>
          <w:bCs/>
          <w:sz w:val="21"/>
          <w:szCs w:val="21"/>
        </w:rPr>
      </w:pPr>
      <w:r>
        <w:rPr>
          <w:rFonts w:hint="eastAsia" w:ascii="宋体" w:hAnsi="宋体" w:eastAsia="宋体" w:cs="宋体"/>
          <w:b/>
          <w:bCs/>
          <w:sz w:val="21"/>
          <w:szCs w:val="21"/>
        </w:rPr>
        <w:t>不同国家观念占比表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93"/>
        <w:gridCol w:w="1068"/>
        <w:gridCol w:w="1237"/>
        <w:gridCol w:w="1068"/>
        <w:gridCol w:w="1060"/>
      </w:tblGrid>
      <w:tr w14:paraId="156B5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78E70B93">
            <w:pPr>
              <w:spacing w:beforeAutospacing="0" w:afterAutospacing="0"/>
              <w:ind w:right="0"/>
              <w:jc w:val="center"/>
              <w:rPr>
                <w:rFonts w:hint="eastAsia" w:ascii="宋体" w:hAnsi="宋体" w:eastAsia="宋体" w:cs="宋体"/>
                <w:b/>
                <w:bCs/>
              </w:rPr>
            </w:pPr>
            <w:r>
              <w:rPr>
                <w:rFonts w:hint="eastAsia" w:ascii="宋体" w:hAnsi="宋体" w:eastAsia="宋体" w:cs="宋体"/>
                <w:b/>
                <w:bCs/>
              </w:rPr>
              <w:t>观念</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34799E86">
            <w:pPr>
              <w:spacing w:beforeAutospacing="0" w:afterAutospacing="0"/>
              <w:ind w:right="0"/>
              <w:jc w:val="center"/>
              <w:rPr>
                <w:rFonts w:hint="eastAsia" w:ascii="宋体" w:hAnsi="宋体" w:eastAsia="宋体" w:cs="宋体"/>
                <w:b/>
                <w:bCs/>
              </w:rPr>
            </w:pPr>
            <w:r>
              <w:rPr>
                <w:rFonts w:hint="eastAsia" w:ascii="宋体" w:hAnsi="宋体" w:eastAsia="宋体" w:cs="宋体"/>
                <w:b/>
                <w:bCs/>
              </w:rPr>
              <w:t>中国</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64F0385E">
            <w:pPr>
              <w:spacing w:beforeAutospacing="0" w:afterAutospacing="0"/>
              <w:ind w:right="0"/>
              <w:jc w:val="center"/>
              <w:rPr>
                <w:rFonts w:hint="eastAsia" w:ascii="宋体" w:hAnsi="宋体" w:eastAsia="宋体" w:cs="宋体"/>
                <w:b/>
                <w:bCs/>
              </w:rPr>
            </w:pPr>
            <w:r>
              <w:rPr>
                <w:rFonts w:hint="eastAsia" w:ascii="宋体" w:hAnsi="宋体" w:eastAsia="宋体" w:cs="宋体"/>
                <w:b/>
                <w:bCs/>
              </w:rPr>
              <w:t>西班牙</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4539353D">
            <w:pPr>
              <w:spacing w:beforeAutospacing="0" w:afterAutospacing="0"/>
              <w:ind w:right="0"/>
              <w:jc w:val="center"/>
              <w:rPr>
                <w:rFonts w:hint="eastAsia" w:ascii="宋体" w:hAnsi="宋体" w:eastAsia="宋体" w:cs="宋体"/>
                <w:b/>
                <w:bCs/>
              </w:rPr>
            </w:pPr>
            <w:r>
              <w:rPr>
                <w:rFonts w:hint="eastAsia" w:ascii="宋体" w:hAnsi="宋体" w:eastAsia="宋体" w:cs="宋体"/>
                <w:b/>
                <w:bCs/>
              </w:rPr>
              <w:t>巴西</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64E0DDF3">
            <w:pPr>
              <w:spacing w:beforeAutospacing="0" w:afterAutospacing="0"/>
              <w:ind w:right="0"/>
              <w:jc w:val="center"/>
              <w:rPr>
                <w:rFonts w:hint="eastAsia" w:ascii="宋体" w:hAnsi="宋体" w:eastAsia="宋体" w:cs="宋体"/>
                <w:b/>
                <w:bCs/>
              </w:rPr>
            </w:pPr>
            <w:r>
              <w:rPr>
                <w:rFonts w:hint="eastAsia" w:ascii="宋体" w:hAnsi="宋体" w:eastAsia="宋体" w:cs="宋体"/>
                <w:b/>
                <w:bCs/>
              </w:rPr>
              <w:t>总体</w:t>
            </w:r>
          </w:p>
        </w:tc>
      </w:tr>
      <w:tr w14:paraId="29566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E3D4F5B">
            <w:pPr>
              <w:spacing w:beforeAutospacing="0" w:afterAutospacing="0"/>
              <w:ind w:right="0"/>
              <w:jc w:val="center"/>
              <w:rPr>
                <w:rFonts w:hint="eastAsia" w:ascii="宋体" w:hAnsi="宋体" w:eastAsia="宋体" w:cs="宋体"/>
              </w:rPr>
            </w:pPr>
            <w:r>
              <w:rPr>
                <w:rFonts w:hint="eastAsia" w:ascii="宋体" w:hAnsi="宋体" w:eastAsia="宋体" w:cs="宋体"/>
              </w:rPr>
              <w:t>听话懂事，遵守规则</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EF2B865">
            <w:pPr>
              <w:spacing w:beforeAutospacing="0" w:afterAutospacing="0"/>
              <w:ind w:right="0"/>
              <w:jc w:val="right"/>
              <w:rPr>
                <w:rFonts w:hint="eastAsia" w:ascii="宋体" w:hAnsi="宋体" w:eastAsia="宋体" w:cs="宋体"/>
              </w:rPr>
            </w:pPr>
            <w:r>
              <w:rPr>
                <w:rFonts w:hint="eastAsia" w:ascii="宋体" w:hAnsi="宋体" w:eastAsia="宋体" w:cs="宋体"/>
              </w:rPr>
              <w:t>33.3%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AE63F29">
            <w:pPr>
              <w:spacing w:beforeAutospacing="0" w:afterAutospacing="0"/>
              <w:ind w:right="0"/>
              <w:jc w:val="right"/>
              <w:rPr>
                <w:rFonts w:hint="eastAsia" w:ascii="宋体" w:hAnsi="宋体" w:eastAsia="宋体" w:cs="宋体"/>
              </w:rPr>
            </w:pPr>
            <w:r>
              <w:rPr>
                <w:rFonts w:hint="eastAsia" w:ascii="宋体" w:hAnsi="宋体" w:eastAsia="宋体" w:cs="宋体"/>
              </w:rPr>
              <w:t>50.0%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89B307A">
            <w:pPr>
              <w:spacing w:beforeAutospacing="0" w:afterAutospacing="0"/>
              <w:ind w:right="0"/>
              <w:jc w:val="right"/>
              <w:rPr>
                <w:rFonts w:hint="eastAsia" w:ascii="宋体" w:hAnsi="宋体" w:eastAsia="宋体" w:cs="宋体"/>
              </w:rPr>
            </w:pPr>
            <w:r>
              <w:rPr>
                <w:rFonts w:hint="eastAsia" w:ascii="宋体" w:hAnsi="宋体" w:eastAsia="宋体" w:cs="宋体"/>
                <w:b/>
              </w:rPr>
              <w:t>57.9%</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7813A1F">
            <w:pPr>
              <w:spacing w:beforeAutospacing="0" w:afterAutospacing="0"/>
              <w:ind w:right="0"/>
              <w:jc w:val="right"/>
              <w:rPr>
                <w:rFonts w:hint="eastAsia" w:ascii="宋体" w:hAnsi="宋体" w:eastAsia="宋体" w:cs="宋体"/>
              </w:rPr>
            </w:pPr>
            <w:r>
              <w:rPr>
                <w:rFonts w:hint="eastAsia" w:ascii="宋体" w:hAnsi="宋体" w:eastAsia="宋体" w:cs="宋体"/>
              </w:rPr>
              <w:t>46.9%</w:t>
            </w:r>
          </w:p>
        </w:tc>
      </w:tr>
      <w:tr w14:paraId="629DF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BD0B145">
            <w:pPr>
              <w:spacing w:beforeAutospacing="0" w:afterAutospacing="0"/>
              <w:ind w:right="0"/>
              <w:jc w:val="center"/>
              <w:rPr>
                <w:rFonts w:hint="eastAsia" w:ascii="宋体" w:hAnsi="宋体" w:eastAsia="宋体" w:cs="宋体"/>
              </w:rPr>
            </w:pPr>
            <w:r>
              <w:rPr>
                <w:rFonts w:hint="eastAsia" w:ascii="宋体" w:hAnsi="宋体" w:eastAsia="宋体" w:cs="宋体"/>
              </w:rPr>
              <w:t>独立思考，敢于质疑</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249AA68">
            <w:pPr>
              <w:spacing w:beforeAutospacing="0" w:afterAutospacing="0"/>
              <w:ind w:right="0"/>
              <w:jc w:val="right"/>
              <w:rPr>
                <w:rFonts w:hint="eastAsia" w:ascii="宋体" w:hAnsi="宋体" w:eastAsia="宋体" w:cs="宋体"/>
              </w:rPr>
            </w:pPr>
            <w:r>
              <w:rPr>
                <w:rFonts w:hint="eastAsia" w:ascii="宋体" w:hAnsi="宋体" w:eastAsia="宋体" w:cs="宋体"/>
                <w:b/>
              </w:rPr>
              <w:t>44.4%</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CB0D8C7">
            <w:pPr>
              <w:spacing w:beforeAutospacing="0" w:afterAutospacing="0"/>
              <w:ind w:right="0"/>
              <w:jc w:val="right"/>
              <w:rPr>
                <w:rFonts w:hint="eastAsia" w:ascii="宋体" w:hAnsi="宋体" w:eastAsia="宋体" w:cs="宋体"/>
              </w:rPr>
            </w:pPr>
            <w:r>
              <w:rPr>
                <w:rFonts w:hint="eastAsia" w:ascii="宋体" w:hAnsi="宋体" w:eastAsia="宋体" w:cs="宋体"/>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B688B1C">
            <w:pPr>
              <w:spacing w:beforeAutospacing="0" w:afterAutospacing="0"/>
              <w:ind w:right="0"/>
              <w:jc w:val="right"/>
              <w:rPr>
                <w:rFonts w:hint="eastAsia" w:ascii="宋体" w:hAnsi="宋体" w:eastAsia="宋体" w:cs="宋体"/>
              </w:rPr>
            </w:pPr>
            <w:r>
              <w:rPr>
                <w:rFonts w:hint="eastAsia" w:ascii="宋体" w:hAnsi="宋体" w:eastAsia="宋体" w:cs="宋体"/>
              </w:rPr>
              <w:t>15.8%</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D002920">
            <w:pPr>
              <w:spacing w:beforeAutospacing="0" w:afterAutospacing="0"/>
              <w:ind w:right="0"/>
              <w:jc w:val="right"/>
              <w:rPr>
                <w:rFonts w:hint="eastAsia" w:ascii="宋体" w:hAnsi="宋体" w:eastAsia="宋体" w:cs="宋体"/>
              </w:rPr>
            </w:pPr>
            <w:r>
              <w:rPr>
                <w:rFonts w:hint="eastAsia" w:ascii="宋体" w:hAnsi="宋体" w:eastAsia="宋体" w:cs="宋体"/>
              </w:rPr>
              <w:t>25.0%</w:t>
            </w:r>
          </w:p>
        </w:tc>
      </w:tr>
      <w:tr w14:paraId="6C70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28A8C68">
            <w:pPr>
              <w:spacing w:beforeAutospacing="0" w:afterAutospacing="0"/>
              <w:ind w:right="0"/>
              <w:jc w:val="center"/>
              <w:rPr>
                <w:rFonts w:hint="eastAsia" w:ascii="宋体" w:hAnsi="宋体" w:eastAsia="宋体" w:cs="宋体"/>
              </w:rPr>
            </w:pPr>
            <w:r>
              <w:rPr>
                <w:rFonts w:hint="eastAsia" w:ascii="宋体" w:hAnsi="宋体" w:eastAsia="宋体" w:cs="宋体"/>
              </w:rPr>
              <w:t>努力学习，取得好成绩</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0676A09">
            <w:pPr>
              <w:spacing w:beforeAutospacing="0" w:afterAutospacing="0"/>
              <w:ind w:right="0"/>
              <w:jc w:val="right"/>
              <w:rPr>
                <w:rFonts w:hint="eastAsia" w:ascii="宋体" w:hAnsi="宋体" w:eastAsia="宋体" w:cs="宋体"/>
              </w:rPr>
            </w:pPr>
            <w:r>
              <w:rPr>
                <w:rFonts w:hint="eastAsia" w:ascii="宋体" w:hAnsi="宋体" w:eastAsia="宋体" w:cs="宋体"/>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3F07D7B">
            <w:pPr>
              <w:spacing w:beforeAutospacing="0" w:afterAutospacing="0"/>
              <w:ind w:right="0"/>
              <w:jc w:val="right"/>
              <w:rPr>
                <w:rFonts w:hint="eastAsia" w:ascii="宋体" w:hAnsi="宋体" w:eastAsia="宋体" w:cs="宋体"/>
              </w:rPr>
            </w:pPr>
            <w:r>
              <w:rPr>
                <w:rFonts w:hint="eastAsia" w:ascii="宋体" w:hAnsi="宋体" w:eastAsia="宋体" w:cs="宋体"/>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8818577">
            <w:pPr>
              <w:spacing w:beforeAutospacing="0" w:afterAutospacing="0"/>
              <w:ind w:right="0"/>
              <w:jc w:val="right"/>
              <w:rPr>
                <w:rFonts w:hint="eastAsia" w:ascii="宋体" w:hAnsi="宋体" w:eastAsia="宋体" w:cs="宋体"/>
              </w:rPr>
            </w:pPr>
            <w:r>
              <w:rPr>
                <w:rFonts w:hint="eastAsia" w:ascii="宋体" w:hAnsi="宋体" w:eastAsia="宋体" w:cs="宋体"/>
                <w:b/>
              </w:rPr>
              <w:t>21.1%</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689849D">
            <w:pPr>
              <w:spacing w:beforeAutospacing="0" w:afterAutospacing="0"/>
              <w:ind w:right="0"/>
              <w:jc w:val="right"/>
              <w:rPr>
                <w:rFonts w:hint="eastAsia" w:ascii="宋体" w:hAnsi="宋体" w:eastAsia="宋体" w:cs="宋体"/>
              </w:rPr>
            </w:pPr>
            <w:r>
              <w:rPr>
                <w:rFonts w:hint="eastAsia" w:ascii="宋体" w:hAnsi="宋体" w:eastAsia="宋体" w:cs="宋体"/>
              </w:rPr>
              <w:t>12.5%</w:t>
            </w:r>
          </w:p>
        </w:tc>
      </w:tr>
      <w:tr w14:paraId="7C8D7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2652D0A">
            <w:pPr>
              <w:spacing w:beforeAutospacing="0" w:afterAutospacing="0"/>
              <w:ind w:right="0"/>
              <w:jc w:val="center"/>
              <w:rPr>
                <w:rFonts w:hint="eastAsia" w:ascii="宋体" w:hAnsi="宋体" w:eastAsia="宋体" w:cs="宋体"/>
              </w:rPr>
            </w:pPr>
            <w:r>
              <w:rPr>
                <w:rFonts w:hint="eastAsia" w:ascii="宋体" w:hAnsi="宋体" w:eastAsia="宋体" w:cs="宋体"/>
              </w:rPr>
              <w:t>全面发展，提升综合能力</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5F1DB40">
            <w:pPr>
              <w:spacing w:beforeAutospacing="0" w:afterAutospacing="0"/>
              <w:ind w:right="0"/>
              <w:jc w:val="right"/>
              <w:rPr>
                <w:rFonts w:hint="eastAsia" w:ascii="宋体" w:hAnsi="宋体" w:eastAsia="宋体" w:cs="宋体"/>
              </w:rPr>
            </w:pPr>
            <w:r>
              <w:rPr>
                <w:rFonts w:hint="eastAsia" w:ascii="宋体" w:hAnsi="宋体" w:eastAsia="宋体" w:cs="宋体"/>
              </w:rPr>
              <w:t>22.2%</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9F639BD">
            <w:pPr>
              <w:spacing w:beforeAutospacing="0" w:afterAutospacing="0"/>
              <w:ind w:right="0"/>
              <w:jc w:val="right"/>
              <w:rPr>
                <w:rFonts w:hint="eastAsia" w:ascii="宋体" w:hAnsi="宋体" w:eastAsia="宋体" w:cs="宋体"/>
              </w:rPr>
            </w:pPr>
            <w:r>
              <w:rPr>
                <w:rFonts w:hint="eastAsia" w:ascii="宋体" w:hAnsi="宋体" w:eastAsia="宋体" w:cs="宋体"/>
                <w:b/>
              </w:rPr>
              <w:t>50.0%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7DF2B88">
            <w:pPr>
              <w:spacing w:beforeAutospacing="0" w:afterAutospacing="0"/>
              <w:ind w:right="0"/>
              <w:jc w:val="right"/>
              <w:rPr>
                <w:rFonts w:hint="eastAsia" w:ascii="宋体" w:hAnsi="宋体" w:eastAsia="宋体" w:cs="宋体"/>
              </w:rPr>
            </w:pPr>
            <w:r>
              <w:rPr>
                <w:rFonts w:hint="eastAsia" w:ascii="宋体" w:hAnsi="宋体" w:eastAsia="宋体" w:cs="宋体"/>
              </w:rPr>
              <w:t>5.3%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53A10ED">
            <w:pPr>
              <w:spacing w:beforeAutospacing="0" w:afterAutospacing="0"/>
              <w:ind w:right="0"/>
              <w:jc w:val="right"/>
              <w:rPr>
                <w:rFonts w:hint="eastAsia" w:ascii="宋体" w:hAnsi="宋体" w:eastAsia="宋体" w:cs="宋体"/>
              </w:rPr>
            </w:pPr>
            <w:r>
              <w:rPr>
                <w:rFonts w:hint="eastAsia" w:ascii="宋体" w:hAnsi="宋体" w:eastAsia="宋体" w:cs="宋体"/>
              </w:rPr>
              <w:t>15.6%</w:t>
            </w:r>
          </w:p>
        </w:tc>
      </w:tr>
    </w:tbl>
    <w:p w14:paraId="1391CE53">
      <w:pPr>
        <w:rPr>
          <w:rFonts w:hint="eastAsia"/>
        </w:rPr>
      </w:pPr>
    </w:p>
    <w:p w14:paraId="0D9C7F44">
      <w:pPr>
        <w:pStyle w:val="11"/>
        <w:rPr>
          <w:rFonts w:hint="eastAsia"/>
        </w:rPr>
      </w:pPr>
      <w:r>
        <w:rPr>
          <w:rFonts w:ascii="Times New Roman" w:hAnsi="Times New Roman" w:eastAsia="宋体" w:cs="Times New Roman"/>
          <w:b/>
          <w:sz w:val="24"/>
          <w:szCs w:val="24"/>
        </w:rPr>
        <w:t>关键发现</w:t>
      </w:r>
      <w:r>
        <w:rPr>
          <w:rFonts w:ascii="Times New Roman" w:hAnsi="Times New Roman" w:eastAsia="宋体" w:cs="Times New Roman"/>
          <w:sz w:val="24"/>
          <w:szCs w:val="24"/>
        </w:rPr>
        <w:t>：</w:t>
      </w:r>
    </w:p>
    <w:p w14:paraId="6E8E18EA">
      <w:pPr>
        <w:pStyle w:val="11"/>
        <w:numPr>
          <w:ilvl w:val="0"/>
          <w:numId w:val="16"/>
        </w:numPr>
        <w:ind w:left="425" w:leftChars="0" w:hanging="425" w:firstLineChars="0"/>
        <w:rPr>
          <w:rFonts w:hint="eastAsia"/>
        </w:rPr>
      </w:pPr>
      <w:r>
        <w:rPr>
          <w:rFonts w:ascii="Times New Roman" w:hAnsi="Times New Roman" w:eastAsia="宋体" w:cs="Times New Roman"/>
          <w:b/>
          <w:sz w:val="24"/>
          <w:szCs w:val="24"/>
        </w:rPr>
        <w:t>"听话懂事"是三国最共同的教育价值</w:t>
      </w:r>
      <w:r>
        <w:rPr>
          <w:rFonts w:ascii="Times New Roman" w:hAnsi="Times New Roman" w:eastAsia="宋体" w:cs="Times New Roman"/>
          <w:sz w:val="24"/>
          <w:szCs w:val="24"/>
        </w:rPr>
        <w:t>（总体46.88%），巴西最高（57.89%）。</w:t>
      </w:r>
    </w:p>
    <w:p w14:paraId="61938A0C">
      <w:pPr>
        <w:pStyle w:val="11"/>
        <w:numPr>
          <w:ilvl w:val="0"/>
          <w:numId w:val="16"/>
        </w:numPr>
        <w:ind w:left="425" w:leftChars="0" w:hanging="425" w:firstLineChars="0"/>
        <w:rPr>
          <w:rFonts w:hint="eastAsia"/>
        </w:rPr>
      </w:pPr>
      <w:r>
        <w:rPr>
          <w:rFonts w:ascii="Times New Roman" w:hAnsi="Times New Roman" w:eastAsia="宋体" w:cs="Times New Roman"/>
          <w:sz w:val="24"/>
          <w:szCs w:val="24"/>
        </w:rPr>
        <w:t>中国44.44%选择"独立思考，敢于质疑"——</w:t>
      </w:r>
      <w:r>
        <w:rPr>
          <w:rFonts w:ascii="Times New Roman" w:hAnsi="Times New Roman" w:eastAsia="宋体" w:cs="Times New Roman"/>
          <w:b/>
          <w:sz w:val="24"/>
          <w:szCs w:val="24"/>
        </w:rPr>
        <w:t>这一比例远高于问卷中其他任何群体</w:t>
      </w:r>
      <w:r>
        <w:rPr>
          <w:rFonts w:ascii="Times New Roman" w:hAnsi="Times New Roman" w:eastAsia="宋体" w:cs="Times New Roman"/>
          <w:sz w:val="24"/>
          <w:szCs w:val="24"/>
        </w:rPr>
        <w:t>。但需注意，这</w:t>
      </w:r>
      <w:r>
        <w:rPr>
          <w:rFonts w:ascii="Times New Roman" w:hAnsi="Times New Roman" w:eastAsia="宋体" w:cs="Times New Roman"/>
          <w:b/>
          <w:sz w:val="24"/>
          <w:szCs w:val="24"/>
        </w:rPr>
        <w:t>不代表中国教育真的培养了批判性思维</w:t>
      </w:r>
      <w:r>
        <w:rPr>
          <w:rFonts w:ascii="Times New Roman" w:hAnsi="Times New Roman" w:eastAsia="宋体" w:cs="Times New Roman"/>
          <w:sz w:val="24"/>
          <w:szCs w:val="24"/>
        </w:rPr>
        <w:t>，而可能反映：①中国学生将"独立思考"理解为"在学习中自己琢磨"而非"质疑权威"；②问卷中的"家庭和学校灌输"与"实际课堂体验"可能存在差距（对照Q8中中国"批判性思维培养"仅11.11%）。</w:t>
      </w:r>
    </w:p>
    <w:p w14:paraId="56423C56">
      <w:pPr>
        <w:pStyle w:val="11"/>
        <w:numPr>
          <w:ilvl w:val="0"/>
          <w:numId w:val="16"/>
        </w:numPr>
        <w:ind w:left="425" w:leftChars="0" w:hanging="425" w:firstLineChars="0"/>
        <w:rPr>
          <w:rFonts w:hint="eastAsia"/>
        </w:rPr>
      </w:pPr>
      <w:r>
        <w:rPr>
          <w:rFonts w:ascii="Times New Roman" w:hAnsi="Times New Roman" w:eastAsia="宋体" w:cs="Times New Roman"/>
          <w:sz w:val="24"/>
          <w:szCs w:val="24"/>
        </w:rPr>
        <w:t>西班牙50%选择"全面发展"，与其教育价值观中的素质导向一致。</w:t>
      </w:r>
    </w:p>
    <w:p w14:paraId="53725A35">
      <w:pPr>
        <w:pStyle w:val="4"/>
        <w:rPr>
          <w:rFonts w:hint="eastAsia"/>
        </w:rPr>
      </w:pPr>
      <w:r>
        <w:rPr>
          <w:rFonts w:ascii="Times New Roman" w:hAnsi="Times New Roman" w:eastAsia="黑体" w:cs="Times New Roman"/>
          <w:kern w:val="2"/>
          <w:sz w:val="30"/>
          <w:szCs w:val="32"/>
          <w:lang w:bidi="ar-SA"/>
        </w:rPr>
        <w:t>3.3.2 最能培养社会所需能力的教育评价方式</w:t>
      </w:r>
    </w:p>
    <w:p w14:paraId="6C046C7B">
      <w:pPr>
        <w:spacing w:after="75" w:afterAutospacing="0"/>
        <w:jc w:val="center"/>
        <w:rPr>
          <w:rFonts w:hint="eastAsia" w:ascii="宋体" w:hAnsi="宋体" w:eastAsia="宋体" w:cs="宋体"/>
          <w:b/>
          <w:bCs/>
          <w:sz w:val="21"/>
          <w:szCs w:val="21"/>
        </w:rPr>
      </w:pPr>
      <w:r>
        <w:rPr>
          <w:rFonts w:hint="eastAsia" w:ascii="宋体" w:hAnsi="宋体" w:eastAsia="宋体" w:cs="宋体"/>
          <w:b/>
          <w:bCs/>
          <w:sz w:val="21"/>
          <w:szCs w:val="21"/>
        </w:rPr>
        <w:t>各评价方式在不同国家及总体的占比情况表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5"/>
        <w:gridCol w:w="986"/>
        <w:gridCol w:w="1143"/>
        <w:gridCol w:w="986"/>
        <w:gridCol w:w="986"/>
      </w:tblGrid>
      <w:tr w14:paraId="72507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3BAE92D2">
            <w:pPr>
              <w:spacing w:beforeAutospacing="0" w:afterAutospacing="0"/>
              <w:ind w:right="0"/>
              <w:jc w:val="center"/>
              <w:rPr>
                <w:rFonts w:hint="eastAsia" w:ascii="宋体" w:hAnsi="宋体" w:eastAsia="宋体" w:cs="宋体"/>
                <w:b/>
                <w:bCs/>
              </w:rPr>
            </w:pPr>
            <w:r>
              <w:rPr>
                <w:rFonts w:hint="eastAsia" w:ascii="宋体" w:hAnsi="宋体" w:eastAsia="宋体" w:cs="宋体"/>
                <w:b/>
                <w:bCs/>
              </w:rPr>
              <w:t>评价方式</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450ACE77">
            <w:pPr>
              <w:spacing w:beforeAutospacing="0" w:afterAutospacing="0"/>
              <w:ind w:right="0"/>
              <w:jc w:val="center"/>
              <w:rPr>
                <w:rFonts w:hint="eastAsia" w:ascii="宋体" w:hAnsi="宋体" w:eastAsia="宋体" w:cs="宋体"/>
                <w:b/>
                <w:bCs/>
              </w:rPr>
            </w:pPr>
            <w:r>
              <w:rPr>
                <w:rFonts w:hint="eastAsia" w:ascii="宋体" w:hAnsi="宋体" w:eastAsia="宋体" w:cs="宋体"/>
                <w:b/>
                <w:bCs/>
              </w:rPr>
              <w:t>中国</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6CDDD209">
            <w:pPr>
              <w:spacing w:beforeAutospacing="0" w:afterAutospacing="0"/>
              <w:ind w:right="0"/>
              <w:jc w:val="center"/>
              <w:rPr>
                <w:rFonts w:hint="eastAsia" w:ascii="宋体" w:hAnsi="宋体" w:eastAsia="宋体" w:cs="宋体"/>
                <w:b/>
                <w:bCs/>
              </w:rPr>
            </w:pPr>
            <w:r>
              <w:rPr>
                <w:rFonts w:hint="eastAsia" w:ascii="宋体" w:hAnsi="宋体" w:eastAsia="宋体" w:cs="宋体"/>
                <w:b/>
                <w:bCs/>
              </w:rPr>
              <w:t>西班牙</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5AE54659">
            <w:pPr>
              <w:spacing w:beforeAutospacing="0" w:afterAutospacing="0"/>
              <w:ind w:right="0"/>
              <w:jc w:val="center"/>
              <w:rPr>
                <w:rFonts w:hint="eastAsia" w:ascii="宋体" w:hAnsi="宋体" w:eastAsia="宋体" w:cs="宋体"/>
                <w:b/>
                <w:bCs/>
              </w:rPr>
            </w:pPr>
            <w:r>
              <w:rPr>
                <w:rFonts w:hint="eastAsia" w:ascii="宋体" w:hAnsi="宋体" w:eastAsia="宋体" w:cs="宋体"/>
                <w:b/>
                <w:bCs/>
              </w:rPr>
              <w:t>巴西</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2FD77885">
            <w:pPr>
              <w:spacing w:beforeAutospacing="0" w:afterAutospacing="0"/>
              <w:ind w:right="0"/>
              <w:jc w:val="center"/>
              <w:rPr>
                <w:rFonts w:hint="eastAsia" w:ascii="宋体" w:hAnsi="宋体" w:eastAsia="宋体" w:cs="宋体"/>
                <w:b/>
                <w:bCs/>
              </w:rPr>
            </w:pPr>
            <w:r>
              <w:rPr>
                <w:rFonts w:hint="eastAsia" w:ascii="宋体" w:hAnsi="宋体" w:eastAsia="宋体" w:cs="宋体"/>
                <w:b/>
                <w:bCs/>
              </w:rPr>
              <w:t>总体</w:t>
            </w:r>
          </w:p>
        </w:tc>
      </w:tr>
      <w:tr w14:paraId="7BAA6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A999915">
            <w:pPr>
              <w:spacing w:beforeAutospacing="0" w:afterAutospacing="0"/>
              <w:ind w:right="0"/>
              <w:jc w:val="center"/>
              <w:rPr>
                <w:rFonts w:hint="eastAsia" w:ascii="宋体" w:hAnsi="宋体" w:eastAsia="宋体" w:cs="宋体"/>
              </w:rPr>
            </w:pPr>
            <w:r>
              <w:rPr>
                <w:rFonts w:hint="eastAsia" w:ascii="宋体" w:hAnsi="宋体" w:eastAsia="宋体" w:cs="宋体"/>
              </w:rPr>
              <w:t>考试成绩为核心</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9D115C7">
            <w:pPr>
              <w:spacing w:beforeAutospacing="0" w:afterAutospacing="0"/>
              <w:ind w:right="0"/>
              <w:jc w:val="right"/>
              <w:rPr>
                <w:rFonts w:hint="eastAsia" w:ascii="宋体" w:hAnsi="宋体" w:eastAsia="宋体" w:cs="宋体"/>
              </w:rPr>
            </w:pPr>
            <w:r>
              <w:rPr>
                <w:rFonts w:hint="eastAsia" w:ascii="宋体" w:hAnsi="宋体" w:eastAsia="宋体" w:cs="宋体"/>
              </w:rPr>
              <w:t>11.1%</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EEBFE4A">
            <w:pPr>
              <w:spacing w:beforeAutospacing="0" w:afterAutospacing="0"/>
              <w:ind w:right="0"/>
              <w:jc w:val="right"/>
              <w:rPr>
                <w:rFonts w:hint="eastAsia" w:ascii="宋体" w:hAnsi="宋体" w:eastAsia="宋体" w:cs="宋体"/>
              </w:rPr>
            </w:pPr>
            <w:r>
              <w:rPr>
                <w:rFonts w:hint="eastAsia" w:ascii="宋体" w:hAnsi="宋体" w:eastAsia="宋体" w:cs="宋体"/>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D465A2D">
            <w:pPr>
              <w:spacing w:beforeAutospacing="0" w:afterAutospacing="0"/>
              <w:ind w:right="0"/>
              <w:jc w:val="right"/>
              <w:rPr>
                <w:rFonts w:hint="eastAsia" w:ascii="宋体" w:hAnsi="宋体" w:eastAsia="宋体" w:cs="宋体"/>
              </w:rPr>
            </w:pPr>
            <w:r>
              <w:rPr>
                <w:rFonts w:hint="eastAsia" w:ascii="宋体" w:hAnsi="宋体" w:eastAsia="宋体" w:cs="宋体"/>
              </w:rPr>
              <w:t>5.3%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FE2321D">
            <w:pPr>
              <w:spacing w:beforeAutospacing="0" w:afterAutospacing="0"/>
              <w:ind w:right="0"/>
              <w:jc w:val="right"/>
              <w:rPr>
                <w:rFonts w:hint="eastAsia" w:ascii="宋体" w:hAnsi="宋体" w:eastAsia="宋体" w:cs="宋体"/>
              </w:rPr>
            </w:pPr>
            <w:r>
              <w:rPr>
                <w:rFonts w:hint="eastAsia" w:ascii="宋体" w:hAnsi="宋体" w:eastAsia="宋体" w:cs="宋体"/>
              </w:rPr>
              <w:t>6.2%</w:t>
            </w:r>
          </w:p>
        </w:tc>
      </w:tr>
      <w:tr w14:paraId="54AC7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46B21EF">
            <w:pPr>
              <w:spacing w:beforeAutospacing="0" w:afterAutospacing="0"/>
              <w:ind w:right="0"/>
              <w:jc w:val="center"/>
              <w:rPr>
                <w:rFonts w:hint="eastAsia" w:ascii="宋体" w:hAnsi="宋体" w:eastAsia="宋体" w:cs="宋体"/>
              </w:rPr>
            </w:pPr>
            <w:r>
              <w:rPr>
                <w:rFonts w:hint="eastAsia" w:ascii="宋体" w:hAnsi="宋体" w:eastAsia="宋体" w:cs="宋体"/>
              </w:rPr>
              <w:t>多维度综合评价</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2051060">
            <w:pPr>
              <w:spacing w:beforeAutospacing="0" w:afterAutospacing="0"/>
              <w:ind w:right="0"/>
              <w:jc w:val="right"/>
              <w:rPr>
                <w:rFonts w:hint="eastAsia" w:ascii="宋体" w:hAnsi="宋体" w:eastAsia="宋体" w:cs="宋体"/>
              </w:rPr>
            </w:pPr>
            <w:r>
              <w:rPr>
                <w:rFonts w:hint="eastAsia" w:ascii="宋体" w:hAnsi="宋体" w:eastAsia="宋体" w:cs="宋体"/>
              </w:rPr>
              <w:t>11.1%</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F04E6EC">
            <w:pPr>
              <w:spacing w:beforeAutospacing="0" w:afterAutospacing="0"/>
              <w:ind w:right="0"/>
              <w:jc w:val="right"/>
              <w:rPr>
                <w:rFonts w:hint="eastAsia" w:ascii="宋体" w:hAnsi="宋体" w:eastAsia="宋体" w:cs="宋体"/>
              </w:rPr>
            </w:pPr>
            <w:r>
              <w:rPr>
                <w:rFonts w:hint="eastAsia" w:ascii="宋体" w:hAnsi="宋体" w:eastAsia="宋体" w:cs="宋体"/>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9B8381A">
            <w:pPr>
              <w:spacing w:beforeAutospacing="0" w:afterAutospacing="0"/>
              <w:ind w:right="0"/>
              <w:jc w:val="right"/>
              <w:rPr>
                <w:rFonts w:hint="eastAsia" w:ascii="宋体" w:hAnsi="宋体" w:eastAsia="宋体" w:cs="宋体"/>
              </w:rPr>
            </w:pPr>
            <w:r>
              <w:rPr>
                <w:rFonts w:hint="eastAsia" w:ascii="宋体" w:hAnsi="宋体" w:eastAsia="宋体" w:cs="宋体"/>
                <w:b/>
              </w:rPr>
              <w:t>36.8%</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27B28DC">
            <w:pPr>
              <w:spacing w:beforeAutospacing="0" w:afterAutospacing="0"/>
              <w:ind w:right="0"/>
              <w:jc w:val="right"/>
              <w:rPr>
                <w:rFonts w:hint="eastAsia" w:ascii="宋体" w:hAnsi="宋体" w:eastAsia="宋体" w:cs="宋体"/>
              </w:rPr>
            </w:pPr>
            <w:r>
              <w:rPr>
                <w:rFonts w:hint="eastAsia" w:ascii="宋体" w:hAnsi="宋体" w:eastAsia="宋体" w:cs="宋体"/>
                <w:b/>
              </w:rPr>
              <w:t>34.4%</w:t>
            </w:r>
          </w:p>
        </w:tc>
      </w:tr>
      <w:tr w14:paraId="2AD21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D311A5B">
            <w:pPr>
              <w:spacing w:beforeAutospacing="0" w:afterAutospacing="0"/>
              <w:ind w:right="0"/>
              <w:jc w:val="center"/>
              <w:rPr>
                <w:rFonts w:hint="eastAsia" w:ascii="宋体" w:hAnsi="宋体" w:eastAsia="宋体" w:cs="宋体"/>
              </w:rPr>
            </w:pPr>
            <w:r>
              <w:rPr>
                <w:rFonts w:hint="eastAsia" w:ascii="宋体" w:hAnsi="宋体" w:eastAsia="宋体" w:cs="宋体"/>
              </w:rPr>
              <w:t>项目成果为核心的实践性评价</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5475DD3">
            <w:pPr>
              <w:spacing w:beforeAutospacing="0" w:afterAutospacing="0"/>
              <w:ind w:right="0"/>
              <w:jc w:val="right"/>
              <w:rPr>
                <w:rFonts w:hint="eastAsia" w:ascii="宋体" w:hAnsi="宋体" w:eastAsia="宋体" w:cs="宋体"/>
              </w:rPr>
            </w:pPr>
            <w:r>
              <w:rPr>
                <w:rFonts w:hint="eastAsia" w:ascii="宋体" w:hAnsi="宋体" w:eastAsia="宋体" w:cs="宋体"/>
              </w:rPr>
              <w:t>33.3%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4AC55B5">
            <w:pPr>
              <w:spacing w:beforeAutospacing="0" w:afterAutospacing="0"/>
              <w:ind w:right="0"/>
              <w:jc w:val="right"/>
              <w:rPr>
                <w:rFonts w:hint="eastAsia" w:ascii="宋体" w:hAnsi="宋体" w:eastAsia="宋体" w:cs="宋体"/>
              </w:rPr>
            </w:pPr>
            <w:r>
              <w:rPr>
                <w:rFonts w:hint="eastAsia" w:ascii="宋体" w:hAnsi="宋体" w:eastAsia="宋体" w:cs="宋体"/>
                <w:b/>
              </w:rPr>
              <w:t>50.0%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53515A7">
            <w:pPr>
              <w:spacing w:beforeAutospacing="0" w:afterAutospacing="0"/>
              <w:ind w:right="0"/>
              <w:jc w:val="right"/>
              <w:rPr>
                <w:rFonts w:hint="eastAsia" w:ascii="宋体" w:hAnsi="宋体" w:eastAsia="宋体" w:cs="宋体"/>
              </w:rPr>
            </w:pPr>
            <w:r>
              <w:rPr>
                <w:rFonts w:hint="eastAsia" w:ascii="宋体" w:hAnsi="宋体" w:eastAsia="宋体" w:cs="宋体"/>
              </w:rPr>
              <w:t>31.6%</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CBA0358">
            <w:pPr>
              <w:spacing w:beforeAutospacing="0" w:afterAutospacing="0"/>
              <w:ind w:right="0"/>
              <w:jc w:val="right"/>
              <w:rPr>
                <w:rFonts w:hint="eastAsia" w:ascii="宋体" w:hAnsi="宋体" w:eastAsia="宋体" w:cs="宋体"/>
              </w:rPr>
            </w:pPr>
            <w:r>
              <w:rPr>
                <w:rFonts w:hint="eastAsia" w:ascii="宋体" w:hAnsi="宋体" w:eastAsia="宋体" w:cs="宋体"/>
              </w:rPr>
              <w:t>34.4%</w:t>
            </w:r>
          </w:p>
        </w:tc>
      </w:tr>
      <w:tr w14:paraId="36E6C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7F2586C">
            <w:pPr>
              <w:spacing w:beforeAutospacing="0" w:afterAutospacing="0"/>
              <w:ind w:right="0"/>
              <w:jc w:val="center"/>
              <w:rPr>
                <w:rFonts w:hint="eastAsia" w:ascii="宋体" w:hAnsi="宋体" w:eastAsia="宋体" w:cs="宋体"/>
              </w:rPr>
            </w:pPr>
            <w:r>
              <w:rPr>
                <w:rFonts w:hint="eastAsia" w:ascii="宋体" w:hAnsi="宋体" w:eastAsia="宋体" w:cs="宋体"/>
              </w:rPr>
              <w:t>同伴评价（peer review）</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B668BB0">
            <w:pPr>
              <w:spacing w:beforeAutospacing="0" w:afterAutospacing="0"/>
              <w:ind w:right="0"/>
              <w:jc w:val="right"/>
              <w:rPr>
                <w:rFonts w:hint="eastAsia" w:ascii="宋体" w:hAnsi="宋体" w:eastAsia="宋体" w:cs="宋体"/>
              </w:rPr>
            </w:pPr>
            <w:r>
              <w:rPr>
                <w:rFonts w:hint="eastAsia" w:ascii="宋体" w:hAnsi="宋体" w:eastAsia="宋体" w:cs="宋体"/>
                <w:b/>
              </w:rPr>
              <w:t>44.4%</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0CEE31C">
            <w:pPr>
              <w:spacing w:beforeAutospacing="0" w:afterAutospacing="0"/>
              <w:ind w:right="0"/>
              <w:jc w:val="right"/>
              <w:rPr>
                <w:rFonts w:hint="eastAsia" w:ascii="宋体" w:hAnsi="宋体" w:eastAsia="宋体" w:cs="宋体"/>
              </w:rPr>
            </w:pPr>
            <w:r>
              <w:rPr>
                <w:rFonts w:hint="eastAsia" w:ascii="宋体" w:hAnsi="宋体" w:eastAsia="宋体" w:cs="宋体"/>
              </w:rPr>
              <w:t>50.0%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A30AB2E">
            <w:pPr>
              <w:spacing w:beforeAutospacing="0" w:afterAutospacing="0"/>
              <w:ind w:right="0"/>
              <w:jc w:val="right"/>
              <w:rPr>
                <w:rFonts w:hint="eastAsia" w:ascii="宋体" w:hAnsi="宋体" w:eastAsia="宋体" w:cs="宋体"/>
              </w:rPr>
            </w:pPr>
            <w:r>
              <w:rPr>
                <w:rFonts w:hint="eastAsia" w:ascii="宋体" w:hAnsi="宋体" w:eastAsia="宋体" w:cs="宋体"/>
              </w:rPr>
              <w:t>26.3%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83CE9D6">
            <w:pPr>
              <w:spacing w:beforeAutospacing="0" w:afterAutospacing="0"/>
              <w:ind w:right="0"/>
              <w:jc w:val="right"/>
              <w:rPr>
                <w:rFonts w:hint="eastAsia" w:ascii="宋体" w:hAnsi="宋体" w:eastAsia="宋体" w:cs="宋体"/>
              </w:rPr>
            </w:pPr>
            <w:r>
              <w:rPr>
                <w:rFonts w:hint="eastAsia" w:ascii="宋体" w:hAnsi="宋体" w:eastAsia="宋体" w:cs="宋体"/>
              </w:rPr>
              <w:t>25.0%</w:t>
            </w:r>
          </w:p>
        </w:tc>
      </w:tr>
    </w:tbl>
    <w:p w14:paraId="1AD77B17">
      <w:pPr>
        <w:rPr>
          <w:rFonts w:hint="eastAsia"/>
        </w:rPr>
      </w:pPr>
    </w:p>
    <w:p w14:paraId="444F5EBD">
      <w:pPr>
        <w:pStyle w:val="11"/>
        <w:rPr>
          <w:rFonts w:hint="eastAsia"/>
        </w:rPr>
      </w:pPr>
      <w:r>
        <w:rPr>
          <w:rFonts w:ascii="Times New Roman" w:hAnsi="Times New Roman" w:eastAsia="宋体" w:cs="Times New Roman"/>
          <w:b/>
          <w:sz w:val="24"/>
          <w:szCs w:val="24"/>
        </w:rPr>
        <w:t>关键发现</w:t>
      </w:r>
      <w:r>
        <w:rPr>
          <w:rFonts w:ascii="Times New Roman" w:hAnsi="Times New Roman" w:eastAsia="宋体" w:cs="Times New Roman"/>
          <w:sz w:val="24"/>
          <w:szCs w:val="24"/>
        </w:rPr>
        <w:t>：</w:t>
      </w:r>
    </w:p>
    <w:p w14:paraId="35634D9D">
      <w:pPr>
        <w:pStyle w:val="11"/>
        <w:numPr>
          <w:ilvl w:val="0"/>
          <w:numId w:val="17"/>
        </w:numPr>
        <w:ind w:left="425" w:leftChars="0" w:hanging="425" w:firstLineChars="0"/>
        <w:rPr>
          <w:rFonts w:hint="eastAsia"/>
        </w:rPr>
      </w:pPr>
      <w:r>
        <w:rPr>
          <w:rFonts w:ascii="Times New Roman" w:hAnsi="Times New Roman" w:eastAsia="宋体" w:cs="Times New Roman"/>
          <w:sz w:val="24"/>
          <w:szCs w:val="24"/>
        </w:rPr>
        <w:t>三国学生均</w:t>
      </w:r>
      <w:r>
        <w:rPr>
          <w:rFonts w:ascii="Times New Roman" w:hAnsi="Times New Roman" w:eastAsia="宋体" w:cs="Times New Roman"/>
          <w:b/>
          <w:sz w:val="24"/>
          <w:szCs w:val="24"/>
        </w:rPr>
        <w:t>高度不认同"以考试成绩为核心"的评价方式</w:t>
      </w:r>
      <w:r>
        <w:rPr>
          <w:rFonts w:ascii="Times New Roman" w:hAnsi="Times New Roman" w:eastAsia="宋体" w:cs="Times New Roman"/>
          <w:sz w:val="24"/>
          <w:szCs w:val="24"/>
        </w:rPr>
        <w:t>——仅6.25%选择，为所有选项中最低。这与他们实际经历的评价体系（中国100%讲授式、科技课88.89%为副科）形成强烈反差，意味着学生清楚地意识到自己经历的教育评价方式并不能培养社会所需能力。</w:t>
      </w:r>
    </w:p>
    <w:p w14:paraId="09E487EE">
      <w:pPr>
        <w:pStyle w:val="11"/>
        <w:numPr>
          <w:ilvl w:val="0"/>
          <w:numId w:val="17"/>
        </w:numPr>
        <w:ind w:left="425" w:leftChars="0" w:hanging="425" w:firstLineChars="0"/>
        <w:rPr>
          <w:rFonts w:hint="eastAsia"/>
        </w:rPr>
      </w:pPr>
      <w:r>
        <w:rPr>
          <w:rFonts w:ascii="Times New Roman" w:hAnsi="Times New Roman" w:eastAsia="宋体" w:cs="Times New Roman"/>
          <w:b/>
          <w:sz w:val="24"/>
          <w:szCs w:val="24"/>
        </w:rPr>
        <w:t>"项目成果为核心的实践性评价"与"多维度综合评价"并列最高</w:t>
      </w:r>
      <w:r>
        <w:rPr>
          <w:rFonts w:ascii="Times New Roman" w:hAnsi="Times New Roman" w:eastAsia="宋体" w:cs="Times New Roman"/>
          <w:sz w:val="24"/>
          <w:szCs w:val="24"/>
        </w:rPr>
        <w:t>（均为34.38%），显示学生普遍期待更综合、更实践的评估方式。</w:t>
      </w:r>
    </w:p>
    <w:p w14:paraId="5A02C605">
      <w:pPr>
        <w:pStyle w:val="11"/>
        <w:numPr>
          <w:ilvl w:val="0"/>
          <w:numId w:val="17"/>
        </w:numPr>
        <w:ind w:left="425" w:leftChars="0" w:hanging="425" w:firstLineChars="0"/>
        <w:rPr>
          <w:rFonts w:hint="eastAsia"/>
        </w:rPr>
      </w:pPr>
      <w:r>
        <w:rPr>
          <w:rFonts w:ascii="Times New Roman" w:hAnsi="Times New Roman" w:eastAsia="宋体" w:cs="Times New Roman"/>
          <w:sz w:val="24"/>
          <w:szCs w:val="24"/>
        </w:rPr>
        <w:t>中国44.44%选择"同伴评价"，为三国最高，可能与中国学生问卷中44.44%选择"跨文化交流能力"作为大学培养重点有关，反映了对协作评估的重视。</w:t>
      </w:r>
    </w:p>
    <w:p w14:paraId="593E05B2">
      <w:pPr>
        <w:pStyle w:val="4"/>
      </w:pPr>
      <w:r>
        <w:rPr>
          <w:rFonts w:ascii="Times New Roman" w:hAnsi="Times New Roman" w:eastAsia="黑体" w:cs="Times New Roman"/>
          <w:kern w:val="2"/>
          <w:sz w:val="30"/>
          <w:szCs w:val="32"/>
          <w:lang w:bidi="ar-SA"/>
        </w:rPr>
        <w:t>3.3.3 教育经历为进入社会的"准备度"</w:t>
      </w:r>
    </w:p>
    <w:p w14:paraId="5CC1218F">
      <w:pPr>
        <w:spacing w:after="75" w:afterAutospacing="0"/>
        <w:jc w:val="center"/>
        <w:rPr>
          <w:rFonts w:hint="default" w:ascii="Times New Roman" w:hAnsi="Times New Roman" w:cs="Times New Roman"/>
          <w:b/>
          <w:bCs/>
          <w:sz w:val="21"/>
          <w:szCs w:val="21"/>
        </w:rPr>
      </w:pPr>
      <w:r>
        <w:rPr>
          <w:rFonts w:hint="default" w:ascii="Times New Roman" w:hAnsi="Times New Roman" w:cs="Times New Roman"/>
          <w:b/>
          <w:bCs/>
          <w:sz w:val="21"/>
          <w:szCs w:val="21"/>
        </w:rPr>
        <w:t>各国准备度数据统计表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4"/>
        <w:gridCol w:w="1112"/>
        <w:gridCol w:w="1264"/>
        <w:gridCol w:w="1113"/>
        <w:gridCol w:w="1113"/>
      </w:tblGrid>
      <w:tr w14:paraId="3EC2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5F60D62C">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准备度</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12A22839">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中国</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43898ECE">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西班牙</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796B9553">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巴西</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51DF3F96">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总体</w:t>
            </w:r>
          </w:p>
        </w:tc>
      </w:tr>
      <w:tr w14:paraId="20F9B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AB1B427">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完全没准备好</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E87747A">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4E27B71">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A455DBC">
            <w:pPr>
              <w:spacing w:beforeAutospacing="0" w:afterAutospacing="0"/>
              <w:ind w:right="0"/>
              <w:jc w:val="right"/>
              <w:rPr>
                <w:rFonts w:hint="default" w:ascii="Times New Roman" w:hAnsi="Times New Roman" w:cs="Times New Roman"/>
              </w:rPr>
            </w:pPr>
            <w:r>
              <w:rPr>
                <w:rFonts w:hint="default" w:ascii="Times New Roman" w:hAnsi="Times New Roman" w:cs="Times New Roman"/>
              </w:rPr>
              <w:t>31.6%</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8944C58">
            <w:pPr>
              <w:spacing w:beforeAutospacing="0" w:afterAutospacing="0"/>
              <w:ind w:right="0"/>
              <w:jc w:val="right"/>
              <w:rPr>
                <w:rFonts w:hint="default" w:ascii="Times New Roman" w:hAnsi="Times New Roman" w:cs="Times New Roman"/>
              </w:rPr>
            </w:pPr>
            <w:r>
              <w:rPr>
                <w:rFonts w:hint="default" w:ascii="Times New Roman" w:hAnsi="Times New Roman" w:cs="Times New Roman"/>
              </w:rPr>
              <w:t>18.8%</w:t>
            </w:r>
          </w:p>
        </w:tc>
      </w:tr>
      <w:tr w14:paraId="72453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5DCCEE1">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不太准备好/准备度一般</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3300D7F">
            <w:pPr>
              <w:spacing w:beforeAutospacing="0" w:afterAutospacing="0"/>
              <w:ind w:right="0"/>
              <w:jc w:val="right"/>
              <w:rPr>
                <w:rFonts w:hint="default" w:ascii="Times New Roman" w:hAnsi="Times New Roman" w:cs="Times New Roman"/>
              </w:rPr>
            </w:pPr>
            <w:r>
              <w:rPr>
                <w:rFonts w:hint="default" w:ascii="Times New Roman" w:hAnsi="Times New Roman" w:cs="Times New Roman"/>
              </w:rPr>
              <w:t>44.4%</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E041297">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AF565A0">
            <w:pPr>
              <w:spacing w:beforeAutospacing="0" w:afterAutospacing="0"/>
              <w:ind w:right="0"/>
              <w:jc w:val="right"/>
              <w:rPr>
                <w:rFonts w:hint="default" w:ascii="Times New Roman" w:hAnsi="Times New Roman" w:cs="Times New Roman"/>
              </w:rPr>
            </w:pPr>
            <w:r>
              <w:rPr>
                <w:rFonts w:hint="default" w:ascii="Times New Roman" w:hAnsi="Times New Roman" w:cs="Times New Roman"/>
              </w:rPr>
              <w:t>47.4%</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BF78E1E">
            <w:pPr>
              <w:spacing w:beforeAutospacing="0" w:afterAutospacing="0"/>
              <w:ind w:right="0"/>
              <w:jc w:val="right"/>
              <w:rPr>
                <w:rFonts w:hint="default" w:ascii="Times New Roman" w:hAnsi="Times New Roman" w:cs="Times New Roman"/>
              </w:rPr>
            </w:pPr>
            <w:r>
              <w:rPr>
                <w:rFonts w:hint="default" w:ascii="Times New Roman" w:hAnsi="Times New Roman" w:cs="Times New Roman"/>
              </w:rPr>
              <w:t>40.6%</w:t>
            </w:r>
          </w:p>
        </w:tc>
      </w:tr>
      <w:tr w14:paraId="5BB63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2B56E51">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基本准备好</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A582485">
            <w:pPr>
              <w:spacing w:beforeAutospacing="0" w:afterAutospacing="0"/>
              <w:ind w:right="0"/>
              <w:jc w:val="right"/>
              <w:rPr>
                <w:rFonts w:hint="default" w:ascii="Times New Roman" w:hAnsi="Times New Roman" w:cs="Times New Roman"/>
              </w:rPr>
            </w:pPr>
            <w:r>
              <w:rPr>
                <w:rFonts w:hint="default" w:ascii="Times New Roman" w:hAnsi="Times New Roman" w:cs="Times New Roman"/>
              </w:rPr>
              <w:t>33.3%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0756176">
            <w:pPr>
              <w:spacing w:beforeAutospacing="0" w:afterAutospacing="0"/>
              <w:ind w:right="0"/>
              <w:jc w:val="right"/>
              <w:rPr>
                <w:rFonts w:hint="default" w:ascii="Times New Roman" w:hAnsi="Times New Roman" w:cs="Times New Roman"/>
              </w:rPr>
            </w:pPr>
            <w:r>
              <w:rPr>
                <w:rFonts w:hint="default" w:ascii="Times New Roman" w:hAnsi="Times New Roman" w:cs="Times New Roman"/>
                <w:b/>
              </w:rPr>
              <w:t>75.0%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3FD6694">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21.1%</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7B8F1C6">
            <w:pPr>
              <w:spacing w:beforeAutospacing="0" w:afterAutospacing="0"/>
              <w:ind w:right="0"/>
              <w:jc w:val="right"/>
              <w:rPr>
                <w:rFonts w:hint="default" w:ascii="Times New Roman" w:hAnsi="Times New Roman" w:cs="Times New Roman"/>
              </w:rPr>
            </w:pPr>
            <w:r>
              <w:rPr>
                <w:rFonts w:hint="default" w:ascii="Times New Roman" w:hAnsi="Times New Roman" w:cs="Times New Roman"/>
              </w:rPr>
              <w:t>31.2%</w:t>
            </w:r>
          </w:p>
        </w:tc>
      </w:tr>
      <w:tr w14:paraId="69745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7E2C940">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完全准备好了</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F0C8B92">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22.2%</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37F6006">
            <w:pPr>
              <w:spacing w:beforeAutospacing="0" w:afterAutospacing="0"/>
              <w:ind w:right="0"/>
              <w:jc w:val="right"/>
              <w:rPr>
                <w:rFonts w:hint="default" w:ascii="Times New Roman" w:hAnsi="Times New Roman" w:cs="Times New Roman"/>
              </w:rPr>
            </w:pPr>
            <w:r>
              <w:rPr>
                <w:rFonts w:hint="default" w:ascii="Times New Roman" w:hAnsi="Times New Roman" w:cs="Times New Roman"/>
              </w:rPr>
              <w:t>25.0%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F21B5DA">
            <w:pPr>
              <w:spacing w:beforeAutospacing="0" w:afterAutospacing="0"/>
              <w:ind w:right="0"/>
              <w:jc w:val="right"/>
              <w:rPr>
                <w:rFonts w:hint="default" w:ascii="Times New Roman" w:hAnsi="Times New Roman" w:cs="Times New Roman"/>
              </w:rPr>
            </w:pPr>
            <w:r>
              <w:rPr>
                <w:rFonts w:hint="default" w:ascii="Times New Roman" w:hAnsi="Times New Roman" w:cs="Times New Roman"/>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73C910F">
            <w:pPr>
              <w:spacing w:beforeAutospacing="0" w:afterAutospacing="0"/>
              <w:ind w:right="0"/>
              <w:jc w:val="right"/>
              <w:rPr>
                <w:rFonts w:hint="default" w:ascii="Times New Roman" w:hAnsi="Times New Roman" w:cs="Times New Roman"/>
              </w:rPr>
            </w:pPr>
            <w:r>
              <w:rPr>
                <w:rFonts w:hint="default" w:ascii="Times New Roman" w:hAnsi="Times New Roman" w:cs="Times New Roman"/>
              </w:rPr>
              <w:t>9.4%</w:t>
            </w:r>
          </w:p>
        </w:tc>
      </w:tr>
    </w:tbl>
    <w:p w14:paraId="17A96092">
      <w:pPr>
        <w:rPr>
          <w:rFonts w:hint="eastAsia"/>
        </w:rPr>
      </w:pPr>
    </w:p>
    <w:p w14:paraId="0C095143">
      <w:pPr>
        <w:pStyle w:val="5"/>
        <w:rPr>
          <w:rFonts w:hint="eastAsia"/>
        </w:rPr>
      </w:pPr>
      <w:r>
        <w:t>关键发现：</w:t>
      </w:r>
    </w:p>
    <w:p w14:paraId="628377B4">
      <w:pPr>
        <w:pStyle w:val="11"/>
        <w:numPr>
          <w:ilvl w:val="0"/>
          <w:numId w:val="18"/>
        </w:numPr>
        <w:ind w:left="425" w:leftChars="0" w:hanging="425" w:firstLineChars="0"/>
        <w:rPr>
          <w:rFonts w:hint="eastAsia"/>
        </w:rPr>
      </w:pPr>
      <w:r>
        <w:rPr>
          <w:rFonts w:ascii="Times New Roman" w:hAnsi="Times New Roman" w:eastAsia="宋体" w:cs="Times New Roman"/>
          <w:b/>
          <w:sz w:val="24"/>
          <w:szCs w:val="24"/>
        </w:rPr>
        <w:t>巴西学生准备度最低</w:t>
      </w:r>
      <w:r>
        <w:rPr>
          <w:rFonts w:ascii="Times New Roman" w:hAnsi="Times New Roman" w:eastAsia="宋体" w:cs="Times New Roman"/>
          <w:sz w:val="24"/>
          <w:szCs w:val="24"/>
        </w:rPr>
        <w:t>：31.58%"完全没准备好"，47.37%"准备度一般"，无一人选择"完全准备好了"。</w:t>
      </w:r>
    </w:p>
    <w:p w14:paraId="28C34B77">
      <w:pPr>
        <w:pStyle w:val="11"/>
        <w:numPr>
          <w:ilvl w:val="0"/>
          <w:numId w:val="18"/>
        </w:numPr>
        <w:ind w:left="425" w:leftChars="0" w:hanging="425" w:firstLineChars="0"/>
        <w:rPr>
          <w:rFonts w:hint="eastAsia"/>
        </w:rPr>
      </w:pPr>
      <w:r>
        <w:rPr>
          <w:rFonts w:ascii="Times New Roman" w:hAnsi="Times New Roman" w:eastAsia="宋体" w:cs="Times New Roman"/>
          <w:b/>
          <w:sz w:val="24"/>
          <w:szCs w:val="24"/>
        </w:rPr>
        <w:t>西班牙学生准备度最高</w:t>
      </w:r>
      <w:r>
        <w:rPr>
          <w:rFonts w:ascii="Times New Roman" w:hAnsi="Times New Roman" w:eastAsia="宋体" w:cs="Times New Roman"/>
          <w:sz w:val="24"/>
          <w:szCs w:val="24"/>
        </w:rPr>
        <w:t>：75%"基本准备好"，25%"完全准备好了"，无人感觉"没准备好"。</w:t>
      </w:r>
    </w:p>
    <w:p w14:paraId="52A5448E">
      <w:pPr>
        <w:pStyle w:val="11"/>
        <w:numPr>
          <w:ilvl w:val="0"/>
          <w:numId w:val="18"/>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中国学生居中：44.44%"准备度一般"、33.33%"基本准备好"、22.22%"完全准备好了"。</w:t>
      </w:r>
    </w:p>
    <w:p w14:paraId="5F57EB50">
      <w:pPr>
        <w:pStyle w:val="11"/>
        <w:numPr>
          <w:ilvl w:val="0"/>
          <w:numId w:val="18"/>
        </w:numPr>
        <w:ind w:left="425" w:leftChars="0" w:hanging="425" w:firstLineChars="0"/>
        <w:rPr>
          <w:rFonts w:hint="eastAsia"/>
        </w:rPr>
      </w:pPr>
      <w:r>
        <w:rPr>
          <w:rFonts w:ascii="Times New Roman" w:hAnsi="Times New Roman" w:eastAsia="宋体" w:cs="Times New Roman"/>
          <w:sz w:val="24"/>
          <w:szCs w:val="24"/>
        </w:rPr>
        <w:t>总体仅9.38%感觉"完全准备好"，</w:t>
      </w:r>
      <w:r>
        <w:rPr>
          <w:rFonts w:ascii="Times New Roman" w:hAnsi="Times New Roman" w:eastAsia="宋体" w:cs="Times New Roman"/>
          <w:b/>
          <w:bCs/>
          <w:sz w:val="24"/>
          <w:szCs w:val="24"/>
        </w:rPr>
        <w:t>59.37%感觉"没准备好"或"准备度一般"</w:t>
      </w:r>
      <w:r>
        <w:rPr>
          <w:rFonts w:ascii="Times New Roman" w:hAnsi="Times New Roman" w:eastAsia="宋体" w:cs="Times New Roman"/>
          <w:sz w:val="24"/>
          <w:szCs w:val="24"/>
        </w:rPr>
        <w:t xml:space="preserve"> 。这意味着即使对于能够参加国际暑期学校的精英学生群体，教育经历与社会需求之间仍存在显著落差。</w:t>
      </w:r>
    </w:p>
    <w:p w14:paraId="53BABAE6">
      <w:pPr>
        <w:pStyle w:val="4"/>
        <w:rPr>
          <w:rFonts w:hint="eastAsia"/>
        </w:rPr>
      </w:pPr>
      <w:r>
        <w:rPr>
          <w:rFonts w:ascii="Times New Roman" w:hAnsi="Times New Roman" w:eastAsia="黑体" w:cs="Times New Roman"/>
          <w:kern w:val="2"/>
          <w:sz w:val="30"/>
          <w:szCs w:val="32"/>
          <w:lang w:bidi="ar-SA"/>
        </w:rPr>
        <w:t>3.3.4 希望未来子女接受的教育风格</w:t>
      </w:r>
    </w:p>
    <w:p w14:paraId="4EE082DD">
      <w:pPr>
        <w:spacing w:after="75" w:afterAutospacing="0"/>
        <w:jc w:val="center"/>
        <w:rPr>
          <w:rFonts w:hint="eastAsia" w:ascii="宋体" w:hAnsi="宋体" w:eastAsia="宋体" w:cs="宋体"/>
          <w:b/>
          <w:bCs/>
          <w:sz w:val="21"/>
          <w:szCs w:val="21"/>
        </w:rPr>
      </w:pPr>
      <w:r>
        <w:rPr>
          <w:rFonts w:hint="eastAsia" w:ascii="宋体" w:hAnsi="宋体" w:eastAsia="宋体" w:cs="宋体"/>
          <w:b/>
          <w:bCs/>
          <w:sz w:val="21"/>
          <w:szCs w:val="21"/>
        </w:rPr>
        <w:t>不同风格在各国及总体占比表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1"/>
        <w:gridCol w:w="1250"/>
        <w:gridCol w:w="1524"/>
        <w:gridCol w:w="1250"/>
        <w:gridCol w:w="1251"/>
      </w:tblGrid>
      <w:tr w14:paraId="7381B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5DC662A5">
            <w:pPr>
              <w:spacing w:beforeAutospacing="0" w:afterAutospacing="0"/>
              <w:ind w:right="0"/>
              <w:jc w:val="center"/>
              <w:rPr>
                <w:rFonts w:hint="eastAsia" w:ascii="宋体" w:hAnsi="宋体" w:eastAsia="宋体" w:cs="宋体"/>
                <w:b/>
                <w:bCs/>
              </w:rPr>
            </w:pPr>
            <w:r>
              <w:rPr>
                <w:rFonts w:hint="eastAsia" w:ascii="宋体" w:hAnsi="宋体" w:eastAsia="宋体" w:cs="宋体"/>
                <w:b/>
                <w:bCs/>
              </w:rPr>
              <w:t>风格</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31AE41F7">
            <w:pPr>
              <w:spacing w:beforeAutospacing="0" w:afterAutospacing="0"/>
              <w:ind w:right="0"/>
              <w:jc w:val="center"/>
              <w:rPr>
                <w:rFonts w:hint="eastAsia" w:ascii="宋体" w:hAnsi="宋体" w:eastAsia="宋体" w:cs="宋体"/>
                <w:b/>
                <w:bCs/>
              </w:rPr>
            </w:pPr>
            <w:r>
              <w:rPr>
                <w:rFonts w:hint="eastAsia" w:ascii="宋体" w:hAnsi="宋体" w:eastAsia="宋体" w:cs="宋体"/>
                <w:b/>
                <w:bCs/>
              </w:rPr>
              <w:t>中国占比</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687E421E">
            <w:pPr>
              <w:spacing w:beforeAutospacing="0" w:afterAutospacing="0"/>
              <w:ind w:right="0"/>
              <w:jc w:val="center"/>
              <w:rPr>
                <w:rFonts w:hint="eastAsia" w:ascii="宋体" w:hAnsi="宋体" w:eastAsia="宋体" w:cs="宋体"/>
                <w:b/>
                <w:bCs/>
              </w:rPr>
            </w:pPr>
            <w:r>
              <w:rPr>
                <w:rFonts w:hint="eastAsia" w:ascii="宋体" w:hAnsi="宋体" w:eastAsia="宋体" w:cs="宋体"/>
                <w:b/>
                <w:bCs/>
              </w:rPr>
              <w:t>西班牙占比</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1C112D57">
            <w:pPr>
              <w:spacing w:beforeAutospacing="0" w:afterAutospacing="0"/>
              <w:ind w:right="0"/>
              <w:jc w:val="center"/>
              <w:rPr>
                <w:rFonts w:hint="eastAsia" w:ascii="宋体" w:hAnsi="宋体" w:eastAsia="宋体" w:cs="宋体"/>
                <w:b/>
                <w:bCs/>
              </w:rPr>
            </w:pPr>
            <w:r>
              <w:rPr>
                <w:rFonts w:hint="eastAsia" w:ascii="宋体" w:hAnsi="宋体" w:eastAsia="宋体" w:cs="宋体"/>
                <w:b/>
                <w:bCs/>
              </w:rPr>
              <w:t>巴西占比</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07CA9EC8">
            <w:pPr>
              <w:spacing w:beforeAutospacing="0" w:afterAutospacing="0"/>
              <w:ind w:right="0"/>
              <w:jc w:val="center"/>
              <w:rPr>
                <w:rFonts w:hint="eastAsia" w:ascii="宋体" w:hAnsi="宋体" w:eastAsia="宋体" w:cs="宋体"/>
                <w:b/>
                <w:bCs/>
              </w:rPr>
            </w:pPr>
            <w:r>
              <w:rPr>
                <w:rFonts w:hint="eastAsia" w:ascii="宋体" w:hAnsi="宋体" w:eastAsia="宋体" w:cs="宋体"/>
                <w:b/>
                <w:bCs/>
              </w:rPr>
              <w:t>总体占比</w:t>
            </w:r>
          </w:p>
        </w:tc>
      </w:tr>
      <w:tr w14:paraId="217C8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E22F19E">
            <w:pPr>
              <w:spacing w:beforeAutospacing="0" w:afterAutospacing="0"/>
              <w:ind w:right="0"/>
              <w:jc w:val="center"/>
              <w:rPr>
                <w:rFonts w:hint="eastAsia" w:ascii="宋体" w:hAnsi="宋体" w:eastAsia="宋体" w:cs="宋体"/>
              </w:rPr>
            </w:pPr>
            <w:r>
              <w:rPr>
                <w:rFonts w:hint="eastAsia" w:ascii="宋体" w:hAnsi="宋体" w:eastAsia="宋体" w:cs="宋体"/>
              </w:rPr>
              <w:t>应试导向，成绩优先</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45CC2F6">
            <w:pPr>
              <w:spacing w:beforeAutospacing="0" w:afterAutospacing="0"/>
              <w:ind w:right="0"/>
              <w:jc w:val="right"/>
              <w:rPr>
                <w:rFonts w:hint="eastAsia" w:ascii="宋体" w:hAnsi="宋体" w:eastAsia="宋体" w:cs="宋体"/>
              </w:rPr>
            </w:pPr>
            <w:r>
              <w:rPr>
                <w:rFonts w:hint="eastAsia" w:ascii="宋体" w:hAnsi="宋体" w:eastAsia="宋体" w:cs="宋体"/>
              </w:rPr>
              <w:t>11.1%</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089702D">
            <w:pPr>
              <w:spacing w:beforeAutospacing="0" w:afterAutospacing="0"/>
              <w:ind w:right="0"/>
              <w:jc w:val="right"/>
              <w:rPr>
                <w:rFonts w:hint="eastAsia" w:ascii="宋体" w:hAnsi="宋体" w:eastAsia="宋体" w:cs="宋体"/>
              </w:rPr>
            </w:pPr>
            <w:r>
              <w:rPr>
                <w:rFonts w:hint="eastAsia" w:ascii="宋体" w:hAnsi="宋体" w:eastAsia="宋体" w:cs="宋体"/>
              </w:rPr>
              <w:t>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B4483C2">
            <w:pPr>
              <w:spacing w:beforeAutospacing="0" w:afterAutospacing="0"/>
              <w:ind w:right="0"/>
              <w:jc w:val="right"/>
              <w:rPr>
                <w:rFonts w:hint="eastAsia" w:ascii="宋体" w:hAnsi="宋体" w:eastAsia="宋体" w:cs="宋体"/>
              </w:rPr>
            </w:pPr>
            <w:r>
              <w:rPr>
                <w:rFonts w:hint="eastAsia" w:ascii="宋体" w:hAnsi="宋体" w:eastAsia="宋体" w:cs="宋体"/>
              </w:rPr>
              <w:t>15.8%</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15A8816">
            <w:pPr>
              <w:spacing w:beforeAutospacing="0" w:afterAutospacing="0"/>
              <w:ind w:right="0"/>
              <w:jc w:val="right"/>
              <w:rPr>
                <w:rFonts w:hint="eastAsia" w:ascii="宋体" w:hAnsi="宋体" w:eastAsia="宋体" w:cs="宋体"/>
              </w:rPr>
            </w:pPr>
            <w:r>
              <w:rPr>
                <w:rFonts w:hint="eastAsia" w:ascii="宋体" w:hAnsi="宋体" w:eastAsia="宋体" w:cs="宋体"/>
              </w:rPr>
              <w:t>12.5%</w:t>
            </w:r>
          </w:p>
        </w:tc>
      </w:tr>
      <w:tr w14:paraId="0DCA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EA6D216">
            <w:pPr>
              <w:spacing w:beforeAutospacing="0" w:afterAutospacing="0"/>
              <w:ind w:right="0"/>
              <w:jc w:val="center"/>
              <w:rPr>
                <w:rFonts w:hint="eastAsia" w:ascii="宋体" w:hAnsi="宋体" w:eastAsia="宋体" w:cs="宋体"/>
              </w:rPr>
            </w:pPr>
            <w:r>
              <w:rPr>
                <w:rFonts w:hint="eastAsia" w:ascii="宋体" w:hAnsi="宋体" w:eastAsia="宋体" w:cs="宋体"/>
              </w:rPr>
              <w:t>素质导向，全面发展</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08DDE84">
            <w:pPr>
              <w:spacing w:beforeAutospacing="0" w:afterAutospacing="0"/>
              <w:ind w:right="0"/>
              <w:jc w:val="right"/>
              <w:rPr>
                <w:rFonts w:hint="eastAsia" w:ascii="宋体" w:hAnsi="宋体" w:eastAsia="宋体" w:cs="宋体"/>
              </w:rPr>
            </w:pPr>
            <w:r>
              <w:rPr>
                <w:rFonts w:hint="eastAsia" w:ascii="宋体" w:hAnsi="宋体" w:eastAsia="宋体" w:cs="宋体"/>
              </w:rPr>
              <w:t>33.3%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082DA75">
            <w:pPr>
              <w:spacing w:beforeAutospacing="0" w:afterAutospacing="0"/>
              <w:ind w:right="0"/>
              <w:jc w:val="right"/>
              <w:rPr>
                <w:rFonts w:hint="eastAsia" w:ascii="宋体" w:hAnsi="宋体" w:eastAsia="宋体" w:cs="宋体"/>
              </w:rPr>
            </w:pPr>
            <w:r>
              <w:rPr>
                <w:rFonts w:hint="eastAsia" w:ascii="宋体" w:hAnsi="宋体" w:eastAsia="宋体" w:cs="宋体"/>
              </w:rPr>
              <w:t>25.0%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5A61B47">
            <w:pPr>
              <w:spacing w:beforeAutospacing="0" w:afterAutospacing="0"/>
              <w:ind w:right="0"/>
              <w:jc w:val="right"/>
              <w:rPr>
                <w:rFonts w:hint="eastAsia" w:ascii="宋体" w:hAnsi="宋体" w:eastAsia="宋体" w:cs="宋体"/>
              </w:rPr>
            </w:pPr>
            <w:r>
              <w:rPr>
                <w:rFonts w:hint="eastAsia" w:ascii="宋体" w:hAnsi="宋体" w:eastAsia="宋体" w:cs="宋体"/>
              </w:rPr>
              <w:t>36.8%</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72F0A00">
            <w:pPr>
              <w:spacing w:beforeAutospacing="0" w:afterAutospacing="0"/>
              <w:ind w:right="0"/>
              <w:jc w:val="right"/>
              <w:rPr>
                <w:rFonts w:hint="eastAsia" w:ascii="宋体" w:hAnsi="宋体" w:eastAsia="宋体" w:cs="宋体"/>
              </w:rPr>
            </w:pPr>
            <w:r>
              <w:rPr>
                <w:rFonts w:hint="eastAsia" w:ascii="宋体" w:hAnsi="宋体" w:eastAsia="宋体" w:cs="宋体"/>
                <w:b/>
              </w:rPr>
              <w:t>34.4%</w:t>
            </w:r>
          </w:p>
        </w:tc>
      </w:tr>
      <w:tr w14:paraId="26A96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D268255">
            <w:pPr>
              <w:spacing w:beforeAutospacing="0" w:afterAutospacing="0"/>
              <w:ind w:right="0"/>
              <w:jc w:val="center"/>
              <w:rPr>
                <w:rFonts w:hint="eastAsia" w:ascii="宋体" w:hAnsi="宋体" w:eastAsia="宋体" w:cs="宋体"/>
              </w:rPr>
            </w:pPr>
            <w:r>
              <w:rPr>
                <w:rFonts w:hint="eastAsia" w:ascii="宋体" w:hAnsi="宋体" w:eastAsia="宋体" w:cs="宋体"/>
              </w:rPr>
              <w:t>实践导向，动手能力优先</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55A73BF">
            <w:pPr>
              <w:spacing w:beforeAutospacing="0" w:afterAutospacing="0"/>
              <w:ind w:right="0"/>
              <w:jc w:val="right"/>
              <w:rPr>
                <w:rFonts w:hint="eastAsia" w:ascii="宋体" w:hAnsi="宋体" w:eastAsia="宋体" w:cs="宋体"/>
              </w:rPr>
            </w:pPr>
            <w:r>
              <w:rPr>
                <w:rFonts w:hint="eastAsia" w:ascii="宋体" w:hAnsi="宋体" w:eastAsia="宋体" w:cs="宋体"/>
              </w:rPr>
              <w:t>22.2%</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B2D0AFC">
            <w:pPr>
              <w:spacing w:beforeAutospacing="0" w:afterAutospacing="0"/>
              <w:ind w:right="0"/>
              <w:jc w:val="right"/>
              <w:rPr>
                <w:rFonts w:hint="eastAsia" w:ascii="宋体" w:hAnsi="宋体" w:eastAsia="宋体" w:cs="宋体"/>
              </w:rPr>
            </w:pPr>
            <w:r>
              <w:rPr>
                <w:rFonts w:hint="eastAsia" w:ascii="宋体" w:hAnsi="宋体" w:eastAsia="宋体" w:cs="宋体"/>
                <w:b/>
              </w:rPr>
              <w:t>50.0%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2C3FE42">
            <w:pPr>
              <w:spacing w:beforeAutospacing="0" w:afterAutospacing="0"/>
              <w:ind w:right="0"/>
              <w:jc w:val="right"/>
              <w:rPr>
                <w:rFonts w:hint="eastAsia" w:ascii="宋体" w:hAnsi="宋体" w:eastAsia="宋体" w:cs="宋体"/>
              </w:rPr>
            </w:pPr>
            <w:r>
              <w:rPr>
                <w:rFonts w:hint="eastAsia" w:ascii="宋体" w:hAnsi="宋体" w:eastAsia="宋体" w:cs="宋体"/>
              </w:rPr>
              <w:t>36.8%</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0267D4B">
            <w:pPr>
              <w:spacing w:beforeAutospacing="0" w:afterAutospacing="0"/>
              <w:ind w:right="0"/>
              <w:jc w:val="right"/>
              <w:rPr>
                <w:rFonts w:hint="eastAsia" w:ascii="宋体" w:hAnsi="宋体" w:eastAsia="宋体" w:cs="宋体"/>
              </w:rPr>
            </w:pPr>
            <w:r>
              <w:rPr>
                <w:rFonts w:hint="eastAsia" w:ascii="宋体" w:hAnsi="宋体" w:eastAsia="宋体" w:cs="宋体"/>
                <w:b/>
              </w:rPr>
              <w:t>34.4%</w:t>
            </w:r>
          </w:p>
        </w:tc>
      </w:tr>
      <w:tr w14:paraId="2DA7B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F86C454">
            <w:pPr>
              <w:spacing w:beforeAutospacing="0" w:afterAutospacing="0"/>
              <w:ind w:right="0"/>
              <w:jc w:val="center"/>
              <w:rPr>
                <w:rFonts w:hint="eastAsia" w:ascii="宋体" w:hAnsi="宋体" w:eastAsia="宋体" w:cs="宋体"/>
              </w:rPr>
            </w:pPr>
            <w:r>
              <w:rPr>
                <w:rFonts w:hint="eastAsia" w:ascii="宋体" w:hAnsi="宋体" w:eastAsia="宋体" w:cs="宋体"/>
              </w:rPr>
              <w:t>个性化导向，尊重天性</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3256121">
            <w:pPr>
              <w:spacing w:beforeAutospacing="0" w:afterAutospacing="0"/>
              <w:ind w:right="0"/>
              <w:jc w:val="right"/>
              <w:rPr>
                <w:rFonts w:hint="eastAsia" w:ascii="宋体" w:hAnsi="宋体" w:eastAsia="宋体" w:cs="宋体"/>
              </w:rPr>
            </w:pPr>
            <w:r>
              <w:rPr>
                <w:rFonts w:hint="eastAsia" w:ascii="宋体" w:hAnsi="宋体" w:eastAsia="宋体" w:cs="宋体"/>
              </w:rPr>
              <w:t>33.3%</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78A15F3">
            <w:pPr>
              <w:spacing w:beforeAutospacing="0" w:afterAutospacing="0"/>
              <w:ind w:right="0"/>
              <w:jc w:val="right"/>
              <w:rPr>
                <w:rFonts w:hint="eastAsia" w:ascii="宋体" w:hAnsi="宋体" w:eastAsia="宋体" w:cs="宋体"/>
              </w:rPr>
            </w:pPr>
            <w:r>
              <w:rPr>
                <w:rFonts w:hint="eastAsia" w:ascii="宋体" w:hAnsi="宋体" w:eastAsia="宋体" w:cs="宋体"/>
              </w:rPr>
              <w:t>25.0%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134B982">
            <w:pPr>
              <w:spacing w:beforeAutospacing="0" w:afterAutospacing="0"/>
              <w:ind w:right="0"/>
              <w:jc w:val="right"/>
              <w:rPr>
                <w:rFonts w:hint="eastAsia" w:ascii="宋体" w:hAnsi="宋体" w:eastAsia="宋体" w:cs="宋体"/>
              </w:rPr>
            </w:pPr>
            <w:r>
              <w:rPr>
                <w:rFonts w:hint="eastAsia" w:ascii="宋体" w:hAnsi="宋体" w:eastAsia="宋体" w:cs="宋体"/>
              </w:rPr>
              <w:t>10.5%</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6DF2BD6">
            <w:pPr>
              <w:spacing w:beforeAutospacing="0" w:afterAutospacing="0"/>
              <w:ind w:right="0"/>
              <w:jc w:val="right"/>
              <w:rPr>
                <w:rFonts w:hint="eastAsia" w:ascii="宋体" w:hAnsi="宋体" w:eastAsia="宋体" w:cs="宋体"/>
              </w:rPr>
            </w:pPr>
            <w:r>
              <w:rPr>
                <w:rFonts w:hint="eastAsia" w:ascii="宋体" w:hAnsi="宋体" w:eastAsia="宋体" w:cs="宋体"/>
              </w:rPr>
              <w:t>18.8%</w:t>
            </w:r>
          </w:p>
        </w:tc>
      </w:tr>
    </w:tbl>
    <w:p w14:paraId="59FAE823">
      <w:pPr>
        <w:rPr>
          <w:rFonts w:hint="eastAsia"/>
        </w:rPr>
      </w:pPr>
    </w:p>
    <w:p w14:paraId="7E4E1CEE">
      <w:pPr>
        <w:pStyle w:val="5"/>
        <w:rPr>
          <w:rFonts w:hint="eastAsia"/>
        </w:rPr>
      </w:pPr>
      <w:r>
        <w:t>关键发现：</w:t>
      </w:r>
    </w:p>
    <w:p w14:paraId="18A9D696">
      <w:pPr>
        <w:pStyle w:val="11"/>
        <w:numPr>
          <w:ilvl w:val="0"/>
          <w:numId w:val="19"/>
        </w:numPr>
        <w:ind w:left="425" w:leftChars="0" w:hanging="425" w:firstLineChars="0"/>
        <w:rPr>
          <w:rFonts w:hint="eastAsia"/>
        </w:rPr>
      </w:pPr>
      <w:r>
        <w:rPr>
          <w:rFonts w:ascii="Times New Roman" w:hAnsi="Times New Roman" w:eastAsia="宋体" w:cs="Times New Roman"/>
          <w:b/>
          <w:sz w:val="24"/>
          <w:szCs w:val="24"/>
        </w:rPr>
        <w:t>"应试导向"被三国学生一致拒绝</w:t>
      </w:r>
      <w:r>
        <w:rPr>
          <w:rFonts w:ascii="Times New Roman" w:hAnsi="Times New Roman" w:eastAsia="宋体" w:cs="Times New Roman"/>
          <w:sz w:val="24"/>
          <w:szCs w:val="24"/>
        </w:rPr>
        <w:t>——仅12.50%选择，与Q18中"以考试成绩为核心的评价"（6.25%）相互印证。</w:t>
      </w:r>
      <w:r>
        <w:rPr>
          <w:rFonts w:ascii="Times New Roman" w:hAnsi="Times New Roman" w:eastAsia="宋体" w:cs="Times New Roman"/>
          <w:b/>
          <w:sz w:val="24"/>
          <w:szCs w:val="24"/>
        </w:rPr>
        <w:t>学生明确不希望下一代重复自己经历的教育模式。</w:t>
      </w:r>
    </w:p>
    <w:p w14:paraId="13EF6DEE">
      <w:pPr>
        <w:pStyle w:val="11"/>
        <w:numPr>
          <w:ilvl w:val="0"/>
          <w:numId w:val="19"/>
        </w:numPr>
        <w:ind w:left="425" w:leftChars="0" w:hanging="425" w:firstLineChars="0"/>
        <w:rPr>
          <w:rFonts w:hint="eastAsia"/>
        </w:rPr>
      </w:pPr>
      <w:r>
        <w:rPr>
          <w:rFonts w:ascii="Times New Roman" w:hAnsi="Times New Roman" w:eastAsia="宋体" w:cs="Times New Roman"/>
          <w:sz w:val="24"/>
          <w:szCs w:val="24"/>
        </w:rPr>
        <w:t>"素质导向"和"实践导向"并列最高（均34.38%），显示学生期待的教育是</w:t>
      </w:r>
      <w:r>
        <w:rPr>
          <w:rFonts w:ascii="Times New Roman" w:hAnsi="Times New Roman" w:eastAsia="宋体" w:cs="Times New Roman"/>
          <w:b/>
          <w:sz w:val="24"/>
          <w:szCs w:val="24"/>
        </w:rPr>
        <w:t>更全面、更动手、更接近真实世界的</w:t>
      </w:r>
      <w:r>
        <w:rPr>
          <w:rFonts w:ascii="Times New Roman" w:hAnsi="Times New Roman" w:eastAsia="宋体" w:cs="Times New Roman"/>
          <w:sz w:val="24"/>
          <w:szCs w:val="24"/>
        </w:rPr>
        <w:t>。</w:t>
      </w:r>
    </w:p>
    <w:p w14:paraId="471C6DFF">
      <w:pPr>
        <w:pStyle w:val="11"/>
        <w:numPr>
          <w:ilvl w:val="0"/>
          <w:numId w:val="19"/>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中国学生在"素质导向"（33.33%）和"个性化导向"（33.33%）上较为均衡，可能是对自身应试经历的一种修正性期待。</w:t>
      </w:r>
    </w:p>
    <w:p w14:paraId="1D962C96">
      <w:pPr>
        <w:pStyle w:val="11"/>
        <w:numPr>
          <w:ilvl w:val="0"/>
          <w:numId w:val="19"/>
        </w:numPr>
        <w:ind w:left="425" w:leftChars="0" w:hanging="425" w:firstLineChars="0"/>
        <w:rPr>
          <w:rFonts w:hint="eastAsia"/>
        </w:rPr>
      </w:pPr>
      <w:r>
        <w:rPr>
          <w:rFonts w:ascii="Times New Roman" w:hAnsi="Times New Roman" w:eastAsia="宋体" w:cs="Times New Roman"/>
          <w:sz w:val="24"/>
          <w:szCs w:val="24"/>
        </w:rPr>
        <w:t>西班牙50%选择"实践导向"，与其已有技术高中传统（编程入门、信息安全纳入课程）一脉相承。</w:t>
      </w:r>
    </w:p>
    <w:p w14:paraId="78BB769C">
      <w:pPr>
        <w:pStyle w:val="2"/>
        <w:rPr>
          <w:rFonts w:hint="eastAsia"/>
        </w:rPr>
      </w:pPr>
      <w:r>
        <w:rPr>
          <w:rFonts w:ascii="Times New Roman" w:hAnsi="Times New Roman" w:eastAsia="黑体" w:cs="Times New Roman"/>
          <w:color w:val="000000"/>
          <w:kern w:val="44"/>
          <w:sz w:val="32"/>
          <w:szCs w:val="44"/>
          <w:lang w:bidi="ar-SA"/>
        </w:rPr>
        <w:t>四、访谈与问卷的交叉验证</w:t>
      </w:r>
    </w:p>
    <w:p w14:paraId="2613C728">
      <w:pPr>
        <w:pStyle w:val="3"/>
        <w:rPr>
          <w:rFonts w:hint="eastAsia"/>
        </w:rPr>
      </w:pPr>
      <w:r>
        <w:rPr>
          <w:rFonts w:ascii="Times New Roman" w:hAnsi="Times New Roman" w:eastAsia="黑体" w:cs="Times New Roman"/>
          <w:kern w:val="2"/>
          <w:sz w:val="30"/>
          <w:szCs w:val="32"/>
          <w:lang w:bidi="ar-SA"/>
        </w:rPr>
        <w:t>4.1 中国：基础教育重应试，大学教育重执行，但学生价值观已转向</w:t>
      </w:r>
    </w:p>
    <w:p w14:paraId="5C3851D5">
      <w:pPr>
        <w:pStyle w:val="4"/>
        <w:rPr>
          <w:rFonts w:hint="eastAsia"/>
        </w:rPr>
      </w:pPr>
      <w:r>
        <w:t>访谈发现：</w:t>
      </w:r>
    </w:p>
    <w:p w14:paraId="094AAE87">
      <w:pPr>
        <w:pStyle w:val="11"/>
        <w:numPr>
          <w:ilvl w:val="0"/>
          <w:numId w:val="19"/>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 xml:space="preserve"> 编程启蒙极有限，高中仅为"课外接触"</w:t>
      </w:r>
    </w:p>
    <w:p w14:paraId="21D8CAF1">
      <w:pPr>
        <w:pStyle w:val="11"/>
        <w:numPr>
          <w:ilvl w:val="0"/>
          <w:numId w:val="19"/>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 xml:space="preserve"> 大学课程"讲授+实验"并重，但实验是理论的验证而非探索</w:t>
      </w:r>
    </w:p>
    <w:p w14:paraId="23FDD9A1">
      <w:pPr>
        <w:pStyle w:val="11"/>
        <w:numPr>
          <w:ilvl w:val="0"/>
          <w:numId w:val="19"/>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 xml:space="preserve"> 问题解决依赖AI工具或导师/师兄</w:t>
      </w:r>
    </w:p>
    <w:p w14:paraId="2EFA26CB">
      <w:pPr>
        <w:pStyle w:val="11"/>
        <w:numPr>
          <w:ilvl w:val="0"/>
          <w:numId w:val="19"/>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 xml:space="preserve"> 团队角色倾向执行，可补位领导</w:t>
      </w:r>
    </w:p>
    <w:p w14:paraId="1598AEB3">
      <w:pPr>
        <w:pStyle w:val="4"/>
        <w:rPr>
          <w:rFonts w:hint="eastAsia"/>
        </w:rPr>
      </w:pPr>
      <w:r>
        <w:t>问卷验证：</w:t>
      </w:r>
    </w:p>
    <w:p w14:paraId="1A00638D">
      <w:pPr>
        <w:pStyle w:val="11"/>
        <w:numPr>
          <w:ilvl w:val="0"/>
          <w:numId w:val="20"/>
        </w:numPr>
        <w:ind w:left="425" w:leftChars="0" w:hanging="425" w:firstLineChars="0"/>
        <w:rPr>
          <w:rFonts w:hint="eastAsia"/>
        </w:rPr>
      </w:pPr>
      <w:r>
        <w:rPr>
          <w:rFonts w:ascii="Times New Roman" w:hAnsi="Times New Roman" w:eastAsia="宋体" w:cs="Times New Roman"/>
          <w:sz w:val="24"/>
          <w:szCs w:val="24"/>
        </w:rPr>
        <w:t xml:space="preserve"> 中小学100%讲授式，科技课88.89%为副科——</w:t>
      </w:r>
      <w:r>
        <w:rPr>
          <w:rFonts w:ascii="Times New Roman" w:hAnsi="Times New Roman" w:eastAsia="宋体" w:cs="Times New Roman"/>
          <w:b/>
          <w:sz w:val="24"/>
          <w:szCs w:val="24"/>
        </w:rPr>
        <w:t>充分验证</w:t>
      </w:r>
    </w:p>
    <w:p w14:paraId="19CF1868">
      <w:pPr>
        <w:pStyle w:val="11"/>
        <w:numPr>
          <w:ilvl w:val="0"/>
          <w:numId w:val="20"/>
        </w:numPr>
        <w:ind w:left="425" w:leftChars="0" w:hanging="425" w:firstLineChars="0"/>
        <w:rPr>
          <w:rFonts w:hint="eastAsia"/>
        </w:rPr>
      </w:pPr>
      <w:r>
        <w:rPr>
          <w:rFonts w:ascii="Times New Roman" w:hAnsi="Times New Roman" w:eastAsia="宋体" w:cs="Times New Roman"/>
          <w:sz w:val="24"/>
          <w:szCs w:val="24"/>
        </w:rPr>
        <w:t xml:space="preserve"> 中小学最重视记忆（77.78%）和解题（88.89%），批判性思维仅11.11%——</w:t>
      </w:r>
      <w:r>
        <w:rPr>
          <w:rFonts w:ascii="Times New Roman" w:hAnsi="Times New Roman" w:eastAsia="宋体" w:cs="Times New Roman"/>
          <w:b/>
          <w:sz w:val="24"/>
          <w:szCs w:val="24"/>
        </w:rPr>
        <w:t>充分验证</w:t>
      </w:r>
    </w:p>
    <w:p w14:paraId="5916E306">
      <w:pPr>
        <w:pStyle w:val="11"/>
        <w:numPr>
          <w:ilvl w:val="0"/>
          <w:numId w:val="20"/>
        </w:numPr>
        <w:ind w:left="425" w:leftChars="0" w:hanging="425" w:firstLineChars="0"/>
        <w:rPr>
          <w:rFonts w:hint="eastAsia"/>
        </w:rPr>
      </w:pPr>
      <w:r>
        <w:rPr>
          <w:rFonts w:ascii="Times New Roman" w:hAnsi="Times New Roman" w:eastAsia="宋体" w:cs="Times New Roman"/>
          <w:sz w:val="24"/>
          <w:szCs w:val="24"/>
        </w:rPr>
        <w:t xml:space="preserve"> 大学阶段66.67%偏好"跟随老师指导，按部就班"——</w:t>
      </w:r>
      <w:r>
        <w:rPr>
          <w:rFonts w:ascii="Times New Roman" w:hAnsi="Times New Roman" w:eastAsia="宋体" w:cs="Times New Roman"/>
          <w:b/>
          <w:sz w:val="24"/>
          <w:szCs w:val="24"/>
        </w:rPr>
        <w:t>验证了执行倾向</w:t>
      </w:r>
    </w:p>
    <w:p w14:paraId="54C4B633">
      <w:pPr>
        <w:pStyle w:val="11"/>
        <w:numPr>
          <w:ilvl w:val="0"/>
          <w:numId w:val="20"/>
        </w:numPr>
        <w:ind w:left="425" w:leftChars="0" w:hanging="425" w:firstLineChars="0"/>
        <w:rPr>
          <w:rFonts w:hint="eastAsia"/>
        </w:rPr>
      </w:pPr>
      <w:r>
        <w:rPr>
          <w:rFonts w:ascii="Times New Roman" w:hAnsi="Times New Roman" w:eastAsia="宋体" w:cs="Times New Roman"/>
          <w:sz w:val="24"/>
          <w:szCs w:val="24"/>
        </w:rPr>
        <w:t xml:space="preserve"> 但教育价值观已转向：44.44%家庭/学校灌输"独立思考"，33.33%希望未来子女接受"素质导向"教育——</w:t>
      </w:r>
      <w:r>
        <w:rPr>
          <w:rFonts w:ascii="Times New Roman" w:hAnsi="Times New Roman" w:eastAsia="宋体" w:cs="Times New Roman"/>
          <w:b/>
          <w:sz w:val="24"/>
          <w:szCs w:val="24"/>
        </w:rPr>
        <w:t>显示学生的教育期待与自身经历存在张力</w:t>
      </w:r>
    </w:p>
    <w:p w14:paraId="72D5E3F0">
      <w:pPr>
        <w:pStyle w:val="11"/>
        <w:rPr>
          <w:rFonts w:hint="eastAsia"/>
        </w:rPr>
      </w:pPr>
      <w:r>
        <w:rPr>
          <w:rFonts w:ascii="Times New Roman" w:hAnsi="Times New Roman" w:eastAsia="宋体" w:cs="Times New Roman"/>
          <w:b/>
          <w:sz w:val="24"/>
          <w:szCs w:val="24"/>
        </w:rPr>
        <w:t>修正补充</w:t>
      </w:r>
      <w:r>
        <w:rPr>
          <w:rFonts w:ascii="Times New Roman" w:hAnsi="Times New Roman" w:eastAsia="宋体" w:cs="Times New Roman"/>
          <w:sz w:val="24"/>
          <w:szCs w:val="24"/>
        </w:rPr>
        <w:t>：问卷揭示中国学生的教育期待已显著偏离其实际经历——虽然自己经历了"应试导向"的教育，但明确不希望下一代重复。</w:t>
      </w:r>
    </w:p>
    <w:p w14:paraId="5EEC9B62">
      <w:pPr>
        <w:pStyle w:val="3"/>
        <w:rPr>
          <w:rFonts w:hint="eastAsia"/>
        </w:rPr>
      </w:pPr>
      <w:r>
        <w:rPr>
          <w:rFonts w:ascii="Times New Roman" w:hAnsi="Times New Roman" w:eastAsia="黑体" w:cs="Times New Roman"/>
          <w:kern w:val="2"/>
          <w:sz w:val="30"/>
          <w:szCs w:val="32"/>
          <w:lang w:bidi="ar-SA"/>
        </w:rPr>
        <w:t>4.2 西班牙：技术教育起步早，但大学阶段转向"标准答案"模式</w:t>
      </w:r>
    </w:p>
    <w:p w14:paraId="1B57523B">
      <w:pPr>
        <w:pStyle w:val="11"/>
        <w:rPr>
          <w:rFonts w:hint="eastAsia"/>
        </w:rPr>
      </w:pPr>
      <w:r>
        <w:rPr>
          <w:rFonts w:ascii="Times New Roman" w:hAnsi="Times New Roman" w:eastAsia="宋体" w:cs="Times New Roman"/>
          <w:b/>
          <w:sz w:val="24"/>
          <w:szCs w:val="24"/>
        </w:rPr>
        <w:t>访谈发现</w:t>
      </w:r>
      <w:r>
        <w:rPr>
          <w:rFonts w:ascii="Times New Roman" w:hAnsi="Times New Roman" w:eastAsia="宋体" w:cs="Times New Roman"/>
          <w:sz w:val="24"/>
          <w:szCs w:val="24"/>
        </w:rPr>
        <w:t>：</w:t>
      </w:r>
    </w:p>
    <w:p w14:paraId="45DE2406">
      <w:pPr>
        <w:pStyle w:val="11"/>
        <w:numPr>
          <w:ilvl w:val="0"/>
          <w:numId w:val="21"/>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 xml:space="preserve"> 高中技术课程包含编程入门、信息安全——编程启蒙最早</w:t>
      </w:r>
    </w:p>
    <w:p w14:paraId="097EC552">
      <w:pPr>
        <w:pStyle w:val="11"/>
        <w:numPr>
          <w:ilvl w:val="0"/>
          <w:numId w:val="21"/>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 xml:space="preserve"> 大学计算机/系统信息专业，有德国项目经验</w:t>
      </w:r>
    </w:p>
    <w:p w14:paraId="31AAE27F">
      <w:pPr>
        <w:pStyle w:val="11"/>
        <w:numPr>
          <w:ilvl w:val="0"/>
          <w:numId w:val="21"/>
        </w:numPr>
        <w:ind w:left="425" w:leftChars="0" w:hanging="425" w:firstLineChars="0"/>
        <w:rPr>
          <w:rFonts w:hint="eastAsia"/>
        </w:rPr>
      </w:pPr>
      <w:r>
        <w:rPr>
          <w:rFonts w:hint="eastAsia" w:cs="Times New Roman"/>
          <w:sz w:val="24"/>
          <w:szCs w:val="24"/>
          <w:lang w:val="en-US" w:eastAsia="zh-CN"/>
        </w:rPr>
        <w:t xml:space="preserve"> </w:t>
      </w:r>
      <w:r>
        <w:rPr>
          <w:rFonts w:ascii="Times New Roman" w:hAnsi="Times New Roman" w:eastAsia="宋体" w:cs="Times New Roman"/>
          <w:sz w:val="24"/>
          <w:szCs w:val="24"/>
        </w:rPr>
        <w:t>教育导向"两种培养方式都存在，因教授而异"</w:t>
      </w:r>
    </w:p>
    <w:p w14:paraId="65EDC008">
      <w:pPr>
        <w:pStyle w:val="11"/>
        <w:rPr>
          <w:rFonts w:hint="eastAsia"/>
        </w:rPr>
      </w:pPr>
      <w:r>
        <w:rPr>
          <w:rFonts w:ascii="Times New Roman" w:hAnsi="Times New Roman" w:eastAsia="宋体" w:cs="Times New Roman"/>
          <w:b/>
          <w:sz w:val="24"/>
          <w:szCs w:val="24"/>
        </w:rPr>
        <w:t>问卷验证</w:t>
      </w:r>
      <w:r>
        <w:rPr>
          <w:rFonts w:ascii="Times New Roman" w:hAnsi="Times New Roman" w:eastAsia="宋体" w:cs="Times New Roman"/>
          <w:sz w:val="24"/>
          <w:szCs w:val="24"/>
        </w:rPr>
        <w:t>：</w:t>
      </w:r>
    </w:p>
    <w:p w14:paraId="286E5A7D">
      <w:pPr>
        <w:pStyle w:val="11"/>
        <w:numPr>
          <w:ilvl w:val="0"/>
          <w:numId w:val="22"/>
        </w:numPr>
        <w:ind w:left="425" w:leftChars="0" w:hanging="425" w:firstLineChars="0"/>
        <w:rPr>
          <w:rFonts w:hint="eastAsia"/>
        </w:rPr>
      </w:pPr>
      <w:r>
        <w:rPr>
          <w:rFonts w:ascii="Times New Roman" w:hAnsi="Times New Roman" w:eastAsia="宋体" w:cs="Times New Roman"/>
          <w:sz w:val="24"/>
          <w:szCs w:val="24"/>
        </w:rPr>
        <w:t xml:space="preserve"> 科技类课程50%为主科（三国最高）——</w:t>
      </w:r>
      <w:r>
        <w:rPr>
          <w:rFonts w:ascii="Times New Roman" w:hAnsi="Times New Roman" w:eastAsia="宋体" w:cs="Times New Roman"/>
          <w:b/>
          <w:sz w:val="24"/>
          <w:szCs w:val="24"/>
        </w:rPr>
        <w:t>验证了早期技术教育优势</w:t>
      </w:r>
    </w:p>
    <w:p w14:paraId="11A4F746">
      <w:pPr>
        <w:pStyle w:val="11"/>
        <w:numPr>
          <w:ilvl w:val="0"/>
          <w:numId w:val="22"/>
        </w:numPr>
        <w:ind w:left="425" w:leftChars="0" w:hanging="425" w:firstLineChars="0"/>
        <w:rPr>
          <w:rFonts w:hint="eastAsia"/>
        </w:rPr>
      </w:pPr>
      <w:r>
        <w:rPr>
          <w:rFonts w:ascii="Times New Roman" w:hAnsi="Times New Roman" w:eastAsia="宋体" w:cs="Times New Roman"/>
          <w:sz w:val="24"/>
          <w:szCs w:val="24"/>
        </w:rPr>
        <w:t xml:space="preserve"> 但大学阶段75%强调"逻辑分析与解题能力"、75%大学老师"直接给出标准答案"——</w:t>
      </w:r>
      <w:r>
        <w:rPr>
          <w:rFonts w:ascii="Times New Roman" w:hAnsi="Times New Roman" w:eastAsia="宋体" w:cs="Times New Roman"/>
          <w:b/>
          <w:sz w:val="24"/>
          <w:szCs w:val="24"/>
        </w:rPr>
        <w:t>揭示了看似"先进"的教育体系中隐藏的传统面向</w:t>
      </w:r>
    </w:p>
    <w:p w14:paraId="5F1A1359">
      <w:pPr>
        <w:pStyle w:val="11"/>
        <w:numPr>
          <w:ilvl w:val="0"/>
          <w:numId w:val="22"/>
        </w:numPr>
        <w:ind w:left="425" w:leftChars="0" w:hanging="425" w:firstLineChars="0"/>
        <w:rPr>
          <w:rFonts w:hint="eastAsia"/>
        </w:rPr>
      </w:pPr>
      <w:r>
        <w:rPr>
          <w:rFonts w:ascii="Times New Roman" w:hAnsi="Times New Roman" w:eastAsia="宋体" w:cs="Times New Roman"/>
          <w:sz w:val="24"/>
          <w:szCs w:val="24"/>
        </w:rPr>
        <w:t xml:space="preserve"> 学习方式偏好分布最均衡（四种各25%）——</w:t>
      </w:r>
      <w:r>
        <w:rPr>
          <w:rFonts w:ascii="Times New Roman" w:hAnsi="Times New Roman" w:eastAsia="宋体" w:cs="Times New Roman"/>
          <w:b/>
          <w:sz w:val="24"/>
          <w:szCs w:val="24"/>
        </w:rPr>
        <w:t>验证了"因教授而异"带来的认知灵活性</w:t>
      </w:r>
    </w:p>
    <w:p w14:paraId="13DF8EE8">
      <w:pPr>
        <w:pStyle w:val="11"/>
        <w:numPr>
          <w:ilvl w:val="0"/>
          <w:numId w:val="22"/>
        </w:numPr>
        <w:ind w:left="425" w:leftChars="0" w:hanging="425" w:firstLineChars="0"/>
        <w:rPr>
          <w:rFonts w:hint="eastAsia"/>
        </w:rPr>
      </w:pPr>
      <w:r>
        <w:rPr>
          <w:rFonts w:ascii="Times New Roman" w:hAnsi="Times New Roman" w:eastAsia="宋体" w:cs="Times New Roman"/>
          <w:sz w:val="24"/>
          <w:szCs w:val="24"/>
        </w:rPr>
        <w:t xml:space="preserve"> 75%认为教育经历"基本准备好"进入社会（三国最高）——</w:t>
      </w:r>
      <w:r>
        <w:rPr>
          <w:rFonts w:ascii="Times New Roman" w:hAnsi="Times New Roman" w:eastAsia="宋体" w:cs="Times New Roman"/>
          <w:b/>
          <w:sz w:val="24"/>
          <w:szCs w:val="24"/>
        </w:rPr>
        <w:t>验证了受访者的积极评价</w:t>
      </w:r>
    </w:p>
    <w:p w14:paraId="286A8082">
      <w:pPr>
        <w:pStyle w:val="11"/>
        <w:rPr>
          <w:rFonts w:hint="eastAsia"/>
        </w:rPr>
      </w:pPr>
      <w:r>
        <w:rPr>
          <w:rFonts w:ascii="Times New Roman" w:hAnsi="Times New Roman" w:eastAsia="宋体" w:cs="Times New Roman"/>
          <w:b/>
          <w:sz w:val="24"/>
          <w:szCs w:val="24"/>
        </w:rPr>
        <w:t>修正补充</w:t>
      </w:r>
      <w:r>
        <w:rPr>
          <w:rFonts w:ascii="Times New Roman" w:hAnsi="Times New Roman" w:eastAsia="宋体" w:cs="Times New Roman"/>
          <w:sz w:val="24"/>
          <w:szCs w:val="24"/>
        </w:rPr>
        <w:t>：西班牙的"两面性"值得关注——高中阶段技术教育先进，但大学阶段教学方式反而传统（75%直接给标准答案），这与外界对西方教育的刻板印象形成反差。</w:t>
      </w:r>
    </w:p>
    <w:p w14:paraId="38C2EAC6">
      <w:pPr>
        <w:pStyle w:val="3"/>
        <w:rPr>
          <w:rFonts w:hint="eastAsia"/>
        </w:rPr>
      </w:pPr>
      <w:r>
        <w:rPr>
          <w:rFonts w:ascii="Times New Roman" w:hAnsi="Times New Roman" w:eastAsia="黑体" w:cs="Times New Roman"/>
          <w:kern w:val="2"/>
          <w:sz w:val="30"/>
          <w:szCs w:val="32"/>
          <w:lang w:bidi="ar-SA"/>
        </w:rPr>
        <w:t>4.3 巴西：基础教育最薄弱，野外工作"补偿性教育"最关键</w:t>
      </w:r>
    </w:p>
    <w:p w14:paraId="06BACED0">
      <w:pPr>
        <w:pStyle w:val="11"/>
        <w:rPr>
          <w:rFonts w:hint="eastAsia"/>
        </w:rPr>
      </w:pPr>
      <w:r>
        <w:rPr>
          <w:rFonts w:ascii="Times New Roman" w:hAnsi="Times New Roman" w:eastAsia="宋体" w:cs="Times New Roman"/>
          <w:b/>
          <w:sz w:val="24"/>
          <w:szCs w:val="24"/>
        </w:rPr>
        <w:t>访谈发现</w:t>
      </w:r>
      <w:r>
        <w:rPr>
          <w:rFonts w:ascii="Times New Roman" w:hAnsi="Times New Roman" w:eastAsia="宋体" w:cs="Times New Roman"/>
          <w:sz w:val="24"/>
          <w:szCs w:val="24"/>
        </w:rPr>
        <w:t>：</w:t>
      </w:r>
    </w:p>
    <w:p w14:paraId="3EDAAC1F">
      <w:pPr>
        <w:pStyle w:val="11"/>
        <w:numPr>
          <w:ilvl w:val="0"/>
          <w:numId w:val="23"/>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 xml:space="preserve"> 中小学纯理论灌输，无技术课程</w:t>
      </w:r>
    </w:p>
    <w:p w14:paraId="219CDD24">
      <w:pPr>
        <w:pStyle w:val="11"/>
        <w:numPr>
          <w:ilvl w:val="0"/>
          <w:numId w:val="23"/>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 xml:space="preserve"> 教育"不培养提问能力"，"犯错不可接受"</w:t>
      </w:r>
    </w:p>
    <w:p w14:paraId="0BE66282">
      <w:pPr>
        <w:pStyle w:val="11"/>
        <w:numPr>
          <w:ilvl w:val="0"/>
          <w:numId w:val="23"/>
        </w:numPr>
        <w:ind w:left="425" w:leftChars="0" w:hanging="425" w:firstLineChars="0"/>
        <w:rPr>
          <w:rFonts w:ascii="Times New Roman" w:hAnsi="Times New Roman" w:eastAsia="宋体" w:cs="Times New Roman"/>
          <w:sz w:val="24"/>
          <w:szCs w:val="24"/>
        </w:rPr>
      </w:pPr>
      <w:r>
        <w:rPr>
          <w:rFonts w:ascii="Times New Roman" w:hAnsi="Times New Roman" w:eastAsia="宋体" w:cs="Times New Roman"/>
          <w:sz w:val="24"/>
          <w:szCs w:val="24"/>
        </w:rPr>
        <w:t xml:space="preserve"> 但野外工作经历倒逼出"在线搜索→试错"的务实风格</w:t>
      </w:r>
    </w:p>
    <w:p w14:paraId="5EC3B8E6">
      <w:pPr>
        <w:pStyle w:val="11"/>
        <w:numPr>
          <w:ilvl w:val="0"/>
          <w:numId w:val="23"/>
        </w:numPr>
        <w:ind w:left="425" w:leftChars="0" w:hanging="425" w:firstLineChars="0"/>
        <w:rPr>
          <w:rFonts w:hint="eastAsia"/>
        </w:rPr>
      </w:pPr>
      <w:r>
        <w:rPr>
          <w:rFonts w:hint="eastAsia" w:cs="Times New Roman"/>
          <w:sz w:val="24"/>
          <w:szCs w:val="24"/>
          <w:lang w:val="en-US" w:eastAsia="zh-CN"/>
        </w:rPr>
        <w:t xml:space="preserve"> </w:t>
      </w:r>
      <w:r>
        <w:rPr>
          <w:rFonts w:ascii="Times New Roman" w:hAnsi="Times New Roman" w:eastAsia="宋体" w:cs="Times New Roman"/>
          <w:sz w:val="24"/>
          <w:szCs w:val="24"/>
        </w:rPr>
        <w:t>技术基础差距巨大（无人机价格=一个月工资）</w:t>
      </w:r>
    </w:p>
    <w:p w14:paraId="5A60A71C">
      <w:pPr>
        <w:pStyle w:val="11"/>
        <w:rPr>
          <w:rFonts w:hint="eastAsia"/>
        </w:rPr>
      </w:pPr>
      <w:r>
        <w:rPr>
          <w:rFonts w:ascii="Times New Roman" w:hAnsi="Times New Roman" w:eastAsia="宋体" w:cs="Times New Roman"/>
          <w:b/>
          <w:sz w:val="24"/>
          <w:szCs w:val="24"/>
        </w:rPr>
        <w:t>问卷验证</w:t>
      </w:r>
      <w:r>
        <w:rPr>
          <w:rFonts w:ascii="Times New Roman" w:hAnsi="Times New Roman" w:eastAsia="宋体" w:cs="Times New Roman"/>
          <w:sz w:val="24"/>
          <w:szCs w:val="24"/>
        </w:rPr>
        <w:t>：</w:t>
      </w:r>
    </w:p>
    <w:p w14:paraId="2E27FAB9">
      <w:pPr>
        <w:pStyle w:val="11"/>
        <w:numPr>
          <w:ilvl w:val="0"/>
          <w:numId w:val="24"/>
        </w:numPr>
        <w:ind w:left="425" w:leftChars="0" w:hanging="425" w:firstLineChars="0"/>
        <w:rPr>
          <w:rFonts w:hint="eastAsia"/>
        </w:rPr>
      </w:pPr>
      <w:r>
        <w:rPr>
          <w:rFonts w:ascii="Times New Roman" w:hAnsi="Times New Roman" w:eastAsia="宋体" w:cs="Times New Roman"/>
          <w:sz w:val="24"/>
          <w:szCs w:val="24"/>
        </w:rPr>
        <w:t xml:space="preserve"> 科技类课程36.84%"基本没有开设"（三国最高）——</w:t>
      </w:r>
      <w:r>
        <w:rPr>
          <w:rFonts w:ascii="Times New Roman" w:hAnsi="Times New Roman" w:eastAsia="宋体" w:cs="Times New Roman"/>
          <w:b/>
          <w:sz w:val="24"/>
          <w:szCs w:val="24"/>
        </w:rPr>
        <w:t>充分验证</w:t>
      </w:r>
    </w:p>
    <w:p w14:paraId="63C696C6">
      <w:pPr>
        <w:pStyle w:val="11"/>
        <w:numPr>
          <w:ilvl w:val="0"/>
          <w:numId w:val="24"/>
        </w:numPr>
        <w:ind w:left="425" w:leftChars="0" w:hanging="425" w:firstLineChars="0"/>
        <w:rPr>
          <w:rFonts w:hint="eastAsia"/>
        </w:rPr>
      </w:pPr>
      <w:r>
        <w:rPr>
          <w:rFonts w:ascii="Times New Roman" w:hAnsi="Times New Roman" w:eastAsia="宋体" w:cs="Times New Roman"/>
          <w:sz w:val="24"/>
          <w:szCs w:val="24"/>
        </w:rPr>
        <w:t xml:space="preserve"> 中小学68.42%讲授式，纯理论科技课42.11%（三国最高）——</w:t>
      </w:r>
      <w:r>
        <w:rPr>
          <w:rFonts w:ascii="Times New Roman" w:hAnsi="Times New Roman" w:eastAsia="宋体" w:cs="Times New Roman"/>
          <w:b/>
          <w:sz w:val="24"/>
          <w:szCs w:val="24"/>
        </w:rPr>
        <w:t>充分验证</w:t>
      </w:r>
    </w:p>
    <w:p w14:paraId="23F84CAA">
      <w:pPr>
        <w:pStyle w:val="11"/>
        <w:numPr>
          <w:ilvl w:val="0"/>
          <w:numId w:val="24"/>
        </w:numPr>
        <w:ind w:left="425" w:leftChars="0" w:hanging="425" w:firstLineChars="0"/>
        <w:rPr>
          <w:rFonts w:hint="eastAsia"/>
        </w:rPr>
      </w:pPr>
      <w:r>
        <w:rPr>
          <w:rFonts w:ascii="Times New Roman" w:hAnsi="Times New Roman" w:eastAsia="宋体" w:cs="Times New Roman"/>
          <w:sz w:val="24"/>
          <w:szCs w:val="24"/>
        </w:rPr>
        <w:t xml:space="preserve"> 中小学最重视记忆（63.16%）和解题（57.89%），批判性思维仅15.79%——</w:t>
      </w:r>
      <w:r>
        <w:rPr>
          <w:rFonts w:ascii="Times New Roman" w:hAnsi="Times New Roman" w:eastAsia="宋体" w:cs="Times New Roman"/>
          <w:b/>
          <w:sz w:val="24"/>
          <w:szCs w:val="24"/>
        </w:rPr>
        <w:t>验证了B1的描述</w:t>
      </w:r>
    </w:p>
    <w:p w14:paraId="049B11BF">
      <w:pPr>
        <w:pStyle w:val="11"/>
        <w:numPr>
          <w:ilvl w:val="0"/>
          <w:numId w:val="25"/>
        </w:numPr>
        <w:ind w:left="425" w:leftChars="0" w:hanging="425" w:firstLineChars="0"/>
        <w:rPr>
          <w:rFonts w:hint="eastAsia"/>
        </w:rPr>
      </w:pPr>
      <w:r>
        <w:rPr>
          <w:rFonts w:ascii="Times New Roman" w:hAnsi="Times New Roman" w:eastAsia="宋体" w:cs="Times New Roman"/>
          <w:sz w:val="24"/>
          <w:szCs w:val="24"/>
        </w:rPr>
        <w:t xml:space="preserve"> 52.63%偏好"实践项目驱动，边做边学"（三国最高）——</w:t>
      </w:r>
      <w:r>
        <w:rPr>
          <w:rFonts w:ascii="Times New Roman" w:hAnsi="Times New Roman" w:eastAsia="宋体" w:cs="Times New Roman"/>
          <w:b/>
          <w:sz w:val="24"/>
          <w:szCs w:val="24"/>
        </w:rPr>
        <w:t>这看似与B1的"中小学纯理论"描述矛盾，但恰恰印证了访谈的核心发现：巴西学生的"实践偏好"并非来自学校教育，而是来自校外经历（亚马逊野外工作）的补偿。</w:t>
      </w:r>
      <w:r>
        <w:rPr>
          <w:rFonts w:ascii="Times New Roman" w:hAnsi="Times New Roman" w:eastAsia="宋体" w:cs="Times New Roman"/>
          <w:sz w:val="24"/>
          <w:szCs w:val="24"/>
        </w:rPr>
        <w:t xml:space="preserve"> 25岁以上群体（含B1）中，选择"实践项目驱动"的比例高达9/13（69.23%），进一步支持这一解读。</w:t>
      </w:r>
    </w:p>
    <w:p w14:paraId="140CF612">
      <w:pPr>
        <w:pStyle w:val="11"/>
        <w:numPr>
          <w:ilvl w:val="0"/>
          <w:numId w:val="25"/>
        </w:numPr>
        <w:ind w:left="425" w:leftChars="0" w:hanging="425" w:firstLineChars="0"/>
        <w:rPr>
          <w:rFonts w:hint="eastAsia"/>
        </w:rPr>
      </w:pPr>
      <w:r>
        <w:rPr>
          <w:rFonts w:ascii="Times New Roman" w:hAnsi="Times New Roman" w:eastAsia="宋体" w:cs="Times New Roman"/>
          <w:sz w:val="24"/>
          <w:szCs w:val="24"/>
        </w:rPr>
        <w:t xml:space="preserve"> 57.89%家庭/学校灌输"听话懂事"，31.58%"完全没准备好"进入社会（三国最高）——</w:t>
      </w:r>
      <w:r>
        <w:rPr>
          <w:rFonts w:ascii="Times New Roman" w:hAnsi="Times New Roman" w:eastAsia="宋体" w:cs="Times New Roman"/>
          <w:b/>
          <w:sz w:val="24"/>
          <w:szCs w:val="24"/>
        </w:rPr>
        <w:t>验证了教育系统的效能危机</w:t>
      </w:r>
    </w:p>
    <w:p w14:paraId="22436D56">
      <w:pPr>
        <w:pStyle w:val="11"/>
        <w:rPr>
          <w:rFonts w:hint="eastAsia"/>
        </w:rPr>
      </w:pPr>
      <w:r>
        <w:rPr>
          <w:rFonts w:ascii="Times New Roman" w:hAnsi="Times New Roman" w:eastAsia="宋体" w:cs="Times New Roman"/>
          <w:b/>
          <w:sz w:val="24"/>
          <w:szCs w:val="24"/>
        </w:rPr>
        <w:t>修正补充</w:t>
      </w:r>
      <w:r>
        <w:rPr>
          <w:rFonts w:ascii="Times New Roman" w:hAnsi="Times New Roman" w:eastAsia="宋体" w:cs="Times New Roman"/>
          <w:sz w:val="24"/>
          <w:szCs w:val="24"/>
        </w:rPr>
        <w:t>：问卷揭示巴西存在两种截然不同的教育现实——精英私立学校（如B1经历）虽无技术课程但提供基础学术训练；大量公立学校可能连基础训练都难以保障。42.11%的"从未参与"科研实践、42.11%的"回避争议话题"，共同构成了一幅基础教育薄弱、大学教学保守、科研机会稀缺的图景。</w:t>
      </w:r>
    </w:p>
    <w:p w14:paraId="0E849B0B">
      <w:pPr>
        <w:pStyle w:val="2"/>
      </w:pPr>
      <w:r>
        <w:rPr>
          <w:rFonts w:ascii="Times New Roman" w:hAnsi="Times New Roman" w:eastAsia="黑体" w:cs="Times New Roman"/>
          <w:color w:val="000000"/>
          <w:kern w:val="44"/>
          <w:sz w:val="32"/>
          <w:szCs w:val="44"/>
          <w:lang w:bidi="ar-SA"/>
        </w:rPr>
        <w:t>五、四维对比总表（问卷+访谈综合）</w:t>
      </w:r>
    </w:p>
    <w:p w14:paraId="42AEDAB4">
      <w:pPr>
        <w:spacing w:after="75" w:afterAutospacing="0"/>
        <w:jc w:val="center"/>
        <w:rPr>
          <w:rFonts w:hint="default" w:ascii="Times New Roman" w:hAnsi="Times New Roman" w:cs="Times New Roman"/>
          <w:b/>
          <w:bCs/>
          <w:sz w:val="21"/>
          <w:szCs w:val="21"/>
        </w:rPr>
      </w:pPr>
      <w:r>
        <w:rPr>
          <w:rFonts w:hint="default" w:ascii="Times New Roman" w:hAnsi="Times New Roman" w:cs="Times New Roman"/>
          <w:b/>
          <w:bCs/>
          <w:sz w:val="21"/>
          <w:szCs w:val="21"/>
        </w:rPr>
        <w:t>不同国家教育情况对比表</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3"/>
        <w:gridCol w:w="2131"/>
        <w:gridCol w:w="2311"/>
        <w:gridCol w:w="2131"/>
      </w:tblGrid>
      <w:tr w14:paraId="6EC64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39842D7E">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对比维度</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04A691F8">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中国</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6084297E">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西班牙</w:t>
            </w:r>
          </w:p>
        </w:tc>
        <w:tc>
          <w:tcPr>
            <w:tcW w:w="0" w:type="auto"/>
            <w:tcBorders>
              <w:top w:val="single" w:color="CCCCCC" w:sz="2" w:space="0"/>
              <w:left w:val="single" w:color="CCCCCC" w:sz="2" w:space="0"/>
              <w:bottom w:val="single" w:color="CCCCCC" w:sz="2" w:space="0"/>
              <w:right w:val="single" w:color="CCCCCC" w:sz="2" w:space="0"/>
            </w:tcBorders>
            <w:shd w:val="clear" w:color="auto" w:fill="F0F0F0"/>
            <w:tcMar>
              <w:top w:w="60" w:type="dxa"/>
              <w:left w:w="60" w:type="dxa"/>
              <w:bottom w:w="60" w:type="dxa"/>
              <w:right w:w="60" w:type="dxa"/>
            </w:tcMar>
            <w:vAlign w:val="center"/>
          </w:tcPr>
          <w:p w14:paraId="03E94A32">
            <w:pPr>
              <w:spacing w:beforeAutospacing="0" w:afterAutospacing="0"/>
              <w:ind w:right="0"/>
              <w:jc w:val="center"/>
              <w:rPr>
                <w:rFonts w:hint="default" w:ascii="Times New Roman" w:hAnsi="Times New Roman" w:cs="Times New Roman"/>
                <w:b/>
                <w:bCs/>
              </w:rPr>
            </w:pPr>
            <w:r>
              <w:rPr>
                <w:rFonts w:hint="default" w:ascii="Times New Roman" w:hAnsi="Times New Roman" w:cs="Times New Roman"/>
                <w:b/>
                <w:bCs/>
              </w:rPr>
              <w:t>巴西</w:t>
            </w:r>
          </w:p>
        </w:tc>
      </w:tr>
      <w:tr w14:paraId="10573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6CB57FC">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中小学教学方式</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B0D03B6">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100.0%讲授式</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671715E">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50.0%讲授式，50.0%线上</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F440516">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68.4%讲授式</w:t>
            </w:r>
          </w:p>
        </w:tc>
      </w:tr>
      <w:tr w14:paraId="6F50D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EBCB8C1">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中小学科技课地位</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FF27817">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88.9%副科</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3B8753A">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50.0%主科</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FCB7518">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36.8%未开设</w:t>
            </w:r>
          </w:p>
        </w:tc>
      </w:tr>
      <w:tr w14:paraId="17F99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B28D08F">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中小学最重视的能力</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FD6924B">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解题88.9%+记忆77.8%</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9021BE5">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记忆50.0%+批判50.0%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488904B">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记忆63.2%+解题57.9%</w:t>
            </w:r>
          </w:p>
        </w:tc>
      </w:tr>
      <w:tr w14:paraId="24D2F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004C91E">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大学学习方式偏好</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72DD6B3">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66.7%跟随老师</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634C1A2">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四种各25.0%</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4A6F4AC">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52.6%实践驱动</w:t>
            </w:r>
          </w:p>
        </w:tc>
      </w:tr>
      <w:tr w14:paraId="37B0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4A299B9">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大学老师处理争议</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79F73A5">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55.6%回避</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1C37928">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75.0%给标准答案</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A4996A3">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42.1%回避</w:t>
            </w:r>
          </w:p>
        </w:tc>
      </w:tr>
      <w:tr w14:paraId="5721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29CED38">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对权威的态度</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C7310C0">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88.9%敢于质疑</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F240A4C">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75.0%敢于质疑</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5ADE96D">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36.8%完全认同</w:t>
            </w:r>
          </w:p>
        </w:tc>
      </w:tr>
      <w:tr w14:paraId="38D3F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10B058F4">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科研实践参与率</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6841D45">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77.8%有参与</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5F173175">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50.0%有参与</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EE7EE68">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57.9%有参与</w:t>
            </w:r>
          </w:p>
        </w:tc>
      </w:tr>
      <w:tr w14:paraId="5219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CD7A543">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团队合作倾向</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4DD2C94E">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88.9%配合执行</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2CF601A1">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50.0%主导讨论</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E061C9A">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36.8%坚持己见</w:t>
            </w:r>
          </w:p>
        </w:tc>
      </w:tr>
      <w:tr w14:paraId="3AD59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7CA6E32C">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教育准备度</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01AA2BCD">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55.6%准备好</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66F32721">
            <w:pPr>
              <w:spacing w:beforeAutospacing="0" w:afterAutospacing="0"/>
              <w:ind w:right="0"/>
              <w:jc w:val="center"/>
              <w:rPr>
                <w:rFonts w:hint="default" w:ascii="Times New Roman" w:hAnsi="Times New Roman" w:cs="Times New Roman"/>
              </w:rPr>
            </w:pPr>
            <w:r>
              <w:rPr>
                <w:rFonts w:hint="default" w:ascii="Times New Roman" w:hAnsi="Times New Roman" w:cs="Times New Roman"/>
                <w:b/>
              </w:rPr>
              <w:t>100.0%准备好</w:t>
            </w:r>
          </w:p>
        </w:tc>
        <w:tc>
          <w:tcPr>
            <w:tcW w:w="0" w:type="auto"/>
            <w:tcBorders>
              <w:top w:val="single" w:color="CCCCCC" w:sz="2" w:space="0"/>
              <w:left w:val="single" w:color="CCCCCC" w:sz="2" w:space="0"/>
              <w:bottom w:val="single" w:color="CCCCCC" w:sz="2" w:space="0"/>
              <w:right w:val="single" w:color="CCCCCC" w:sz="2" w:space="0"/>
            </w:tcBorders>
            <w:tcMar>
              <w:top w:w="60" w:type="dxa"/>
              <w:left w:w="60" w:type="dxa"/>
              <w:bottom w:w="60" w:type="dxa"/>
              <w:right w:w="60" w:type="dxa"/>
            </w:tcMar>
            <w:vAlign w:val="center"/>
          </w:tcPr>
          <w:p w14:paraId="38EE34B5">
            <w:pPr>
              <w:spacing w:beforeAutospacing="0" w:afterAutospacing="0"/>
              <w:ind w:right="0"/>
              <w:jc w:val="center"/>
              <w:rPr>
                <w:rFonts w:hint="default" w:ascii="Times New Roman" w:hAnsi="Times New Roman" w:cs="Times New Roman"/>
              </w:rPr>
            </w:pPr>
            <w:r>
              <w:rPr>
                <w:rFonts w:hint="default" w:ascii="Times New Roman" w:hAnsi="Times New Roman" w:cs="Times New Roman"/>
              </w:rPr>
              <w:t>21.1%准备好</w:t>
            </w:r>
          </w:p>
        </w:tc>
      </w:tr>
    </w:tbl>
    <w:p w14:paraId="688865BC">
      <w:pPr>
        <w:rPr>
          <w:rFonts w:hint="eastAsia"/>
        </w:rPr>
      </w:pPr>
    </w:p>
    <w:p w14:paraId="04E98306">
      <w:pPr>
        <w:pStyle w:val="2"/>
        <w:rPr>
          <w:rFonts w:hint="eastAsia"/>
        </w:rPr>
      </w:pPr>
      <w:r>
        <w:rPr>
          <w:rFonts w:ascii="Times New Roman" w:hAnsi="Times New Roman" w:eastAsia="黑体" w:cs="Times New Roman"/>
          <w:color w:val="000000"/>
          <w:kern w:val="44"/>
          <w:sz w:val="32"/>
          <w:szCs w:val="44"/>
          <w:lang w:bidi="ar-SA"/>
        </w:rPr>
        <w:t>六、核心发现总结</w:t>
      </w:r>
    </w:p>
    <w:p w14:paraId="07053830">
      <w:pPr>
        <w:pStyle w:val="3"/>
        <w:rPr>
          <w:rFonts w:hint="eastAsia"/>
        </w:rPr>
      </w:pPr>
      <w:r>
        <w:rPr>
          <w:rFonts w:ascii="Times New Roman" w:hAnsi="Times New Roman" w:eastAsia="黑体" w:cs="Times New Roman"/>
          <w:kern w:val="2"/>
          <w:sz w:val="30"/>
          <w:szCs w:val="32"/>
          <w:lang w:bidi="ar-SA"/>
        </w:rPr>
        <w:t>发现一：三国基础教育高度同质——讲授式主导，动手实践缺席</w:t>
      </w:r>
    </w:p>
    <w:p w14:paraId="1D78D7A6">
      <w:pPr>
        <w:pStyle w:val="11"/>
        <w:rPr>
          <w:rFonts w:hint="eastAsia"/>
        </w:rPr>
      </w:pPr>
      <w:r>
        <w:rPr>
          <w:rFonts w:ascii="Times New Roman" w:hAnsi="Times New Roman" w:eastAsia="宋体" w:cs="Times New Roman"/>
          <w:sz w:val="24"/>
          <w:szCs w:val="24"/>
        </w:rPr>
        <w:t>三国中小学教育均以</w:t>
      </w:r>
      <w:r>
        <w:rPr>
          <w:rFonts w:ascii="Times New Roman" w:hAnsi="Times New Roman" w:eastAsia="宋体" w:cs="Times New Roman"/>
          <w:b/>
          <w:sz w:val="24"/>
          <w:szCs w:val="24"/>
        </w:rPr>
        <w:t>讲授式</w:t>
      </w:r>
      <w:r>
        <w:rPr>
          <w:rFonts w:ascii="Times New Roman" w:hAnsi="Times New Roman" w:eastAsia="宋体" w:cs="Times New Roman"/>
          <w:sz w:val="24"/>
          <w:szCs w:val="24"/>
        </w:rPr>
        <w:t>为绝对主导（总体75%），项目式学习（6.25%）和课堂讨论（3.12%）几乎不存在。科技类课程在三国均处于边缘位置——中国88.89%为副科，巴西36.84%未开设，西班牙25%未开设。</w:t>
      </w:r>
    </w:p>
    <w:p w14:paraId="30E98687">
      <w:pPr>
        <w:pStyle w:val="11"/>
        <w:rPr>
          <w:rFonts w:hint="eastAsia"/>
        </w:rPr>
      </w:pPr>
      <w:r>
        <w:rPr>
          <w:rFonts w:ascii="Times New Roman" w:hAnsi="Times New Roman" w:eastAsia="宋体" w:cs="Times New Roman"/>
          <w:b/>
          <w:sz w:val="24"/>
          <w:szCs w:val="24"/>
        </w:rPr>
        <w:t>关键悖论</w:t>
      </w:r>
      <w:r>
        <w:rPr>
          <w:rFonts w:ascii="Times New Roman" w:hAnsi="Times New Roman" w:eastAsia="宋体" w:cs="Times New Roman"/>
          <w:sz w:val="24"/>
          <w:szCs w:val="24"/>
        </w:rPr>
        <w:t>：三国学生均渴望"实践驱动"的学习方式（总体偏好37.50%），但其整个基础教育阶段几乎没有接触过这种模式。</w:t>
      </w:r>
    </w:p>
    <w:p w14:paraId="7F116005">
      <w:pPr>
        <w:pStyle w:val="3"/>
        <w:rPr>
          <w:rFonts w:hint="eastAsia"/>
        </w:rPr>
      </w:pPr>
      <w:r>
        <w:rPr>
          <w:rFonts w:ascii="Times New Roman" w:hAnsi="Times New Roman" w:eastAsia="黑体" w:cs="Times New Roman"/>
          <w:kern w:val="2"/>
          <w:sz w:val="30"/>
          <w:szCs w:val="32"/>
          <w:lang w:bidi="ar-SA"/>
        </w:rPr>
        <w:t>发现二：中国学生"敢于质疑权威"的自我认知与基础教育现实存在张力</w:t>
      </w:r>
    </w:p>
    <w:p w14:paraId="37EBC25C">
      <w:pPr>
        <w:pStyle w:val="11"/>
        <w:rPr>
          <w:rFonts w:hint="eastAsia"/>
        </w:rPr>
      </w:pPr>
      <w:r>
        <w:rPr>
          <w:rFonts w:ascii="Times New Roman" w:hAnsi="Times New Roman" w:eastAsia="宋体" w:cs="Times New Roman"/>
          <w:sz w:val="24"/>
          <w:szCs w:val="24"/>
        </w:rPr>
        <w:t>中国学生88.89%选择"敢于质疑，提出不同意见"（三国最高），但其基础教育阶段的教学模式是100%讲授式，批判性思维能力培养仅11.11%，大学老师对争议话题55.56%选择"回避"。</w:t>
      </w:r>
      <w:r>
        <w:rPr>
          <w:rFonts w:ascii="Times New Roman" w:hAnsi="Times New Roman" w:eastAsia="宋体" w:cs="Times New Roman"/>
          <w:b/>
          <w:sz w:val="24"/>
          <w:szCs w:val="24"/>
        </w:rPr>
        <w:t>"敢于质疑"可能更多地反映了一种自我期许或对"好学生"标准的理解，而非教育制度实际培养出的能力。</w:t>
      </w:r>
    </w:p>
    <w:p w14:paraId="5E1B3053">
      <w:pPr>
        <w:pStyle w:val="3"/>
        <w:rPr>
          <w:rFonts w:hint="eastAsia"/>
        </w:rPr>
      </w:pPr>
      <w:r>
        <w:rPr>
          <w:rFonts w:ascii="Times New Roman" w:hAnsi="Times New Roman" w:eastAsia="黑体" w:cs="Times New Roman"/>
          <w:kern w:val="2"/>
          <w:sz w:val="30"/>
          <w:szCs w:val="32"/>
          <w:lang w:bidi="ar-SA"/>
        </w:rPr>
        <w:t>发现三：巴西的"双重教育现实"——学校不教的，野外教</w:t>
      </w:r>
    </w:p>
    <w:p w14:paraId="019662EE">
      <w:pPr>
        <w:pStyle w:val="11"/>
        <w:rPr>
          <w:rFonts w:hint="eastAsia"/>
        </w:rPr>
      </w:pPr>
      <w:r>
        <w:rPr>
          <w:rFonts w:ascii="Times New Roman" w:hAnsi="Times New Roman" w:eastAsia="宋体" w:cs="Times New Roman"/>
          <w:sz w:val="24"/>
          <w:szCs w:val="24"/>
        </w:rPr>
        <w:t>巴西学生在中小学阶段接受的科技教育最为薄弱（36.84%未开设科技课、42.11%纯理论讲授），但同时52.63%偏好"实践项目驱动"（三国最高）。这一矛盾的核心解释是：</w:t>
      </w:r>
      <w:r>
        <w:rPr>
          <w:rFonts w:ascii="Times New Roman" w:hAnsi="Times New Roman" w:eastAsia="宋体" w:cs="Times New Roman"/>
          <w:b/>
          <w:sz w:val="24"/>
          <w:szCs w:val="24"/>
        </w:rPr>
        <w:t>巴西学生（尤其是年长群体）的实践偏好来自校外经历——亚马逊野外工作、声呐/多普勒设备操作等"生存型实践"，而非学校教育的产物。</w:t>
      </w:r>
    </w:p>
    <w:p w14:paraId="724CF9F4">
      <w:pPr>
        <w:pStyle w:val="3"/>
        <w:rPr>
          <w:rFonts w:hint="eastAsia"/>
        </w:rPr>
      </w:pPr>
      <w:r>
        <w:rPr>
          <w:rFonts w:ascii="Times New Roman" w:hAnsi="Times New Roman" w:eastAsia="黑体" w:cs="Times New Roman"/>
          <w:kern w:val="2"/>
          <w:sz w:val="30"/>
          <w:szCs w:val="32"/>
          <w:lang w:bidi="ar-SA"/>
        </w:rPr>
        <w:t>发现四：教育制度的底层差异不在"教学方法"，而在"价值观"和"准备度"</w:t>
      </w:r>
    </w:p>
    <w:p w14:paraId="17116F5E">
      <w:pPr>
        <w:pStyle w:val="11"/>
        <w:rPr>
          <w:rFonts w:hint="eastAsia"/>
        </w:rPr>
      </w:pPr>
      <w:r>
        <w:rPr>
          <w:rFonts w:ascii="Times New Roman" w:hAnsi="Times New Roman" w:eastAsia="宋体" w:cs="Times New Roman"/>
          <w:sz w:val="24"/>
          <w:szCs w:val="24"/>
        </w:rPr>
        <w:t>三国在"中小学教学方式"上高度趋同（均为讲授式主导），真正的差异体现在：</w:t>
      </w:r>
    </w:p>
    <w:p w14:paraId="1892AF1D">
      <w:pPr>
        <w:pStyle w:val="11"/>
        <w:numPr>
          <w:ilvl w:val="0"/>
          <w:numId w:val="26"/>
        </w:numPr>
        <w:ind w:left="425" w:leftChars="0" w:hanging="425" w:firstLineChars="0"/>
        <w:rPr>
          <w:rFonts w:hint="eastAsia"/>
        </w:rPr>
      </w:pPr>
      <w:r>
        <w:rPr>
          <w:rFonts w:ascii="Times New Roman" w:hAnsi="Times New Roman" w:eastAsia="宋体" w:cs="Times New Roman"/>
          <w:b/>
          <w:sz w:val="24"/>
          <w:szCs w:val="24"/>
        </w:rPr>
        <w:t>教育准备度</w:t>
      </w:r>
      <w:r>
        <w:rPr>
          <w:rFonts w:ascii="Times New Roman" w:hAnsi="Times New Roman" w:eastAsia="宋体" w:cs="Times New Roman"/>
          <w:sz w:val="24"/>
          <w:szCs w:val="24"/>
        </w:rPr>
        <w:t>：西班牙100%感觉"准备好"，巴西仅21.05%</w:t>
      </w:r>
    </w:p>
    <w:p w14:paraId="51E34CB5">
      <w:pPr>
        <w:pStyle w:val="11"/>
        <w:numPr>
          <w:ilvl w:val="0"/>
          <w:numId w:val="26"/>
        </w:numPr>
        <w:ind w:left="425" w:leftChars="0" w:hanging="425" w:firstLineChars="0"/>
        <w:rPr>
          <w:rFonts w:hint="eastAsia"/>
        </w:rPr>
      </w:pPr>
      <w:r>
        <w:rPr>
          <w:rFonts w:ascii="Times New Roman" w:hAnsi="Times New Roman" w:eastAsia="宋体" w:cs="Times New Roman"/>
          <w:b/>
          <w:sz w:val="24"/>
          <w:szCs w:val="24"/>
        </w:rPr>
        <w:t>对权威的态度</w:t>
      </w:r>
      <w:r>
        <w:rPr>
          <w:rFonts w:ascii="Times New Roman" w:hAnsi="Times New Roman" w:eastAsia="宋体" w:cs="Times New Roman"/>
          <w:sz w:val="24"/>
          <w:szCs w:val="24"/>
        </w:rPr>
        <w:t>：中国/西班牙多数"敢于质疑"，巴西36.84%"完全认同"</w:t>
      </w:r>
    </w:p>
    <w:p w14:paraId="57167B0A">
      <w:pPr>
        <w:pStyle w:val="11"/>
        <w:numPr>
          <w:ilvl w:val="0"/>
          <w:numId w:val="26"/>
        </w:numPr>
        <w:ind w:left="425" w:leftChars="0" w:hanging="425" w:firstLineChars="0"/>
        <w:rPr>
          <w:rFonts w:hint="eastAsia"/>
        </w:rPr>
      </w:pPr>
      <w:r>
        <w:rPr>
          <w:rFonts w:ascii="Times New Roman" w:hAnsi="Times New Roman" w:eastAsia="宋体" w:cs="Times New Roman"/>
          <w:b/>
          <w:sz w:val="24"/>
          <w:szCs w:val="24"/>
        </w:rPr>
        <w:t>希望子女接受的教育</w:t>
      </w:r>
      <w:r>
        <w:rPr>
          <w:rFonts w:ascii="Times New Roman" w:hAnsi="Times New Roman" w:eastAsia="宋体" w:cs="Times New Roman"/>
          <w:sz w:val="24"/>
          <w:szCs w:val="24"/>
        </w:rPr>
        <w:t>：三国一致拒绝"应试导向"，但具体偏好分化</w:t>
      </w:r>
    </w:p>
    <w:p w14:paraId="7089F359">
      <w:pPr>
        <w:pStyle w:val="11"/>
        <w:rPr>
          <w:rFonts w:hint="eastAsia"/>
        </w:rPr>
      </w:pPr>
      <w:r>
        <w:rPr>
          <w:rFonts w:ascii="Times New Roman" w:hAnsi="Times New Roman" w:eastAsia="宋体" w:cs="Times New Roman"/>
          <w:sz w:val="24"/>
          <w:szCs w:val="24"/>
        </w:rPr>
        <w:t>这表明：</w:t>
      </w:r>
      <w:r>
        <w:rPr>
          <w:rFonts w:ascii="Times New Roman" w:hAnsi="Times New Roman" w:eastAsia="宋体" w:cs="Times New Roman"/>
          <w:b/>
          <w:sz w:val="24"/>
          <w:szCs w:val="24"/>
        </w:rPr>
        <w:t>教育制度塑造的不仅是"怎么学"，更是"学完之后觉得自己能做什么"。</w:t>
      </w:r>
      <w:r>
        <w:rPr>
          <w:rFonts w:ascii="Times New Roman" w:hAnsi="Times New Roman" w:eastAsia="宋体" w:cs="Times New Roman"/>
          <w:sz w:val="24"/>
          <w:szCs w:val="24"/>
        </w:rPr>
        <w:t xml:space="preserve"> 西班牙学生最自信，巴西学生最缺乏信心。</w:t>
      </w:r>
    </w:p>
    <w:p w14:paraId="4236718F">
      <w:pPr>
        <w:pStyle w:val="3"/>
        <w:rPr>
          <w:rFonts w:hint="eastAsia"/>
        </w:rPr>
      </w:pPr>
      <w:r>
        <w:rPr>
          <w:rFonts w:ascii="Times New Roman" w:hAnsi="Times New Roman" w:eastAsia="黑体" w:cs="Times New Roman"/>
          <w:kern w:val="2"/>
          <w:sz w:val="30"/>
          <w:szCs w:val="32"/>
          <w:lang w:bidi="ar-SA"/>
        </w:rPr>
        <w:t>发现五：BISS项目的教育意义远超技术学习</w:t>
      </w:r>
    </w:p>
    <w:p w14:paraId="5F3FF5B3">
      <w:pPr>
        <w:pStyle w:val="11"/>
        <w:rPr>
          <w:rFonts w:hint="eastAsia"/>
        </w:rPr>
      </w:pPr>
      <w:r>
        <w:rPr>
          <w:rFonts w:ascii="Times New Roman" w:hAnsi="Times New Roman" w:eastAsia="宋体" w:cs="Times New Roman"/>
          <w:sz w:val="24"/>
          <w:szCs w:val="24"/>
        </w:rPr>
        <w:t>问卷显示，即使对于能够参加国际暑期学校的精英群体，59.37%仍感觉"没准备好"或"准备度一般"进入社会。BISS项目提供了学生期待但教育经历中普遍缺失的东西——</w:t>
      </w:r>
      <w:r>
        <w:rPr>
          <w:rFonts w:ascii="Times New Roman" w:hAnsi="Times New Roman" w:eastAsia="宋体" w:cs="Times New Roman"/>
          <w:b/>
          <w:sz w:val="24"/>
          <w:szCs w:val="24"/>
        </w:rPr>
        <w:t>高强度的动手实践（37.50%偏好）、项目成果导向的评价（34.38%认同）、以及真实世界的问题解决场景。</w:t>
      </w:r>
      <w:r>
        <w:rPr>
          <w:rFonts w:ascii="Times New Roman" w:hAnsi="Times New Roman" w:eastAsia="宋体" w:cs="Times New Roman"/>
          <w:sz w:val="24"/>
          <w:szCs w:val="24"/>
        </w:rPr>
        <w:t xml:space="preserve"> 这解释了为何受访者普遍将BISS项目描述为"第一次"或"不同于以往"的经历。</w:t>
      </w:r>
    </w:p>
    <w:p w14:paraId="328BDA81">
      <w:pPr>
        <w:pStyle w:val="2"/>
        <w:rPr>
          <w:rFonts w:hint="eastAsia"/>
        </w:rPr>
      </w:pPr>
      <w:r>
        <w:rPr>
          <w:rFonts w:ascii="Times New Roman" w:hAnsi="Times New Roman" w:eastAsia="黑体" w:cs="Times New Roman"/>
          <w:color w:val="000000"/>
          <w:kern w:val="44"/>
          <w:sz w:val="32"/>
          <w:szCs w:val="44"/>
          <w:lang w:bidi="ar-SA"/>
        </w:rPr>
        <w:t>七、研究局限与后续方向</w:t>
      </w:r>
    </w:p>
    <w:p w14:paraId="6D18EB0A">
      <w:pPr>
        <w:pStyle w:val="3"/>
        <w:rPr>
          <w:rFonts w:hint="eastAsia"/>
        </w:rPr>
      </w:pPr>
      <w:r>
        <w:rPr>
          <w:rFonts w:ascii="Times New Roman" w:hAnsi="Times New Roman" w:eastAsia="黑体" w:cs="Times New Roman"/>
          <w:kern w:val="2"/>
          <w:sz w:val="30"/>
          <w:szCs w:val="32"/>
          <w:lang w:bidi="ar-SA"/>
        </w:rPr>
        <w:t>7.1 局限性</w:t>
      </w:r>
    </w:p>
    <w:p w14:paraId="491F0BC8">
      <w:pPr>
        <w:pStyle w:val="11"/>
        <w:numPr>
          <w:ilvl w:val="0"/>
          <w:numId w:val="2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bCs/>
          <w:sz w:val="24"/>
          <w:szCs w:val="24"/>
        </w:rPr>
        <w:t>样本偏差</w:t>
      </w:r>
      <w:r>
        <w:rPr>
          <w:rFonts w:ascii="Times New Roman" w:hAnsi="Times New Roman" w:eastAsia="宋体" w:cs="Times New Roman"/>
          <w:sz w:val="24"/>
          <w:szCs w:val="24"/>
        </w:rPr>
        <w:t>：巴西学生占比过高（59.38%），西班牙学生仅4人，跨国比较的统计效力受限。</w:t>
      </w:r>
    </w:p>
    <w:p w14:paraId="6D535389">
      <w:pPr>
        <w:pStyle w:val="11"/>
        <w:numPr>
          <w:ilvl w:val="0"/>
          <w:numId w:val="2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bCs/>
          <w:sz w:val="24"/>
          <w:szCs w:val="24"/>
        </w:rPr>
        <w:t>专业集中</w:t>
      </w:r>
      <w:r>
        <w:rPr>
          <w:rFonts w:ascii="Times New Roman" w:hAnsi="Times New Roman" w:eastAsia="宋体" w:cs="Times New Roman"/>
          <w:sz w:val="24"/>
          <w:szCs w:val="24"/>
        </w:rPr>
        <w:t>：工程技术类占65.62%，结论主要适用于工程教育领域，推广至其他学科需谨慎。</w:t>
      </w:r>
    </w:p>
    <w:p w14:paraId="43691F3C">
      <w:pPr>
        <w:pStyle w:val="11"/>
        <w:numPr>
          <w:ilvl w:val="0"/>
          <w:numId w:val="2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bCs/>
          <w:sz w:val="24"/>
          <w:szCs w:val="24"/>
        </w:rPr>
        <w:t>问卷选项差异</w:t>
      </w:r>
      <w:r>
        <w:rPr>
          <w:rFonts w:ascii="Times New Roman" w:hAnsi="Times New Roman" w:eastAsia="宋体" w:cs="Times New Roman"/>
          <w:sz w:val="24"/>
          <w:szCs w:val="24"/>
        </w:rPr>
        <w:t>：三国问卷部分题目的选项设置不完全一致（如Q13的中国版有"跨文化交流能力"选项，巴西/西班牙版无），影响了部分维度的直接比较。</w:t>
      </w:r>
    </w:p>
    <w:p w14:paraId="1CCADD7A">
      <w:pPr>
        <w:pStyle w:val="11"/>
        <w:numPr>
          <w:ilvl w:val="0"/>
          <w:numId w:val="27"/>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bCs/>
          <w:sz w:val="24"/>
          <w:szCs w:val="24"/>
        </w:rPr>
        <w:t>自报数据的固有局限</w:t>
      </w:r>
      <w:r>
        <w:rPr>
          <w:rFonts w:ascii="Times New Roman" w:hAnsi="Times New Roman" w:eastAsia="宋体" w:cs="Times New Roman"/>
          <w:sz w:val="24"/>
          <w:szCs w:val="24"/>
        </w:rPr>
        <w:t>：问卷中的"敢于质疑"等回答反映的是学生的自我认知，未必等同于实际课堂行为。</w:t>
      </w:r>
    </w:p>
    <w:p w14:paraId="7987CE86">
      <w:pPr>
        <w:pStyle w:val="11"/>
        <w:numPr>
          <w:ilvl w:val="0"/>
          <w:numId w:val="27"/>
        </w:numPr>
        <w:ind w:left="0" w:leftChars="0" w:firstLine="480" w:firstLineChars="0"/>
        <w:rPr>
          <w:rFonts w:hint="eastAsia"/>
        </w:rPr>
      </w:pPr>
      <w:r>
        <w:rPr>
          <w:rFonts w:ascii="Times New Roman" w:hAnsi="Times New Roman" w:eastAsia="宋体" w:cs="Times New Roman"/>
          <w:b/>
          <w:bCs/>
          <w:sz w:val="24"/>
          <w:szCs w:val="24"/>
        </w:rPr>
        <w:t>西班牙样本过小</w:t>
      </w:r>
      <w:r>
        <w:rPr>
          <w:rFonts w:ascii="Times New Roman" w:hAnsi="Times New Roman" w:eastAsia="宋体" w:cs="Times New Roman"/>
          <w:sz w:val="24"/>
          <w:szCs w:val="24"/>
        </w:rPr>
        <w:t>（4人），统计推断能力有限，需谨慎解读。</w:t>
      </w:r>
    </w:p>
    <w:p w14:paraId="6257F92E">
      <w:pPr>
        <w:pStyle w:val="3"/>
        <w:rPr>
          <w:rFonts w:hint="eastAsia"/>
        </w:rPr>
      </w:pPr>
      <w:r>
        <w:rPr>
          <w:rFonts w:ascii="Times New Roman" w:hAnsi="Times New Roman" w:eastAsia="黑体" w:cs="Times New Roman"/>
          <w:kern w:val="2"/>
          <w:sz w:val="30"/>
          <w:szCs w:val="32"/>
          <w:lang w:bidi="ar-SA"/>
        </w:rPr>
        <w:t>7.2 后续方向</w:t>
      </w:r>
    </w:p>
    <w:p w14:paraId="659FC80F">
      <w:pPr>
        <w:pStyle w:val="11"/>
        <w:numPr>
          <w:ilvl w:val="0"/>
          <w:numId w:val="2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bCs/>
          <w:sz w:val="24"/>
          <w:szCs w:val="24"/>
        </w:rPr>
        <w:t>增加西班牙样本量</w:t>
      </w:r>
      <w:r>
        <w:rPr>
          <w:rFonts w:ascii="Times New Roman" w:hAnsi="Times New Roman" w:eastAsia="宋体" w:cs="Times New Roman"/>
          <w:sz w:val="24"/>
          <w:szCs w:val="24"/>
        </w:rPr>
        <w:t>：当前西班牙学生仅4人，建议后续调研至少扩充至15人以上以确保统计可靠性。</w:t>
      </w:r>
    </w:p>
    <w:p w14:paraId="082A0875">
      <w:pPr>
        <w:pStyle w:val="11"/>
        <w:numPr>
          <w:ilvl w:val="0"/>
          <w:numId w:val="2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bCs/>
          <w:sz w:val="24"/>
          <w:szCs w:val="24"/>
        </w:rPr>
        <w:t>引入行为观察法</w:t>
      </w:r>
      <w:r>
        <w:rPr>
          <w:rFonts w:ascii="Times New Roman" w:hAnsi="Times New Roman" w:eastAsia="宋体" w:cs="Times New Roman"/>
          <w:sz w:val="24"/>
          <w:szCs w:val="24"/>
        </w:rPr>
        <w:t>：在BISS项目过程中直接观察各组成员在遇到技术问题时的实际行为（如是否真的"敢于质疑"），与问卷自报数据进行交叉验证。</w:t>
      </w:r>
    </w:p>
    <w:p w14:paraId="46FA53E1">
      <w:pPr>
        <w:pStyle w:val="11"/>
        <w:numPr>
          <w:ilvl w:val="0"/>
          <w:numId w:val="28"/>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b/>
          <w:bCs/>
          <w:sz w:val="24"/>
          <w:szCs w:val="24"/>
        </w:rPr>
        <w:t>增加教育阶段变量的交叉分析</w:t>
      </w:r>
      <w:r>
        <w:rPr>
          <w:rFonts w:ascii="Times New Roman" w:hAnsi="Times New Roman" w:eastAsia="宋体" w:cs="Times New Roman"/>
          <w:sz w:val="24"/>
          <w:szCs w:val="24"/>
        </w:rPr>
        <w:t>：当前巴西25岁以上学生占比68.42%，中国18-22岁学生占比88.89%，年龄与国别高度共线，建议在后续研究中分离这两个变量。</w:t>
      </w:r>
    </w:p>
    <w:p w14:paraId="33066BAE">
      <w:pPr>
        <w:pStyle w:val="11"/>
        <w:numPr>
          <w:ilvl w:val="0"/>
          <w:numId w:val="28"/>
        </w:numPr>
        <w:ind w:left="0" w:leftChars="0" w:firstLine="480" w:firstLineChars="0"/>
        <w:rPr>
          <w:rFonts w:hint="eastAsia"/>
        </w:rPr>
      </w:pPr>
      <w:r>
        <w:rPr>
          <w:rFonts w:ascii="Times New Roman" w:hAnsi="Times New Roman" w:eastAsia="宋体" w:cs="Times New Roman"/>
          <w:b/>
          <w:bCs/>
          <w:sz w:val="24"/>
          <w:szCs w:val="24"/>
        </w:rPr>
        <w:t>追踪回访</w:t>
      </w:r>
      <w:r>
        <w:rPr>
          <w:rFonts w:ascii="Times New Roman" w:hAnsi="Times New Roman" w:eastAsia="宋体" w:cs="Times New Roman"/>
          <w:sz w:val="24"/>
          <w:szCs w:val="24"/>
        </w:rPr>
        <w:t>：了解学生在BISS项目结束后，其教育价值观（如对"实践导向评价"的偏好）是否发生了调整，以评估国际项目式学习的长期影响。</w:t>
      </w:r>
    </w:p>
    <w:p w14:paraId="52CB6B65">
      <w:pPr>
        <w:pStyle w:val="11"/>
        <w:ind w:left="0" w:leftChars="0" w:firstLine="0" w:firstLineChars="0"/>
        <w:rPr>
          <w:rFonts w:ascii="Times New Roman" w:hAnsi="Times New Roman" w:eastAsia="宋体" w:cs="Times New Roman"/>
          <w:sz w:val="24"/>
          <w:szCs w:val="24"/>
        </w:rPr>
      </w:pPr>
      <w:bookmarkStart w:id="0" w:name="_GoBack"/>
      <w:bookmarkEnd w:id="0"/>
    </w:p>
    <w:p w14:paraId="667553E6">
      <w:pPr>
        <w:pStyle w:val="11"/>
        <w:ind w:left="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附件：访谈录音纪要原文（5份）、问卷统计数据总表及三国分表（4份）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203386"/>
    <w:multiLevelType w:val="singleLevel"/>
    <w:tmpl w:val="89203386"/>
    <w:lvl w:ilvl="0" w:tentative="0">
      <w:start w:val="1"/>
      <w:numFmt w:val="decimal"/>
      <w:lvlText w:val="%1."/>
      <w:lvlJc w:val="left"/>
      <w:pPr>
        <w:ind w:left="425" w:hanging="425"/>
      </w:pPr>
      <w:rPr>
        <w:rFonts w:hint="default"/>
      </w:rPr>
    </w:lvl>
  </w:abstractNum>
  <w:abstractNum w:abstractNumId="1">
    <w:nsid w:val="8C782C1B"/>
    <w:multiLevelType w:val="singleLevel"/>
    <w:tmpl w:val="8C782C1B"/>
    <w:lvl w:ilvl="0" w:tentative="0">
      <w:start w:val="1"/>
      <w:numFmt w:val="decimal"/>
      <w:lvlText w:val="%1."/>
      <w:lvlJc w:val="left"/>
      <w:pPr>
        <w:ind w:left="425" w:hanging="425"/>
      </w:pPr>
      <w:rPr>
        <w:rFonts w:hint="default"/>
      </w:rPr>
    </w:lvl>
  </w:abstractNum>
  <w:abstractNum w:abstractNumId="2">
    <w:nsid w:val="8D3C570B"/>
    <w:multiLevelType w:val="singleLevel"/>
    <w:tmpl w:val="8D3C570B"/>
    <w:lvl w:ilvl="0" w:tentative="0">
      <w:start w:val="1"/>
      <w:numFmt w:val="decimal"/>
      <w:lvlText w:val="%1."/>
      <w:lvlJc w:val="left"/>
      <w:pPr>
        <w:ind w:left="425" w:hanging="425"/>
      </w:pPr>
      <w:rPr>
        <w:rFonts w:hint="default"/>
      </w:rPr>
    </w:lvl>
  </w:abstractNum>
  <w:abstractNum w:abstractNumId="3">
    <w:nsid w:val="B94D1350"/>
    <w:multiLevelType w:val="singleLevel"/>
    <w:tmpl w:val="B94D1350"/>
    <w:lvl w:ilvl="0" w:tentative="0">
      <w:start w:val="1"/>
      <w:numFmt w:val="decimal"/>
      <w:suff w:val="space"/>
      <w:lvlText w:val="%1."/>
      <w:lvlJc w:val="left"/>
      <w:pPr>
        <w:ind w:left="0" w:firstLine="480"/>
      </w:pPr>
      <w:rPr>
        <w:rFonts w:hint="default"/>
      </w:rPr>
    </w:lvl>
  </w:abstractNum>
  <w:abstractNum w:abstractNumId="4">
    <w:nsid w:val="C19B0B92"/>
    <w:multiLevelType w:val="singleLevel"/>
    <w:tmpl w:val="C19B0B92"/>
    <w:lvl w:ilvl="0" w:tentative="0">
      <w:start w:val="1"/>
      <w:numFmt w:val="decimal"/>
      <w:lvlText w:val="%1."/>
      <w:lvlJc w:val="left"/>
      <w:pPr>
        <w:ind w:left="425" w:hanging="425"/>
      </w:pPr>
      <w:rPr>
        <w:rFonts w:hint="default"/>
      </w:rPr>
    </w:lvl>
  </w:abstractNum>
  <w:abstractNum w:abstractNumId="5">
    <w:nsid w:val="DE771C78"/>
    <w:multiLevelType w:val="singleLevel"/>
    <w:tmpl w:val="DE771C78"/>
    <w:lvl w:ilvl="0" w:tentative="0">
      <w:start w:val="1"/>
      <w:numFmt w:val="decimal"/>
      <w:lvlText w:val="%1."/>
      <w:lvlJc w:val="left"/>
      <w:pPr>
        <w:ind w:left="425" w:hanging="425"/>
      </w:pPr>
      <w:rPr>
        <w:rFonts w:hint="default"/>
      </w:rPr>
    </w:lvl>
  </w:abstractNum>
  <w:abstractNum w:abstractNumId="6">
    <w:nsid w:val="E29D7144"/>
    <w:multiLevelType w:val="singleLevel"/>
    <w:tmpl w:val="E29D7144"/>
    <w:lvl w:ilvl="0" w:tentative="0">
      <w:start w:val="1"/>
      <w:numFmt w:val="decimal"/>
      <w:lvlText w:val="%1."/>
      <w:lvlJc w:val="left"/>
      <w:pPr>
        <w:ind w:left="425" w:hanging="425"/>
      </w:pPr>
      <w:rPr>
        <w:rFonts w:hint="default"/>
      </w:rPr>
    </w:lvl>
  </w:abstractNum>
  <w:abstractNum w:abstractNumId="7">
    <w:nsid w:val="E9F9CB3E"/>
    <w:multiLevelType w:val="singleLevel"/>
    <w:tmpl w:val="E9F9CB3E"/>
    <w:lvl w:ilvl="0" w:tentative="0">
      <w:start w:val="1"/>
      <w:numFmt w:val="decimal"/>
      <w:lvlText w:val="%1."/>
      <w:lvlJc w:val="left"/>
      <w:pPr>
        <w:ind w:left="425" w:hanging="425"/>
      </w:pPr>
      <w:rPr>
        <w:rFonts w:hint="default"/>
      </w:rPr>
    </w:lvl>
  </w:abstractNum>
  <w:abstractNum w:abstractNumId="8">
    <w:nsid w:val="EBC612B2"/>
    <w:multiLevelType w:val="singleLevel"/>
    <w:tmpl w:val="EBC612B2"/>
    <w:lvl w:ilvl="0" w:tentative="0">
      <w:start w:val="1"/>
      <w:numFmt w:val="decimal"/>
      <w:lvlText w:val="%1."/>
      <w:lvlJc w:val="left"/>
      <w:pPr>
        <w:ind w:left="425" w:hanging="425"/>
      </w:pPr>
      <w:rPr>
        <w:rFonts w:hint="default"/>
      </w:rPr>
    </w:lvl>
  </w:abstractNum>
  <w:abstractNum w:abstractNumId="9">
    <w:nsid w:val="F1413F61"/>
    <w:multiLevelType w:val="singleLevel"/>
    <w:tmpl w:val="F1413F61"/>
    <w:lvl w:ilvl="0" w:tentative="0">
      <w:start w:val="1"/>
      <w:numFmt w:val="decimal"/>
      <w:lvlText w:val="%1."/>
      <w:lvlJc w:val="left"/>
      <w:pPr>
        <w:ind w:left="425" w:hanging="425"/>
      </w:pPr>
      <w:rPr>
        <w:rFonts w:hint="default"/>
      </w:rPr>
    </w:lvl>
  </w:abstractNum>
  <w:abstractNum w:abstractNumId="10">
    <w:nsid w:val="F2969797"/>
    <w:multiLevelType w:val="singleLevel"/>
    <w:tmpl w:val="F2969797"/>
    <w:lvl w:ilvl="0" w:tentative="0">
      <w:start w:val="1"/>
      <w:numFmt w:val="decimal"/>
      <w:lvlText w:val="%1."/>
      <w:lvlJc w:val="left"/>
      <w:pPr>
        <w:ind w:left="425" w:hanging="425"/>
      </w:pPr>
      <w:rPr>
        <w:rFonts w:hint="default"/>
      </w:rPr>
    </w:lvl>
  </w:abstractNum>
  <w:abstractNum w:abstractNumId="11">
    <w:nsid w:val="F437FDCF"/>
    <w:multiLevelType w:val="singleLevel"/>
    <w:tmpl w:val="F437FDCF"/>
    <w:lvl w:ilvl="0" w:tentative="0">
      <w:start w:val="1"/>
      <w:numFmt w:val="decimal"/>
      <w:lvlText w:val="%1."/>
      <w:lvlJc w:val="left"/>
      <w:pPr>
        <w:ind w:left="425" w:hanging="425"/>
      </w:pPr>
      <w:rPr>
        <w:rFonts w:hint="default"/>
      </w:rPr>
    </w:lvl>
  </w:abstractNum>
  <w:abstractNum w:abstractNumId="12">
    <w:nsid w:val="FEB35BD0"/>
    <w:multiLevelType w:val="singleLevel"/>
    <w:tmpl w:val="FEB35BD0"/>
    <w:lvl w:ilvl="0" w:tentative="0">
      <w:start w:val="1"/>
      <w:numFmt w:val="decimal"/>
      <w:lvlText w:val="%1."/>
      <w:lvlJc w:val="left"/>
      <w:pPr>
        <w:ind w:left="425" w:hanging="425"/>
      </w:pPr>
      <w:rPr>
        <w:rFonts w:hint="default"/>
      </w:rPr>
    </w:lvl>
  </w:abstractNum>
  <w:abstractNum w:abstractNumId="13">
    <w:nsid w:val="09C7A34A"/>
    <w:multiLevelType w:val="singleLevel"/>
    <w:tmpl w:val="09C7A34A"/>
    <w:lvl w:ilvl="0" w:tentative="0">
      <w:start w:val="1"/>
      <w:numFmt w:val="decimal"/>
      <w:lvlText w:val="%1."/>
      <w:lvlJc w:val="left"/>
      <w:pPr>
        <w:ind w:left="425" w:hanging="425"/>
      </w:pPr>
      <w:rPr>
        <w:rFonts w:hint="default"/>
      </w:rPr>
    </w:lvl>
  </w:abstractNum>
  <w:abstractNum w:abstractNumId="14">
    <w:nsid w:val="146D1764"/>
    <w:multiLevelType w:val="singleLevel"/>
    <w:tmpl w:val="146D1764"/>
    <w:lvl w:ilvl="0" w:tentative="0">
      <w:start w:val="1"/>
      <w:numFmt w:val="decimal"/>
      <w:lvlText w:val="%1."/>
      <w:lvlJc w:val="left"/>
      <w:pPr>
        <w:ind w:left="425" w:hanging="425"/>
      </w:pPr>
      <w:rPr>
        <w:rFonts w:hint="default"/>
      </w:rPr>
    </w:lvl>
  </w:abstractNum>
  <w:abstractNum w:abstractNumId="15">
    <w:nsid w:val="229A5627"/>
    <w:multiLevelType w:val="singleLevel"/>
    <w:tmpl w:val="229A5627"/>
    <w:lvl w:ilvl="0" w:tentative="0">
      <w:start w:val="1"/>
      <w:numFmt w:val="decimal"/>
      <w:lvlText w:val="%1."/>
      <w:lvlJc w:val="left"/>
      <w:pPr>
        <w:ind w:left="425" w:hanging="425"/>
      </w:pPr>
      <w:rPr>
        <w:rFonts w:hint="default"/>
      </w:rPr>
    </w:lvl>
  </w:abstractNum>
  <w:abstractNum w:abstractNumId="16">
    <w:nsid w:val="24D2C616"/>
    <w:multiLevelType w:val="singleLevel"/>
    <w:tmpl w:val="24D2C616"/>
    <w:lvl w:ilvl="0" w:tentative="0">
      <w:start w:val="1"/>
      <w:numFmt w:val="decimal"/>
      <w:lvlText w:val="%1."/>
      <w:lvlJc w:val="left"/>
      <w:pPr>
        <w:ind w:left="425" w:hanging="425"/>
      </w:pPr>
      <w:rPr>
        <w:rFonts w:hint="default"/>
      </w:rPr>
    </w:lvl>
  </w:abstractNum>
  <w:abstractNum w:abstractNumId="17">
    <w:nsid w:val="498F8D33"/>
    <w:multiLevelType w:val="singleLevel"/>
    <w:tmpl w:val="498F8D33"/>
    <w:lvl w:ilvl="0" w:tentative="0">
      <w:start w:val="1"/>
      <w:numFmt w:val="decimal"/>
      <w:lvlText w:val="%1."/>
      <w:lvlJc w:val="left"/>
      <w:pPr>
        <w:ind w:left="425" w:hanging="425"/>
      </w:pPr>
      <w:rPr>
        <w:rFonts w:hint="default"/>
      </w:rPr>
    </w:lvl>
  </w:abstractNum>
  <w:abstractNum w:abstractNumId="18">
    <w:nsid w:val="49AEA34E"/>
    <w:multiLevelType w:val="singleLevel"/>
    <w:tmpl w:val="49AEA34E"/>
    <w:lvl w:ilvl="0" w:tentative="0">
      <w:start w:val="1"/>
      <w:numFmt w:val="decimal"/>
      <w:lvlText w:val="%1."/>
      <w:lvlJc w:val="left"/>
      <w:pPr>
        <w:ind w:left="425" w:hanging="425"/>
      </w:pPr>
      <w:rPr>
        <w:rFonts w:hint="default"/>
      </w:rPr>
    </w:lvl>
  </w:abstractNum>
  <w:abstractNum w:abstractNumId="19">
    <w:nsid w:val="4AA283C4"/>
    <w:multiLevelType w:val="singleLevel"/>
    <w:tmpl w:val="4AA283C4"/>
    <w:lvl w:ilvl="0" w:tentative="0">
      <w:start w:val="1"/>
      <w:numFmt w:val="decimal"/>
      <w:lvlText w:val="%1."/>
      <w:lvlJc w:val="left"/>
      <w:pPr>
        <w:ind w:left="425" w:hanging="425"/>
      </w:pPr>
      <w:rPr>
        <w:rFonts w:hint="default"/>
      </w:rPr>
    </w:lvl>
  </w:abstractNum>
  <w:abstractNum w:abstractNumId="20">
    <w:nsid w:val="50FA1FDA"/>
    <w:multiLevelType w:val="singleLevel"/>
    <w:tmpl w:val="50FA1FDA"/>
    <w:lvl w:ilvl="0" w:tentative="0">
      <w:start w:val="1"/>
      <w:numFmt w:val="decimal"/>
      <w:suff w:val="space"/>
      <w:lvlText w:val="%1."/>
      <w:lvlJc w:val="left"/>
      <w:pPr>
        <w:ind w:left="0" w:firstLine="480"/>
      </w:pPr>
      <w:rPr>
        <w:rFonts w:hint="default"/>
      </w:rPr>
    </w:lvl>
  </w:abstractNum>
  <w:abstractNum w:abstractNumId="21">
    <w:nsid w:val="5431E083"/>
    <w:multiLevelType w:val="singleLevel"/>
    <w:tmpl w:val="5431E083"/>
    <w:lvl w:ilvl="0" w:tentative="0">
      <w:start w:val="1"/>
      <w:numFmt w:val="decimal"/>
      <w:lvlText w:val="%1."/>
      <w:lvlJc w:val="left"/>
      <w:pPr>
        <w:ind w:left="425" w:hanging="425"/>
      </w:pPr>
      <w:rPr>
        <w:rFonts w:hint="default"/>
      </w:rPr>
    </w:lvl>
  </w:abstractNum>
  <w:abstractNum w:abstractNumId="22">
    <w:nsid w:val="65F902AB"/>
    <w:multiLevelType w:val="singleLevel"/>
    <w:tmpl w:val="65F902AB"/>
    <w:lvl w:ilvl="0" w:tentative="0">
      <w:start w:val="1"/>
      <w:numFmt w:val="decimal"/>
      <w:lvlText w:val="%1."/>
      <w:lvlJc w:val="left"/>
      <w:pPr>
        <w:ind w:left="425" w:hanging="425"/>
      </w:pPr>
      <w:rPr>
        <w:rFonts w:hint="default"/>
      </w:rPr>
    </w:lvl>
  </w:abstractNum>
  <w:abstractNum w:abstractNumId="23">
    <w:nsid w:val="68FA050D"/>
    <w:multiLevelType w:val="singleLevel"/>
    <w:tmpl w:val="68FA050D"/>
    <w:lvl w:ilvl="0" w:tentative="0">
      <w:start w:val="1"/>
      <w:numFmt w:val="decimal"/>
      <w:suff w:val="nothing"/>
      <w:lvlText w:val="%1．"/>
      <w:lvlJc w:val="left"/>
      <w:pPr>
        <w:ind w:left="0" w:firstLine="400"/>
      </w:pPr>
      <w:rPr>
        <w:rFonts w:hint="default"/>
      </w:rPr>
    </w:lvl>
  </w:abstractNum>
  <w:abstractNum w:abstractNumId="24">
    <w:nsid w:val="6A28AFB9"/>
    <w:multiLevelType w:val="singleLevel"/>
    <w:tmpl w:val="6A28AFB9"/>
    <w:lvl w:ilvl="0" w:tentative="0">
      <w:start w:val="1"/>
      <w:numFmt w:val="decimal"/>
      <w:lvlText w:val="%1."/>
      <w:lvlJc w:val="left"/>
      <w:pPr>
        <w:ind w:left="425" w:hanging="425"/>
      </w:pPr>
      <w:rPr>
        <w:rFonts w:hint="default"/>
      </w:rPr>
    </w:lvl>
  </w:abstractNum>
  <w:abstractNum w:abstractNumId="25">
    <w:nsid w:val="72E084B7"/>
    <w:multiLevelType w:val="singleLevel"/>
    <w:tmpl w:val="72E084B7"/>
    <w:lvl w:ilvl="0" w:tentative="0">
      <w:start w:val="1"/>
      <w:numFmt w:val="decimal"/>
      <w:lvlText w:val="%1."/>
      <w:lvlJc w:val="left"/>
      <w:pPr>
        <w:ind w:left="425" w:hanging="425"/>
      </w:pPr>
      <w:rPr>
        <w:rFonts w:hint="default"/>
      </w:rPr>
    </w:lvl>
  </w:abstractNum>
  <w:abstractNum w:abstractNumId="26">
    <w:nsid w:val="7B35D9DB"/>
    <w:multiLevelType w:val="singleLevel"/>
    <w:tmpl w:val="7B35D9DB"/>
    <w:lvl w:ilvl="0" w:tentative="0">
      <w:start w:val="1"/>
      <w:numFmt w:val="decimal"/>
      <w:lvlText w:val="%1."/>
      <w:lvlJc w:val="left"/>
      <w:pPr>
        <w:ind w:left="425" w:hanging="425"/>
      </w:pPr>
      <w:rPr>
        <w:rFonts w:hint="default"/>
      </w:rPr>
    </w:lvl>
  </w:abstractNum>
  <w:abstractNum w:abstractNumId="27">
    <w:nsid w:val="7E9CE66D"/>
    <w:multiLevelType w:val="singleLevel"/>
    <w:tmpl w:val="7E9CE66D"/>
    <w:lvl w:ilvl="0" w:tentative="0">
      <w:start w:val="1"/>
      <w:numFmt w:val="decimal"/>
      <w:lvlText w:val="%1."/>
      <w:lvlJc w:val="left"/>
      <w:pPr>
        <w:ind w:left="425" w:hanging="425"/>
      </w:pPr>
      <w:rPr>
        <w:rFonts w:hint="default"/>
      </w:rPr>
    </w:lvl>
  </w:abstractNum>
  <w:num w:numId="1">
    <w:abstractNumId w:val="1"/>
  </w:num>
  <w:num w:numId="2">
    <w:abstractNumId w:val="23"/>
  </w:num>
  <w:num w:numId="3">
    <w:abstractNumId w:val="26"/>
  </w:num>
  <w:num w:numId="4">
    <w:abstractNumId w:val="11"/>
  </w:num>
  <w:num w:numId="5">
    <w:abstractNumId w:val="25"/>
  </w:num>
  <w:num w:numId="6">
    <w:abstractNumId w:val="2"/>
  </w:num>
  <w:num w:numId="7">
    <w:abstractNumId w:val="15"/>
  </w:num>
  <w:num w:numId="8">
    <w:abstractNumId w:val="13"/>
  </w:num>
  <w:num w:numId="9">
    <w:abstractNumId w:val="17"/>
  </w:num>
  <w:num w:numId="10">
    <w:abstractNumId w:val="12"/>
  </w:num>
  <w:num w:numId="11">
    <w:abstractNumId w:val="5"/>
  </w:num>
  <w:num w:numId="12">
    <w:abstractNumId w:val="9"/>
  </w:num>
  <w:num w:numId="13">
    <w:abstractNumId w:val="6"/>
  </w:num>
  <w:num w:numId="14">
    <w:abstractNumId w:val="8"/>
  </w:num>
  <w:num w:numId="15">
    <w:abstractNumId w:val="21"/>
  </w:num>
  <w:num w:numId="16">
    <w:abstractNumId w:val="19"/>
  </w:num>
  <w:num w:numId="17">
    <w:abstractNumId w:val="10"/>
  </w:num>
  <w:num w:numId="18">
    <w:abstractNumId w:val="18"/>
  </w:num>
  <w:num w:numId="19">
    <w:abstractNumId w:val="14"/>
  </w:num>
  <w:num w:numId="20">
    <w:abstractNumId w:val="7"/>
  </w:num>
  <w:num w:numId="21">
    <w:abstractNumId w:val="27"/>
  </w:num>
  <w:num w:numId="22">
    <w:abstractNumId w:val="24"/>
  </w:num>
  <w:num w:numId="23">
    <w:abstractNumId w:val="16"/>
  </w:num>
  <w:num w:numId="24">
    <w:abstractNumId w:val="22"/>
  </w:num>
  <w:num w:numId="25">
    <w:abstractNumId w:val="0"/>
  </w:num>
  <w:num w:numId="26">
    <w:abstractNumId w:val="4"/>
  </w:num>
  <w:num w:numId="27">
    <w:abstractNumId w:val="20"/>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B108DA"/>
    <w:rsid w:val="10222235"/>
    <w:rsid w:val="41FD2156"/>
    <w:rsid w:val="73E37881"/>
    <w:rsid w:val="77B108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customStyle="1" w:styleId="16">
    <w:name w:val="关键词"/>
    <w:uiPriority w:val="0"/>
    <w:rPr>
      <w:rFonts w:ascii="Times New Roman" w:hAnsi="Times New Roman" w:eastAsia="宋体" w:cs="宋体"/>
      <w:b/>
      <w:bCs/>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2433</Words>
  <Characters>2720</Characters>
  <Lines>0</Lines>
  <Paragraphs>0</Paragraphs>
  <TotalTime>86</TotalTime>
  <ScaleCrop>false</ScaleCrop>
  <LinksUpToDate>false</LinksUpToDate>
  <CharactersWithSpaces>2757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2026-07-21T11:19:00Z</dcterms:created>
  <dc:creator>张思涵</dc:creator>
  <cp:lastModifiedBy>唐润怡</cp:lastModifiedBy>
  <dcterms:modified xsi:type="dcterms:W3CDTF">2026-07-22T12:48:36Z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8DD4BE319B1645619F8EAD9D82140CC0_13</vt:lpwstr>
  </property>
  <property fmtid="{D5CDD505-2E9C-101B-9397-08002B2CF9AE}" pid="4" name="KSOTemplateDocerSaveRecord">
    <vt:lpwstr>eyJoZGlkIjoiMzEwNTM5NzYwMDRjMzkwZTVkZjY2ODkwMGIxNGU0OTUiLCJ1c2VySWQiOiIxNzI4MDkwMDQ1In0=</vt:lpwstr>
  </property>
</Properties>
</file>