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52357">
      <w:pPr>
        <w:pStyle w:val="15"/>
      </w:pPr>
      <w:r>
        <w:t>“空天揽月，科创润陇”科技教育系列活动实践报告</w:t>
      </w:r>
    </w:p>
    <w:p w14:paraId="0BB6FD71">
      <w:pPr>
        <w:pStyle w:val="12"/>
        <w:rPr>
          <w:rFonts w:ascii="Times New Roman" w:hAnsi="Times New Roman" w:eastAsia="宋体" w:cs="Times New Roman"/>
          <w:sz w:val="24"/>
          <w:szCs w:val="24"/>
        </w:rPr>
      </w:pPr>
      <w:r>
        <w:rPr>
          <w:rFonts w:ascii="Times New Roman" w:hAnsi="Times New Roman" w:eastAsia="宋体" w:cs="Times New Roman"/>
          <w:sz w:val="24"/>
          <w:szCs w:val="24"/>
        </w:rPr>
        <w:t>报告单位：智联远航实践队甘肃支队</w:t>
      </w:r>
    </w:p>
    <w:p w14:paraId="291C701A">
      <w:pPr>
        <w:pStyle w:val="12"/>
        <w:rPr>
          <w:rFonts w:ascii="Times New Roman" w:hAnsi="Times New Roman" w:eastAsia="宋体" w:cs="Times New Roman"/>
          <w:sz w:val="24"/>
          <w:szCs w:val="24"/>
        </w:rPr>
      </w:pPr>
      <w:r>
        <w:rPr>
          <w:rFonts w:ascii="Times New Roman" w:hAnsi="Times New Roman" w:eastAsia="宋体" w:cs="Times New Roman"/>
          <w:sz w:val="24"/>
          <w:szCs w:val="24"/>
        </w:rPr>
        <w:t>实践时间：2026.7.6-2026.7.8</w:t>
      </w:r>
    </w:p>
    <w:p w14:paraId="2D6BE908">
      <w:pPr>
        <w:pStyle w:val="12"/>
        <w:rPr>
          <w:rFonts w:ascii="Times New Roman" w:hAnsi="Times New Roman" w:eastAsia="宋体" w:cs="Times New Roman"/>
          <w:sz w:val="24"/>
          <w:szCs w:val="24"/>
        </w:rPr>
      </w:pPr>
      <w:r>
        <w:rPr>
          <w:rFonts w:ascii="Times New Roman" w:hAnsi="Times New Roman" w:eastAsia="宋体" w:cs="Times New Roman"/>
          <w:sz w:val="24"/>
          <w:szCs w:val="24"/>
        </w:rPr>
        <w:t>实践地点：甘肃省兰州市（兰州第一中学，兰炼一中，兰州大学附属学校，甘肃省博物馆）</w:t>
      </w:r>
    </w:p>
    <w:p w14:paraId="71D663EB">
      <w:pPr>
        <w:pStyle w:val="2"/>
      </w:pPr>
      <w:r>
        <w:t>实践背景及目的</w:t>
      </w:r>
    </w:p>
    <w:p w14:paraId="29DCD121">
      <w:pPr>
        <w:pStyle w:val="2"/>
      </w:pPr>
      <w:r>
        <w:t>实践背景</w:t>
      </w:r>
    </w:p>
    <w:p w14:paraId="5559C5DD">
      <w:pPr>
        <w:pStyle w:val="3"/>
        <w:numPr>
          <w:ilvl w:val="0"/>
          <w:numId w:val="1"/>
        </w:numPr>
        <w:topLinePunct w:val="0"/>
        <w:ind w:left="0" w:leftChars="0" w:firstLine="0" w:firstLineChars="0"/>
        <w:rPr>
          <w:rFonts w:hint="eastAsia" w:ascii="黑体" w:hAnsi="黑体" w:eastAsia="黑体" w:cs="黑体"/>
          <w:b w:val="0"/>
        </w:rPr>
      </w:pPr>
      <w:r>
        <w:t>宏观战略：十五五一体化部署下的“新质人才”孕育</w:t>
      </w:r>
    </w:p>
    <w:p w14:paraId="0D19E22B">
      <w:pPr>
        <w:pStyle w:val="12"/>
        <w:rPr>
          <w:rFonts w:ascii="Times New Roman" w:hAnsi="Times New Roman" w:eastAsia="宋体" w:cs="Times New Roman"/>
          <w:sz w:val="24"/>
          <w:szCs w:val="24"/>
        </w:rPr>
      </w:pPr>
      <w:r>
        <w:rPr>
          <w:rFonts w:ascii="Times New Roman" w:hAnsi="Times New Roman" w:eastAsia="宋体" w:cs="Times New Roman"/>
          <w:sz w:val="24"/>
          <w:szCs w:val="24"/>
        </w:rPr>
        <w:t>当前，国家正处于全方位推进数智技术赋能与抢占科技发展制高点的关键历史交汇期。《十五五规划纲要》明确指出，要一体推进教育、科技、人才发展，全面实施“人工智能+”行动，并加强青少年科学素养、批判性思维与创新能力的培养。 新一轮科技革命要求高校必须打破传统人才培养的“象牙塔”壁垒，推动优质科教资源向基层下沉。北航学子作为数字时代的“新人才”，响应国家号召，将前沿科创转化为普惠性科学教育，是落实新质生产力催生、促进教育公平、助力基本公共服务均等化的必然时代担当。</w:t>
      </w:r>
    </w:p>
    <w:p w14:paraId="0D41663E">
      <w:pPr>
        <w:rPr>
          <w:rFonts w:hint="eastAsia"/>
        </w:rPr>
      </w:pPr>
    </w:p>
    <w:p w14:paraId="2090F8D8">
      <w:pPr>
        <w:pStyle w:val="3"/>
        <w:numPr>
          <w:ilvl w:val="0"/>
          <w:numId w:val="1"/>
        </w:numPr>
        <w:topLinePunct w:val="0"/>
        <w:ind w:left="0" w:leftChars="0" w:firstLine="0" w:firstLineChars="0"/>
        <w:rPr>
          <w:rFonts w:hint="eastAsia" w:ascii="黑体" w:hAnsi="黑体" w:eastAsia="黑体" w:cs="黑体"/>
          <w:b w:val="0"/>
        </w:rPr>
      </w:pPr>
      <w:r>
        <w:t>地域锚定：陇原大地的“航天情怀”与“数智鸿沟”</w:t>
      </w:r>
    </w:p>
    <w:p w14:paraId="26020074">
      <w:pPr>
        <w:pStyle w:val="12"/>
        <w:rPr>
          <w:rFonts w:ascii="Times New Roman" w:hAnsi="Times New Roman" w:eastAsia="宋体" w:cs="Times New Roman"/>
          <w:sz w:val="24"/>
          <w:szCs w:val="24"/>
        </w:rPr>
      </w:pPr>
      <w:r>
        <w:rPr>
          <w:rFonts w:ascii="Times New Roman" w:hAnsi="Times New Roman" w:eastAsia="宋体" w:cs="Times New Roman"/>
          <w:sz w:val="24"/>
          <w:szCs w:val="24"/>
        </w:rPr>
        <w:t>甘肃兰州作为丝绸之路经济带的重要节点城市与国家西部科教基地，拥有酒泉卫星发射中心、大漠飞天文化等得天独厚的“航天基因”。然而，根据团队前期针对兰州一中、兰炼一中及兰大附属学校的调研发现：虽然西部学子天然具备浓厚的“航天情怀”，但其科技信息获取渠道呈现明显的“线上化、碎片化”特征（近八成高中生依赖短视频或社交媒体获取零散科技知识），导致科学认知往往停留在概念表层。 同时，中西部地区科普教育资源配置仍存在不均衡，学校常态化、稳定化的前沿科技体验式教育（如人工智能、具身智能、虚拟现实）仍存在较大空缺。陇原大地的基础教育现场，急需体系化、沉浸式的优质高校科教资源进行定向“解渴”。</w:t>
      </w:r>
    </w:p>
    <w:p w14:paraId="2D8F3012">
      <w:pPr>
        <w:rPr>
          <w:rFonts w:hint="eastAsia"/>
        </w:rPr>
      </w:pPr>
    </w:p>
    <w:p w14:paraId="09824DBF">
      <w:pPr>
        <w:pStyle w:val="3"/>
        <w:numPr>
          <w:ilvl w:val="0"/>
          <w:numId w:val="1"/>
        </w:numPr>
        <w:topLinePunct w:val="0"/>
        <w:ind w:left="0" w:leftChars="0" w:firstLine="0" w:firstLineChars="0"/>
        <w:rPr>
          <w:rFonts w:hint="eastAsia" w:ascii="黑体" w:hAnsi="黑体" w:eastAsia="黑体" w:cs="黑体"/>
          <w:b w:val="0"/>
        </w:rPr>
      </w:pPr>
      <w:r>
        <w:t>模式创新：从“单向灌输”到“双向赋能”的认知迭代</w:t>
      </w:r>
    </w:p>
    <w:p w14:paraId="7BFF3268">
      <w:pPr>
        <w:pStyle w:val="12"/>
        <w:rPr>
          <w:rFonts w:ascii="Times New Roman" w:hAnsi="Times New Roman" w:eastAsia="宋体" w:cs="Times New Roman"/>
          <w:sz w:val="24"/>
          <w:szCs w:val="24"/>
        </w:rPr>
      </w:pPr>
      <w:commentRangeStart w:id="0"/>
      <w:r>
        <w:rPr>
          <w:rFonts w:ascii="Times New Roman" w:hAnsi="Times New Roman" w:eastAsia="宋体" w:cs="Times New Roman"/>
          <w:sz w:val="24"/>
          <w:szCs w:val="24"/>
        </w:rPr>
        <w:t>传统的暑期支教往往陷入“短期驻校、人走课停”的“候鸟式”困境，且课程深度与学生实际基础缺乏精细化匹配（调研显示，部分高中生反映课程偏简单，而近两成小学生存在听不懂现象）。为此，本次实践彻底摒弃形式化走过场的套路，创新构建“向外拓界长本领、向内扎根守初心”的闭环双轨模式：</w:t>
      </w:r>
    </w:p>
    <w:p w14:paraId="4D258C31">
      <w:pPr>
        <w:rPr>
          <w:rFonts w:hint="eastAsia"/>
        </w:rPr>
      </w:pPr>
    </w:p>
    <w:p w14:paraId="7E69660C">
      <w:pPr>
        <w:pStyle w:val="12"/>
        <w:rPr>
          <w:rFonts w:ascii="Times New Roman" w:hAnsi="Times New Roman" w:eastAsia="宋体" w:cs="Times New Roman"/>
          <w:sz w:val="24"/>
          <w:szCs w:val="24"/>
        </w:rPr>
      </w:pPr>
      <w:r>
        <w:rPr>
          <w:rFonts w:ascii="Times New Roman" w:hAnsi="Times New Roman" w:eastAsia="宋体" w:cs="Times New Roman"/>
          <w:sz w:val="24"/>
          <w:szCs w:val="24"/>
        </w:rPr>
        <w:t>向外拓界： 团队率先立足杭州数字科创阵地，通过中巴青年双向研学与跨国共创，聚焦AI、具身智能等前沿方向，完成青年自身的“认知迭代”与优质科普课件的初步孵化。</w:t>
      </w:r>
    </w:p>
    <w:p w14:paraId="653A1B4F">
      <w:pPr>
        <w:rPr>
          <w:rFonts w:hint="eastAsia"/>
        </w:rPr>
      </w:pPr>
    </w:p>
    <w:p w14:paraId="1C826004">
      <w:pPr>
        <w:pStyle w:val="12"/>
        <w:rPr>
          <w:rFonts w:ascii="Times New Roman" w:hAnsi="Times New Roman" w:eastAsia="宋体" w:cs="Times New Roman"/>
          <w:sz w:val="24"/>
          <w:szCs w:val="24"/>
        </w:rPr>
      </w:pPr>
      <w:r>
        <w:rPr>
          <w:rFonts w:ascii="Times New Roman" w:hAnsi="Times New Roman" w:eastAsia="宋体" w:cs="Times New Roman"/>
          <w:sz w:val="24"/>
          <w:szCs w:val="24"/>
        </w:rPr>
        <w:t>向内扎根： 团队带着跨国共创的数字成果，精准注入甘肃兰州等基层一线课堂，将杭州的“前沿火种”播洒在“丝路空天”之上，在破除边疆学子数字技能鸿沟的同时，通过真实的一线教学反馈，反向优化下一轮国际科创课程的迭代。</w:t>
      </w:r>
      <w:commentRangeEnd w:id="0"/>
      <w:r>
        <w:commentReference w:id="0"/>
      </w:r>
    </w:p>
    <w:p w14:paraId="6AE99875">
      <w:pPr>
        <w:rPr>
          <w:rFonts w:hint="eastAsia"/>
          <w:b/>
          <w:bCs/>
          <w:sz w:val="22"/>
          <w:szCs w:val="28"/>
        </w:rPr>
      </w:pPr>
    </w:p>
    <w:p w14:paraId="71CE7F98">
      <w:pPr>
        <w:pStyle w:val="2"/>
      </w:pPr>
      <w:r>
        <w:t>实践目的</w:t>
      </w:r>
    </w:p>
    <w:p w14:paraId="478FDC8D">
      <w:pPr>
        <w:pStyle w:val="3"/>
        <w:numPr>
          <w:ilvl w:val="0"/>
          <w:numId w:val="2"/>
        </w:numPr>
        <w:topLinePunct w:val="0"/>
        <w:ind w:left="0" w:leftChars="0" w:firstLine="0" w:firstLineChars="0"/>
        <w:rPr>
          <w:rFonts w:hint="eastAsia" w:ascii="黑体" w:hAnsi="黑体" w:eastAsia="黑体" w:cs="黑体"/>
          <w:b w:val="0"/>
        </w:rPr>
      </w:pPr>
      <w:r>
        <w:t>知识精细交付</w:t>
      </w:r>
    </w:p>
    <w:p w14:paraId="75FF2243">
      <w:pPr>
        <w:pStyle w:val="12"/>
        <w:rPr>
          <w:rFonts w:ascii="Times New Roman" w:hAnsi="Times New Roman" w:eastAsia="宋体" w:cs="Times New Roman"/>
          <w:sz w:val="24"/>
          <w:szCs w:val="24"/>
        </w:rPr>
      </w:pPr>
      <w:r>
        <w:rPr>
          <w:rFonts w:ascii="Times New Roman" w:hAnsi="Times New Roman" w:eastAsia="宋体" w:cs="Times New Roman"/>
          <w:sz w:val="24"/>
          <w:szCs w:val="24"/>
        </w:rPr>
        <w:t>针对学段差异与动手偏好，落实“先体验、后理论、后表达”的分层课程包：</w:t>
      </w:r>
    </w:p>
    <w:p w14:paraId="0DAD5E85">
      <w:pPr>
        <w:pStyle w:val="12"/>
        <w:rPr>
          <w:rFonts w:ascii="Times New Roman" w:hAnsi="Times New Roman" w:eastAsia="宋体" w:cs="Times New Roman"/>
          <w:sz w:val="24"/>
          <w:szCs w:val="24"/>
        </w:rPr>
      </w:pPr>
      <w:r>
        <w:rPr>
          <w:rFonts w:ascii="Times New Roman" w:hAnsi="Times New Roman" w:eastAsia="宋体" w:cs="Times New Roman"/>
          <w:sz w:val="24"/>
          <w:szCs w:val="24"/>
        </w:rPr>
        <w:t>小学端（低门槛、强互动）：依托航天与信息学科优势，以航天故事、手工游戏为载体进行科技启蒙，填补动手体验空白。</w:t>
      </w:r>
    </w:p>
    <w:p w14:paraId="7FE5EA7F">
      <w:pPr>
        <w:pStyle w:val="12"/>
        <w:rPr>
          <w:rFonts w:ascii="Times New Roman" w:hAnsi="Times New Roman" w:eastAsia="宋体" w:cs="Times New Roman"/>
          <w:sz w:val="24"/>
          <w:szCs w:val="24"/>
        </w:rPr>
      </w:pPr>
      <w:r>
        <w:rPr>
          <w:rFonts w:ascii="Times New Roman" w:hAnsi="Times New Roman" w:eastAsia="宋体" w:cs="Times New Roman"/>
          <w:sz w:val="24"/>
          <w:szCs w:val="24"/>
        </w:rPr>
        <w:t>高中端（高阶导向、拓宽认知）：依托虚拟现实国重实验室与软件工程专业优势，将 VR、无人机体验与算法解析、</w:t>
      </w:r>
    </w:p>
    <w:p w14:paraId="4641C6FF">
      <w:pPr>
        <w:pStyle w:val="3"/>
        <w:numPr>
          <w:ilvl w:val="0"/>
          <w:numId w:val="2"/>
        </w:numPr>
        <w:topLinePunct w:val="0"/>
        <w:ind w:left="0" w:leftChars="0" w:firstLine="0" w:firstLineChars="0"/>
        <w:rPr>
          <w:rFonts w:hint="eastAsia" w:ascii="黑体" w:hAnsi="黑体" w:eastAsia="黑体" w:cs="黑体"/>
          <w:b w:val="0"/>
        </w:rPr>
      </w:pPr>
      <w:r>
        <w:t>调研成果产出</w:t>
      </w:r>
    </w:p>
    <w:p w14:paraId="64A5F898">
      <w:pPr>
        <w:pStyle w:val="12"/>
        <w:rPr>
          <w:rFonts w:ascii="Times New Roman" w:hAnsi="Times New Roman" w:eastAsia="宋体" w:cs="Times New Roman"/>
          <w:sz w:val="24"/>
          <w:szCs w:val="24"/>
        </w:rPr>
      </w:pPr>
      <w:r>
        <w:rPr>
          <w:rFonts w:ascii="Times New Roman" w:hAnsi="Times New Roman" w:eastAsia="宋体" w:cs="Times New Roman"/>
          <w:sz w:val="24"/>
          <w:szCs w:val="24"/>
        </w:rPr>
        <w:t>通过系统调研，摸清当地学校学校科普教育需求及后续改进路径。</w:t>
      </w:r>
    </w:p>
    <w:p w14:paraId="110D6CF9">
      <w:pPr>
        <w:pStyle w:val="12"/>
        <w:rPr>
          <w:rFonts w:ascii="Times New Roman" w:hAnsi="Times New Roman" w:eastAsia="宋体" w:cs="Times New Roman"/>
          <w:b/>
          <w:sz w:val="24"/>
          <w:szCs w:val="24"/>
        </w:rPr>
      </w:pPr>
      <w:r>
        <w:rPr>
          <w:rFonts w:ascii="Times New Roman" w:hAnsi="Times New Roman" w:eastAsia="宋体" w:cs="Times New Roman"/>
          <w:sz w:val="24"/>
          <w:szCs w:val="24"/>
        </w:rPr>
        <w:t>为科普成果落地提供依据</w:t>
      </w:r>
      <w:r>
        <w:rPr>
          <w:rFonts w:ascii="Times New Roman" w:hAnsi="Times New Roman" w:eastAsia="宋体" w:cs="Times New Roman"/>
          <w:b w:val="0"/>
          <w:sz w:val="24"/>
          <w:szCs w:val="24"/>
        </w:rPr>
        <w:t>形成更具持续性的科普教育支持机制。</w:t>
      </w:r>
    </w:p>
    <w:p w14:paraId="7B0BE5C2">
      <w:pPr>
        <w:pStyle w:val="3"/>
        <w:numPr>
          <w:ilvl w:val="0"/>
          <w:numId w:val="2"/>
        </w:numPr>
        <w:topLinePunct w:val="0"/>
        <w:ind w:left="0" w:leftChars="0" w:firstLine="0" w:firstLineChars="0"/>
        <w:rPr>
          <w:rFonts w:hint="eastAsia" w:ascii="黑体" w:hAnsi="黑体" w:eastAsia="黑体" w:cs="黑体"/>
          <w:b w:val="0"/>
        </w:rPr>
      </w:pPr>
      <w:r>
        <w:t>青年实干化成长</w:t>
      </w:r>
    </w:p>
    <w:p w14:paraId="05105ACD">
      <w:pPr>
        <w:pStyle w:val="12"/>
        <w:rPr>
          <w:rFonts w:ascii="Times New Roman" w:hAnsi="Times New Roman" w:eastAsia="宋体" w:cs="Times New Roman"/>
          <w:sz w:val="24"/>
          <w:szCs w:val="24"/>
        </w:rPr>
      </w:pPr>
      <w:r>
        <w:rPr>
          <w:rFonts w:ascii="Times New Roman" w:hAnsi="Times New Roman" w:eastAsia="宋体" w:cs="Times New Roman"/>
          <w:sz w:val="24"/>
          <w:szCs w:val="24"/>
        </w:rPr>
        <w:t>引导北航青年走出象牙塔，扎根西部基层一线教育现场。体察真情实况，服务西部教育均衡的实干中，直面真民生、解决真问题。知行合一报国，践行北航“德才兼备，知行合一”的校训，在实干中淬炼家国初心。</w:t>
      </w:r>
    </w:p>
    <w:p w14:paraId="2680AB85">
      <w:pPr>
        <w:rPr>
          <w:rFonts w:hint="eastAsia"/>
        </w:rPr>
      </w:pPr>
    </w:p>
    <w:p w14:paraId="3EA73752">
      <w:pPr>
        <w:rPr>
          <w:rFonts w:hint="eastAsia"/>
        </w:rPr>
      </w:pPr>
    </w:p>
    <w:p w14:paraId="6DDB47DE">
      <w:pPr>
        <w:rPr>
          <w:rFonts w:hint="eastAsia"/>
        </w:rPr>
      </w:pPr>
    </w:p>
    <w:p w14:paraId="41A57A6A">
      <w:pPr>
        <w:pStyle w:val="2"/>
      </w:pPr>
      <w:r>
        <w:t>实践内容</w:t>
      </w:r>
    </w:p>
    <w:p w14:paraId="2499DF53">
      <w:pPr>
        <w:pStyle w:val="3"/>
      </w:pPr>
      <w:r>
        <w:t>课程介绍：</w:t>
      </w:r>
    </w:p>
    <w:p w14:paraId="1ACDB82B">
      <w:pPr>
        <w:pStyle w:val="12"/>
        <w:rPr>
          <w:rFonts w:ascii="Times New Roman" w:hAnsi="Times New Roman" w:eastAsia="宋体" w:cs="Times New Roman"/>
          <w:sz w:val="24"/>
          <w:szCs w:val="24"/>
        </w:rPr>
      </w:pPr>
      <w:r>
        <w:rPr>
          <w:rFonts w:ascii="Times New Roman" w:hAnsi="Times New Roman" w:eastAsia="宋体" w:cs="Times New Roman"/>
          <w:sz w:val="24"/>
          <w:szCs w:val="24"/>
        </w:rPr>
        <w:t>本次实践支教共设置四门核心课程，以"空天揽</w:t>
      </w:r>
      <w:r>
        <w:rPr>
          <w:rFonts w:hint="eastAsia" w:cs="Times New Roman"/>
          <w:sz w:val="24"/>
          <w:szCs w:val="24"/>
          <w:lang w:val="en-US" w:eastAsia="zh-CN"/>
        </w:rPr>
        <w:t>月</w:t>
      </w:r>
      <w:r>
        <w:rPr>
          <w:rFonts w:ascii="Times New Roman" w:hAnsi="Times New Roman" w:eastAsia="宋体" w:cs="Times New Roman"/>
          <w:sz w:val="24"/>
          <w:szCs w:val="24"/>
        </w:rPr>
        <w:t>，科创润陇"为主线，将北航的空天特色与甘肃本土的航天资源深度融合，构建了从航空基础到前沿科技的完整课程体系。四门课程涵盖航空航天、人工智能与虚拟现实三大领域，覆盖小学与高中两个学段，兼顾知识传授、视野拓展与动手体验。</w:t>
      </w:r>
    </w:p>
    <w:p w14:paraId="337EE0D8">
      <w:pPr>
        <w:pStyle w:val="4"/>
        <w:numPr>
          <w:ilvl w:val="0"/>
          <w:numId w:val="3"/>
        </w:numPr>
        <w:topLinePunct w:val="0"/>
        <w:ind w:left="0" w:leftChars="0" w:firstLine="0" w:firstLineChars="0"/>
        <w:rPr>
          <w:rFonts w:hint="eastAsia" w:ascii="黑体" w:hAnsi="黑体" w:eastAsia="黑体" w:cs="黑体"/>
          <w:b w:val="0"/>
        </w:rPr>
      </w:pPr>
      <w:r>
        <w:t>航空航天科普课</w:t>
      </w:r>
    </w:p>
    <w:p w14:paraId="5537A6DC">
      <w:pPr>
        <w:pStyle w:val="12"/>
        <w:rPr>
          <w:rFonts w:ascii="Times New Roman" w:hAnsi="Times New Roman" w:eastAsia="宋体" w:cs="Times New Roman"/>
          <w:sz w:val="24"/>
          <w:szCs w:val="24"/>
        </w:rPr>
      </w:pPr>
      <w:r>
        <w:rPr>
          <w:rFonts w:ascii="Times New Roman" w:hAnsi="Times New Roman" w:eastAsia="宋体" w:cs="Times New Roman"/>
          <w:sz w:val="24"/>
          <w:szCs w:val="24"/>
        </w:rPr>
        <w:t>本节课程面向小学生，以人类飞行史为主线脉络，采用"历史故事+原理讲解+动手实践"的教学模式。课程从"鸟为什么会飞"的生物学解析切入，引出古希腊伊卡洛斯神话、达·芬奇扑翼设计、明朝万户火箭飞天等人类早期飞行尝试，再到莱特兄弟首飞、喷气式与超音速时代的演进，串联起从古至今的逐梦蓝天之路。在此基础上，课程结合中国航空史的曲折历程与北航"八校合力、为国而生"的建校背景，集中介绍了运-20、歼-15、C919、长征五号等大国重器背后的北航总师群体，在学生们心中埋下空天报国的种子。此外，课程设置航模制作与"飞机为什么飞不到太空而火箭可以"的思辨实验环节。从课堂反馈来看，学生对飞行历史故事表现出浓厚兴趣，动手实践环节参与度极高，有效建立了对航空航天领域的基本认知与向往。</w:t>
      </w:r>
    </w:p>
    <w:p w14:paraId="0CDBF015">
      <w:pPr>
        <w:pStyle w:val="4"/>
        <w:numPr>
          <w:ilvl w:val="0"/>
          <w:numId w:val="3"/>
        </w:numPr>
        <w:topLinePunct w:val="0"/>
        <w:ind w:left="0" w:leftChars="0" w:firstLine="0" w:firstLineChars="0"/>
        <w:rPr>
          <w:rFonts w:hint="eastAsia" w:ascii="黑体" w:hAnsi="黑体" w:eastAsia="黑体" w:cs="黑体"/>
          <w:b w:val="0"/>
        </w:rPr>
      </w:pPr>
      <w:r>
        <w:t>太空主题双语科普课</w:t>
      </w:r>
    </w:p>
    <w:p w14:paraId="2CD77D5A">
      <w:pPr>
        <w:pStyle w:val="12"/>
        <w:rPr>
          <w:rFonts w:ascii="Times New Roman" w:hAnsi="Times New Roman" w:eastAsia="宋体" w:cs="Times New Roman"/>
          <w:sz w:val="24"/>
          <w:szCs w:val="24"/>
        </w:rPr>
      </w:pPr>
      <w:r>
        <w:rPr>
          <w:rFonts w:ascii="Times New Roman" w:hAnsi="Times New Roman" w:eastAsia="宋体" w:cs="Times New Roman"/>
          <w:sz w:val="24"/>
          <w:szCs w:val="24"/>
        </w:rPr>
        <w:t>本节课程一大亮点为采用中英双语授课。课程以月宫一号地面闭合生态试验平台为切入点，通过实拍视频展示舱内植物生长与水循环系统，引出"人—植物—微生物"闭环生态的技术原理。内容沿四条线索展开：敦煌飞天壁画与俄罗斯飞毯童话的跨文明对话、齐奥尔科夫斯基与加加林等航天先驱故事、北航桂海潮教授作为首位高校教师载荷专家的飞天经历（特别点明其搭乘的神舟十六号自甘肃酒泉发射），以及C919、冯如三号太阳能无人机、天问一号火星着陆等北航前沿成果。课程最后设置中英双语开放式问答环节，围绕"宇航员最重要的品质"等话题展开讨论，并配以航天主题小礼品。课堂气氛活跃，双语互动有效激发了学生的表达欲望与对航天事业的兴趣，课程授课方式的新颖设计取得了良好反响。</w:t>
      </w:r>
    </w:p>
    <w:p w14:paraId="5A9B6530">
      <w:pPr>
        <w:pStyle w:val="4"/>
        <w:numPr>
          <w:ilvl w:val="0"/>
          <w:numId w:val="3"/>
        </w:numPr>
        <w:topLinePunct w:val="0"/>
        <w:ind w:left="0" w:leftChars="0" w:firstLine="0" w:firstLineChars="0"/>
        <w:rPr>
          <w:rFonts w:hint="eastAsia" w:ascii="黑体" w:hAnsi="黑体" w:eastAsia="黑体" w:cs="黑体"/>
          <w:b w:val="0"/>
        </w:rPr>
      </w:pPr>
      <w:r>
        <w:t>人工智能科普实操课</w:t>
      </w:r>
    </w:p>
    <w:p w14:paraId="1730378C">
      <w:pPr>
        <w:pStyle w:val="12"/>
        <w:rPr>
          <w:rFonts w:ascii="Times New Roman" w:hAnsi="Times New Roman" w:eastAsia="宋体" w:cs="Times New Roman"/>
          <w:sz w:val="24"/>
          <w:szCs w:val="24"/>
        </w:rPr>
      </w:pPr>
      <w:r>
        <w:rPr>
          <w:rFonts w:ascii="Times New Roman" w:hAnsi="Times New Roman" w:eastAsia="宋体" w:cs="Times New Roman"/>
          <w:sz w:val="24"/>
          <w:szCs w:val="24"/>
        </w:rPr>
        <w:t>本节课程以"AI如何画出一张图"为核心线索，采用"原理拆解+游戏互动+历史梳理"的教学模式，将神经网络、深度学习等抽象概念转化为具象认知。课程首先解析AI生图的完整链路——从海量标注数据学习、建立文字与像素的统计关联，到从随机噪点逐步去噪生成清晰画面，直观对比人类感性创作与AI概率拟合的本质差异。随后开展"谁是AI判断家"互动游戏，在真假图片的逐级辨别中让学生切身感受AI技术的进步速度。课程后半段梳理了人工智能"三起两落"的发展简史，从图灵测试、达特茅斯会议到AlphaGo与ChatGPT，并以手写数字"8"的分层识别演示讲解神经网络的特征提取原理。最后展示智能机器狗的原理设计并让学生上手操作体验。课堂反馈显示，互动游戏环节和实操环节学生参与热情最高，"三起两落"的历史脉络有效帮助学生理解了AI发展的内在逻辑，多位学生在课后主动询问深度学习与AI安全相关问题。</w:t>
      </w:r>
    </w:p>
    <w:p w14:paraId="11B22E4A">
      <w:pPr>
        <w:pStyle w:val="4"/>
        <w:numPr>
          <w:ilvl w:val="0"/>
          <w:numId w:val="3"/>
        </w:numPr>
        <w:topLinePunct w:val="0"/>
        <w:ind w:left="0" w:leftChars="0" w:firstLine="0" w:firstLineChars="0"/>
        <w:rPr>
          <w:rFonts w:hint="eastAsia" w:ascii="黑体" w:hAnsi="黑体" w:eastAsia="黑体" w:cs="黑体"/>
          <w:b w:val="0"/>
        </w:rPr>
      </w:pPr>
      <w:r>
        <w:t>VR虚拟现实科创课</w:t>
      </w:r>
    </w:p>
    <w:p w14:paraId="0A237256">
      <w:pPr>
        <w:pStyle w:val="12"/>
        <w:rPr>
          <w:rFonts w:ascii="Times New Roman" w:hAnsi="Times New Roman" w:eastAsia="宋体" w:cs="Times New Roman"/>
          <w:sz w:val="24"/>
          <w:szCs w:val="24"/>
        </w:rPr>
      </w:pPr>
      <w:r>
        <w:rPr>
          <w:rFonts w:ascii="Times New Roman" w:hAnsi="Times New Roman" w:eastAsia="宋体" w:cs="Times New Roman"/>
          <w:sz w:val="24"/>
          <w:szCs w:val="24"/>
        </w:rPr>
        <w:t>本节课程依托北航虚拟现实技术与系统全国重点实验室的平台资源，采用"技术讲解+应用展示+真机实操"的教学模式。课程首先介绍VR的3I特征（沉浸感、交互性、想象性）与软硬件系统构成，随后展示实验室在高等级飞行模拟机（B737-800全机仿真，已应用于C919及多个军机型号）、虚拟手术仿真等领域的核心成果，并介绍了VR在敦煌莫高窟第285窟数字化保护、故宫数字人、西门子原生数字化工厂等场景的实际应用。课程最后设置真机实操体验环节，学生轮流佩戴VR眼镜亲自体验，并现场观摩实验室无人小车与机器狗演示，同时以趣味问答形式回顾VR与AR的区别等知识点。课堂反馈表明，VR实操体验是学生印象最深的环节，沉浸式教学形式有效激发了学生对前沿科技的探索兴趣，学生普遍表达了对虚拟现实技术的强烈好奇。</w:t>
      </w:r>
    </w:p>
    <w:p w14:paraId="76333BD1">
      <w:pPr>
        <w:pStyle w:val="2"/>
      </w:pPr>
      <w:r>
        <w:t>调研介绍</w:t>
      </w:r>
    </w:p>
    <w:p w14:paraId="1191BEBD">
      <w:pPr>
        <w:pStyle w:val="12"/>
        <w:rPr>
          <w:rFonts w:ascii="Times New Roman" w:hAnsi="Times New Roman" w:eastAsia="宋体" w:cs="Times New Roman"/>
          <w:sz w:val="24"/>
          <w:szCs w:val="24"/>
        </w:rPr>
      </w:pPr>
      <w:r>
        <w:rPr>
          <w:rFonts w:ascii="Times New Roman" w:hAnsi="Times New Roman" w:eastAsia="宋体" w:cs="Times New Roman"/>
          <w:sz w:val="24"/>
          <w:szCs w:val="24"/>
        </w:rPr>
        <w:t>本次调研拟回答三个核心问题：兰州中小学生对科技主题和科普课程的兴趣基础如何；北航特色科普课程在不同学段学生中的实际接受效果如何；未来高校实践队如何在短期支教基础上形成更具持续性的科普教育支持机制。</w:t>
      </w:r>
    </w:p>
    <w:p w14:paraId="7D86630B">
      <w:pPr>
        <w:pStyle w:val="12"/>
        <w:rPr>
          <w:rFonts w:ascii="Times New Roman" w:hAnsi="Times New Roman" w:eastAsia="宋体" w:cs="Times New Roman"/>
          <w:sz w:val="24"/>
          <w:szCs w:val="24"/>
        </w:rPr>
      </w:pPr>
      <w:r>
        <w:rPr>
          <w:rFonts w:ascii="Times New Roman" w:hAnsi="Times New Roman" w:eastAsia="宋体" w:cs="Times New Roman"/>
          <w:b/>
          <w:sz w:val="24"/>
          <w:szCs w:val="24"/>
        </w:rPr>
        <w:t>（高中生99份、小学生49份问卷及访谈材料作为本报告主要依据）</w:t>
      </w:r>
    </w:p>
    <w:p w14:paraId="037EC4E8">
      <w:pPr>
        <w:pStyle w:val="3"/>
      </w:pPr>
      <w:r>
        <w:t>调研对象与方法</w:t>
      </w:r>
    </w:p>
    <w:p w14:paraId="38023738">
      <w:pPr>
        <w:pStyle w:val="12"/>
        <w:rPr>
          <w:rFonts w:ascii="Times New Roman" w:hAnsi="Times New Roman" w:eastAsia="宋体" w:cs="Times New Roman"/>
          <w:sz w:val="24"/>
          <w:szCs w:val="24"/>
        </w:rPr>
      </w:pPr>
      <w:r>
        <w:rPr>
          <w:rFonts w:ascii="Times New Roman" w:hAnsi="Times New Roman" w:eastAsia="宋体" w:cs="Times New Roman"/>
          <w:sz w:val="24"/>
          <w:szCs w:val="24"/>
        </w:rPr>
        <w:t>本次调研不再按前期、中期、后期分段展开，而是围绕“学生兴趣基础—课程实施反馈—学校资源条件—后续发展需求”的逻辑进行整体分析。调研对象包括高中学生和小学四年级学生，其中高中生问卷99份、小学生问卷49份，并结合课堂观察、教师访谈和学生交流材料进行综合判断。</w:t>
      </w:r>
    </w:p>
    <w:p w14:paraId="01B844A2">
      <w:pPr>
        <w:pStyle w:val="12"/>
        <w:rPr>
          <w:rFonts w:ascii="Times New Roman" w:hAnsi="Times New Roman" w:eastAsia="宋体" w:cs="Times New Roman"/>
          <w:sz w:val="24"/>
          <w:szCs w:val="24"/>
        </w:rPr>
      </w:pPr>
      <w:r>
        <w:rPr>
          <w:rFonts w:ascii="Times New Roman" w:hAnsi="Times New Roman" w:eastAsia="宋体" w:cs="Times New Roman"/>
          <w:sz w:val="24"/>
          <w:szCs w:val="24"/>
        </w:rPr>
        <w:t>调研方法主要包括问卷调查、课堂观察和访谈交流。问卷部分重点了解学生科技兴趣、信息获取渠道、课程趣味性、理解程度、互动体验、后续参与意愿等内容；访谈部分重点补充学校科技课程基础、教师对高校实践队的期待以及学生对大学专业、科研成长和未来发展的理解。</w:t>
      </w:r>
    </w:p>
    <w:p w14:paraId="13932BE5">
      <w:pPr>
        <w:pStyle w:val="12"/>
        <w:rPr>
          <w:rFonts w:ascii="Times New Roman" w:hAnsi="Times New Roman" w:eastAsia="宋体" w:cs="Times New Roman"/>
          <w:sz w:val="24"/>
          <w:szCs w:val="24"/>
        </w:rPr>
      </w:pPr>
    </w:p>
    <w:p w14:paraId="5918177B">
      <w:pPr>
        <w:pStyle w:val="12"/>
        <w:rPr>
          <w:rFonts w:hint="eastAsia" w:ascii="Times New Roman" w:hAnsi="Times New Roman" w:eastAsia="宋体" w:cs="Times New Roman"/>
          <w:sz w:val="24"/>
          <w:szCs w:val="24"/>
          <w:lang w:val="en-US" w:eastAsia="zh-CN"/>
        </w:rPr>
      </w:pPr>
      <w:bookmarkStart w:id="0" w:name="_GoBack"/>
      <w:bookmarkEnd w:id="0"/>
    </w:p>
    <w:p w14:paraId="0508D602">
      <w:pPr>
        <w:pStyle w:val="2"/>
      </w:pPr>
      <w:r>
        <w:t>成果总结与反思</w:t>
      </w:r>
    </w:p>
    <w:p w14:paraId="487CF8B6">
      <w:pPr>
        <w:pStyle w:val="3"/>
      </w:pPr>
      <w:r>
        <w:t>一、实践成果</w:t>
      </w:r>
    </w:p>
    <w:p w14:paraId="47B5D17B">
      <w:pPr>
        <w:pStyle w:val="12"/>
        <w:rPr>
          <w:rFonts w:ascii="Times New Roman" w:hAnsi="Times New Roman" w:eastAsia="宋体" w:cs="Times New Roman"/>
          <w:sz w:val="24"/>
          <w:szCs w:val="24"/>
        </w:rPr>
      </w:pPr>
      <w:r>
        <w:rPr>
          <w:rFonts w:ascii="Times New Roman" w:hAnsi="Times New Roman" w:eastAsia="宋体" w:cs="Times New Roman"/>
          <w:sz w:val="24"/>
          <w:szCs w:val="24"/>
        </w:rPr>
        <w:t>本次实践历时三天（2026年7月6日至7月8日），面向兰州附属小学、兰炼一中、兰州第一中学三所学校，累计开展四门特色科普课程，并赴甘肃省博物馆开展调研参访，顺利完成了"课堂教学—设备体验—问卷反馈—访谈总结"的完整实践链条。</w:t>
      </w:r>
    </w:p>
    <w:p w14:paraId="6B150772">
      <w:pPr>
        <w:pStyle w:val="4"/>
        <w:numPr>
          <w:ilvl w:val="0"/>
          <w:numId w:val="4"/>
        </w:numPr>
        <w:topLinePunct w:val="0"/>
        <w:ind w:left="0" w:leftChars="0" w:firstLine="0" w:firstLineChars="0"/>
        <w:rPr>
          <w:rFonts w:hint="eastAsia" w:ascii="黑体" w:hAnsi="黑体" w:eastAsia="黑体" w:cs="黑体"/>
          <w:b w:val="0"/>
        </w:rPr>
      </w:pPr>
      <w:r>
        <w:t>课程实施效果显著，学生反馈积极</w:t>
      </w:r>
    </w:p>
    <w:p w14:paraId="5728FE7E">
      <w:pPr>
        <w:pStyle w:val="12"/>
        <w:rPr>
          <w:rFonts w:ascii="Times New Roman" w:hAnsi="Times New Roman" w:eastAsia="宋体" w:cs="Times New Roman"/>
          <w:sz w:val="24"/>
          <w:szCs w:val="24"/>
        </w:rPr>
      </w:pPr>
      <w:r>
        <w:rPr>
          <w:rFonts w:ascii="Times New Roman" w:hAnsi="Times New Roman" w:eastAsia="宋体" w:cs="Times New Roman"/>
          <w:sz w:val="24"/>
          <w:szCs w:val="24"/>
        </w:rPr>
        <w:t>四门课程整体实施效果良好。小学生群体中，91.84%的学生认为课程"非常有意思"，8.16%认为"比较有意思"，没有学生选择"一般"或"不太有意思"；100%的小学生表示"很想参加"后续类似课程。高中生群体中，54.55%的学生"非常同意"本次课程提升了自身对科技领域的兴趣，45.45%选择"比较同意"；关于"是否对大学专业、科研或未来发展有了更多了解"，两项比例完全一致。上述数据表明，课程不仅完成了知识普及任务，更在兴趣激发和生涯启发层面取得了实质性成效。</w:t>
      </w:r>
    </w:p>
    <w:p w14:paraId="040EA170">
      <w:pPr>
        <w:pStyle w:val="4"/>
        <w:numPr>
          <w:ilvl w:val="0"/>
          <w:numId w:val="4"/>
        </w:numPr>
        <w:topLinePunct w:val="0"/>
        <w:ind w:left="0" w:leftChars="0" w:firstLine="0" w:firstLineChars="0"/>
        <w:rPr>
          <w:rFonts w:hint="eastAsia" w:ascii="黑体" w:hAnsi="黑体" w:eastAsia="黑体" w:cs="黑体"/>
          <w:b w:val="0"/>
        </w:rPr>
      </w:pPr>
      <w:r>
        <w:t>体验式教学模式优势突出</w:t>
      </w:r>
    </w:p>
    <w:p w14:paraId="3B47D3A2">
      <w:pPr>
        <w:pStyle w:val="12"/>
        <w:rPr>
          <w:rFonts w:ascii="Times New Roman" w:hAnsi="Times New Roman" w:eastAsia="宋体" w:cs="Times New Roman"/>
          <w:sz w:val="24"/>
          <w:szCs w:val="24"/>
        </w:rPr>
      </w:pPr>
      <w:r>
        <w:rPr>
          <w:rFonts w:ascii="Times New Roman" w:hAnsi="Times New Roman" w:eastAsia="宋体" w:cs="Times New Roman"/>
          <w:sz w:val="24"/>
          <w:szCs w:val="24"/>
        </w:rPr>
        <w:t>在教学形式偏好方面，83.67%的小学生选择"自己动手试一试"，53.06%选择"看视频和玩小游戏"；高中生方面，90.91%的学生希望开展VR/机器狗等设备体验，72.73%希望开展动手实验或小项目。VR虚拟现实科创课的真机实操环节成为本次实践学生印象最深的环节，沉浸式教学形式有效激发了学生对前沿科技的好奇心与探索欲。此外，太空主题双语科普课的"中英双语+开放问答"设计、人工智能启蒙课的"谁是AI判断家"互动游戏，均获得了较高的课堂参与度和正面反馈，验证了"体验—互动—表达"教学链条的有效性。</w:t>
      </w:r>
    </w:p>
    <w:p w14:paraId="6418D953">
      <w:pPr>
        <w:pStyle w:val="4"/>
        <w:numPr>
          <w:ilvl w:val="0"/>
          <w:numId w:val="4"/>
        </w:numPr>
        <w:topLinePunct w:val="0"/>
        <w:ind w:left="0" w:leftChars="0" w:firstLine="0" w:firstLineChars="0"/>
        <w:rPr>
          <w:rFonts w:hint="eastAsia" w:ascii="黑体" w:hAnsi="黑体" w:eastAsia="黑体" w:cs="黑体"/>
          <w:b w:val="0"/>
        </w:rPr>
      </w:pPr>
      <w:r>
        <w:t>课程因地制宜的设计产生良好共鸣</w:t>
      </w:r>
    </w:p>
    <w:p w14:paraId="5B17DDDA">
      <w:pPr>
        <w:pStyle w:val="12"/>
        <w:rPr>
          <w:rFonts w:ascii="Times New Roman" w:hAnsi="Times New Roman" w:eastAsia="宋体" w:cs="Times New Roman"/>
          <w:sz w:val="24"/>
          <w:szCs w:val="24"/>
        </w:rPr>
      </w:pPr>
      <w:r>
        <w:rPr>
          <w:rFonts w:ascii="Times New Roman" w:hAnsi="Times New Roman" w:eastAsia="宋体" w:cs="Times New Roman"/>
          <w:sz w:val="24"/>
          <w:szCs w:val="24"/>
        </w:rPr>
        <w:t>本次实践充分结合甘肃本地资源，将敦煌飞天文化、酒泉卫星发射中心与北航航天特色有机融合。太空主题双语科普课中点明"神舟十六号从甘肃酒泉发射"时，学生反应强烈；VR课中引入敦煌莫高窟第285窟数字化保护案例，亦因地处甘肃而产生天然的亲近感。实践表明，将高校前沿资源与支教地本土文化资源相结合，能够有效拉近学生与课程内容的距离，增强课程的感染力与说服力。</w:t>
      </w:r>
    </w:p>
    <w:p w14:paraId="2F416640">
      <w:pPr>
        <w:pStyle w:val="4"/>
        <w:numPr>
          <w:ilvl w:val="0"/>
          <w:numId w:val="4"/>
        </w:numPr>
        <w:topLinePunct w:val="0"/>
        <w:ind w:left="0" w:leftChars="0" w:firstLine="0" w:firstLineChars="0"/>
        <w:rPr>
          <w:rFonts w:hint="eastAsia" w:ascii="黑体" w:hAnsi="黑体" w:eastAsia="黑体" w:cs="黑体"/>
          <w:b w:val="0"/>
        </w:rPr>
      </w:pPr>
      <w:r>
        <w:t>调研链条完整，形成系统性认知</w:t>
      </w:r>
    </w:p>
    <w:p w14:paraId="04E6FE33">
      <w:pPr>
        <w:pStyle w:val="12"/>
        <w:rPr>
          <w:rFonts w:ascii="Times New Roman" w:hAnsi="Times New Roman" w:eastAsia="宋体" w:cs="Times New Roman"/>
          <w:sz w:val="24"/>
          <w:szCs w:val="24"/>
        </w:rPr>
      </w:pPr>
      <w:r>
        <w:rPr>
          <w:rFonts w:ascii="Times New Roman" w:hAnsi="Times New Roman" w:eastAsia="宋体" w:cs="Times New Roman"/>
          <w:sz w:val="24"/>
          <w:szCs w:val="24"/>
        </w:rPr>
        <w:t>实践队通过"课前预调研—课中观察与问卷—课后总结调研"三阶段数据采集，面向学生、教师两类群体回收有效问卷148份，并结合课堂观察与教师访谈，系统掌握了兰州中小学科普教育的基本现状：学生科技兴趣基础较好，对航空航天、VR/AR、人工智能等主题关注度较高；但学校在课时安排、设备条件、课程资源和教师专业储备等方面仍面临现实限制，常态化科技活动参与机制尚不完善。上述调研成果为后续优化课程设计和探索持续性支持机制提供了数据支撑。</w:t>
      </w:r>
    </w:p>
    <w:p w14:paraId="767F606E">
      <w:pPr>
        <w:pStyle w:val="4"/>
        <w:numPr>
          <w:ilvl w:val="0"/>
          <w:numId w:val="4"/>
        </w:numPr>
        <w:topLinePunct w:val="0"/>
        <w:ind w:left="0" w:leftChars="0" w:firstLine="0" w:firstLineChars="0"/>
        <w:rPr>
          <w:rFonts w:hint="eastAsia" w:ascii="黑体" w:hAnsi="黑体" w:eastAsia="黑体" w:cs="黑体"/>
          <w:b w:val="0"/>
        </w:rPr>
      </w:pPr>
      <w:r>
        <w:t>团队协作与成员成长</w:t>
      </w:r>
    </w:p>
    <w:p w14:paraId="770F53A4">
      <w:pPr>
        <w:pStyle w:val="12"/>
        <w:rPr>
          <w:rFonts w:ascii="Times New Roman" w:hAnsi="Times New Roman" w:eastAsia="宋体" w:cs="Times New Roman"/>
          <w:sz w:val="24"/>
          <w:szCs w:val="24"/>
        </w:rPr>
      </w:pPr>
      <w:r>
        <w:rPr>
          <w:rFonts w:ascii="Times New Roman" w:hAnsi="Times New Roman" w:eastAsia="宋体" w:cs="Times New Roman"/>
          <w:sz w:val="24"/>
          <w:szCs w:val="24"/>
        </w:rPr>
        <w:t>实践队成员主要来自传源书院、知行书院、国际学院，具备扎实数理基础的同时拥有人文情怀和国际视野。本次实践中，成员们分工完成了课程设计、现场授课、问卷发放、教师访谈和宣传记录等多项任务。授课过程中，成员们从最初面对课堂的紧张到逐渐掌握节奏、灵活调整表达方式，教学能力与临场应变能力得到切实锻炼；调研组在有限时间内完成问卷发放与教师访谈，沟通协调与数据分析能力显著提升。此外，实践期间团队成员协作配合默契，有效增强了团队凝聚力。同时，成员在服务基层、走进学生的过程中切身体会到教育资源的差距和区域发展的不协调，深化了对社会责任与青年使命的理解。</w:t>
      </w:r>
    </w:p>
    <w:p w14:paraId="02CE4985">
      <w:pPr>
        <w:pStyle w:val="12"/>
        <w:rPr>
          <w:rFonts w:ascii="Times New Roman" w:hAnsi="Times New Roman" w:eastAsia="宋体" w:cs="Times New Roman"/>
          <w:sz w:val="24"/>
          <w:szCs w:val="24"/>
        </w:rPr>
      </w:pPr>
    </w:p>
    <w:p w14:paraId="63DDD66D">
      <w:pPr>
        <w:pStyle w:val="2"/>
      </w:pPr>
      <w:r>
        <w:t>调研成果</w:t>
      </w:r>
    </w:p>
    <w:p w14:paraId="6BC68C39">
      <w:pPr>
        <w:pStyle w:val="3"/>
        <w:numPr>
          <w:ilvl w:val="0"/>
          <w:numId w:val="5"/>
        </w:numPr>
        <w:topLinePunct w:val="0"/>
        <w:ind w:left="0" w:leftChars="0" w:firstLine="0" w:firstLineChars="0"/>
        <w:rPr>
          <w:rFonts w:hint="eastAsia" w:ascii="黑体" w:hAnsi="黑体" w:eastAsia="黑体" w:cs="黑体"/>
          <w:b w:val="0"/>
        </w:rPr>
      </w:pPr>
      <w:r>
        <w:t>学生科技兴趣基础较好，但参与机制仍需稳定</w:t>
      </w:r>
    </w:p>
    <w:p w14:paraId="33C20E14">
      <w:pPr>
        <w:pStyle w:val="12"/>
        <w:rPr>
          <w:rFonts w:ascii="Times New Roman" w:hAnsi="Times New Roman" w:eastAsia="宋体" w:cs="Times New Roman"/>
          <w:sz w:val="24"/>
          <w:szCs w:val="24"/>
        </w:rPr>
      </w:pPr>
      <w:r>
        <w:rPr>
          <w:rFonts w:ascii="Times New Roman" w:hAnsi="Times New Roman" w:eastAsia="宋体" w:cs="Times New Roman"/>
          <w:sz w:val="24"/>
          <w:szCs w:val="24"/>
        </w:rPr>
        <w:t>高中生既往科技活动参与情况显示，27.27%的学生表示经常参加科技类课程、社团、讲座、竞赛或实践活动，36.36%的学生表示偶尔参加，另有43.76%的学生表示很少参加。这说明学生与科技活动并非完全隔绝，但常态化、稳定化参与仍显不足。</w:t>
      </w:r>
    </w:p>
    <w:p w14:paraId="593AA5FA">
      <w:pPr>
        <w:pStyle w:val="12"/>
        <w:rPr>
          <w:rFonts w:ascii="Times New Roman" w:hAnsi="Times New Roman" w:eastAsia="宋体" w:cs="Times New Roman"/>
          <w:sz w:val="24"/>
          <w:szCs w:val="24"/>
        </w:rPr>
      </w:pPr>
      <w:r>
        <w:rPr>
          <w:rFonts w:ascii="Times New Roman" w:hAnsi="Times New Roman" w:eastAsia="宋体" w:cs="Times New Roman"/>
          <w:sz w:val="24"/>
          <w:szCs w:val="24"/>
        </w:rPr>
        <w:t>高中生获取科技信息的渠道呈现明显线上化特征。短视频/社交媒体和科普视频或纪录片均有79人选择，占79.80%，是最主要的信息入口；学校课程和新闻报道各占49.49%；科技竞赛或社团占50.51%。学生对科技内容的接触较广，但深度阅读和系统学习渠道仍需加强。</w:t>
      </w:r>
    </w:p>
    <w:p w14:paraId="13BD7A03">
      <w:pPr>
        <w:pStyle w:val="12"/>
        <w:rPr>
          <w:rFonts w:ascii="Times New Roman" w:hAnsi="Times New Roman" w:eastAsia="宋体" w:cs="Times New Roman"/>
          <w:sz w:val="24"/>
          <w:szCs w:val="24"/>
        </w:rPr>
      </w:pPr>
      <w:r>
        <w:rPr>
          <w:rFonts w:ascii="Times New Roman" w:hAnsi="Times New Roman" w:eastAsia="宋体" w:cs="Times New Roman"/>
          <w:sz w:val="24"/>
          <w:szCs w:val="24"/>
        </w:rPr>
        <w:t>在科技主题兴趣方面，高中生最关注VR/AR，占72.73%；航空航天与科幻电影、游戏各占54.55%；人工智能和编程/信息技术各占45.45%。小学生则表现出更强的具象化兴趣，49名学生全部选择“飞机/火箭/航天”为最喜欢的课堂内容，说明航空航天主题具有跨学段吸引力，也是北航实践队最具辨识度的课程资源。</w:t>
      </w:r>
    </w:p>
    <w:p w14:paraId="162FC80A">
      <w:pPr>
        <w:pStyle w:val="3"/>
        <w:numPr>
          <w:ilvl w:val="0"/>
          <w:numId w:val="5"/>
        </w:numPr>
        <w:topLinePunct w:val="0"/>
        <w:ind w:left="0" w:leftChars="0" w:firstLine="0" w:firstLineChars="0"/>
        <w:rPr>
          <w:rFonts w:hint="eastAsia" w:ascii="黑体" w:hAnsi="黑体" w:eastAsia="黑体" w:cs="黑体"/>
          <w:b w:val="0"/>
        </w:rPr>
      </w:pPr>
      <w:r>
        <w:t>课程反馈整体积极，科普课程具有明显吸引力</w:t>
      </w:r>
    </w:p>
    <w:p w14:paraId="5D7294E5">
      <w:pPr>
        <w:pStyle w:val="12"/>
        <w:rPr>
          <w:rFonts w:ascii="Times New Roman" w:hAnsi="Times New Roman" w:eastAsia="宋体" w:cs="Times New Roman"/>
          <w:sz w:val="24"/>
          <w:szCs w:val="24"/>
        </w:rPr>
      </w:pPr>
      <w:r>
        <w:rPr>
          <w:rFonts w:ascii="Times New Roman" w:hAnsi="Times New Roman" w:eastAsia="宋体" w:cs="Times New Roman"/>
          <w:sz w:val="24"/>
          <w:szCs w:val="24"/>
        </w:rPr>
        <w:t>小学生对课堂趣味性评价极高。49名学生中，45人认为课程“非常有意思”，占91.84%；4人认为“比较有意思”，占8.16%，没有学生选择“一般”或“不太有意思”。关于内容理解情况，40.82%的学生表示基本都能听懂，42.86%的学生表示大部分能听懂，16.33%的学生表示有一些听不懂，没有学生认为很多都听不懂。</w:t>
      </w:r>
    </w:p>
    <w:p w14:paraId="19BC3D15">
      <w:pPr>
        <w:pStyle w:val="12"/>
        <w:rPr>
          <w:rFonts w:ascii="Times New Roman" w:hAnsi="Times New Roman" w:eastAsia="宋体" w:cs="Times New Roman"/>
          <w:sz w:val="24"/>
          <w:szCs w:val="24"/>
        </w:rPr>
      </w:pPr>
      <w:r>
        <w:rPr>
          <w:rFonts w:ascii="Times New Roman" w:hAnsi="Times New Roman" w:eastAsia="宋体" w:cs="Times New Roman"/>
          <w:sz w:val="24"/>
          <w:szCs w:val="24"/>
        </w:rPr>
        <w:t>高中生对本次课程的反馈同样积极。关于“本次课程是否提升了你对科技领域的兴趣”，54.55%的学生选择“非常同意”，45.45%选择“比较同意”；关于“是否让你对大学专业、科研或未来发展有了更多了解”，两项比例完全一致。这说明课程不仅完成了知识普及，也有效发挥了大学生实践队在专业认知、生涯启发和高校资源连接方面的作用。</w:t>
      </w:r>
    </w:p>
    <w:p w14:paraId="6BD29334">
      <w:pPr>
        <w:pStyle w:val="12"/>
        <w:rPr>
          <w:rFonts w:ascii="Times New Roman" w:hAnsi="Times New Roman" w:eastAsia="宋体" w:cs="Times New Roman"/>
          <w:sz w:val="24"/>
          <w:szCs w:val="24"/>
        </w:rPr>
      </w:pPr>
      <w:r>
        <w:rPr>
          <w:rFonts w:ascii="Times New Roman" w:hAnsi="Times New Roman" w:eastAsia="宋体" w:cs="Times New Roman"/>
          <w:sz w:val="24"/>
          <w:szCs w:val="24"/>
        </w:rPr>
        <w:t>在课程难度方面，54.55%的高中生认为难度适中，36.36%认为比较简单，9.09%认为太简单，没有学生认为课程偏难或太难。互动性方面，63.64%的学生认为较强，36.36%认为很强。节奏方面，90.91%的学生认为正合适，9.09%认为有点快。总体来看，课程适配度较高，但对于高中生群体仍可适当增加进阶内容。</w:t>
      </w:r>
    </w:p>
    <w:p w14:paraId="7BF7F009">
      <w:pPr>
        <w:pStyle w:val="3"/>
        <w:numPr>
          <w:ilvl w:val="0"/>
          <w:numId w:val="5"/>
        </w:numPr>
        <w:topLinePunct w:val="0"/>
        <w:ind w:left="0" w:leftChars="0" w:firstLine="0" w:firstLineChars="0"/>
        <w:rPr>
          <w:rFonts w:hint="eastAsia" w:ascii="黑体" w:hAnsi="黑体" w:eastAsia="黑体" w:cs="黑体"/>
          <w:b w:val="0"/>
        </w:rPr>
      </w:pPr>
      <w:r>
        <w:t>学生更偏好体验式、互动式和动手式学习</w:t>
      </w:r>
    </w:p>
    <w:p w14:paraId="5C921652">
      <w:pPr>
        <w:pStyle w:val="12"/>
        <w:rPr>
          <w:rFonts w:ascii="Times New Roman" w:hAnsi="Times New Roman" w:eastAsia="宋体" w:cs="Times New Roman"/>
          <w:sz w:val="24"/>
          <w:szCs w:val="24"/>
        </w:rPr>
      </w:pPr>
      <w:r>
        <w:rPr>
          <w:rFonts w:ascii="Times New Roman" w:hAnsi="Times New Roman" w:eastAsia="宋体" w:cs="Times New Roman"/>
          <w:sz w:val="24"/>
          <w:szCs w:val="24"/>
        </w:rPr>
        <w:t>在教学方式偏好方面，83.67%的小学生选择“自己动手试一试”，53.06%的学生选择看视频和玩小游戏，42.86%的学生选择看图片。高中生后续期待中，90.91%的学生希望开展VR/机器狗等体验，72.73%希望开展动手实验或小项目，63.64%希望有实物或设备展示。这说明科普课程不能停留在单向讲授，而应更多采用图像化、故事化、游戏化、设备体验和项目实践相结合的方式。</w:t>
      </w:r>
    </w:p>
    <w:p w14:paraId="34307D9E">
      <w:pPr>
        <w:pStyle w:val="3"/>
        <w:numPr>
          <w:ilvl w:val="0"/>
          <w:numId w:val="5"/>
        </w:numPr>
        <w:topLinePunct w:val="0"/>
        <w:ind w:left="0" w:leftChars="0" w:firstLine="0" w:firstLineChars="0"/>
        <w:rPr>
          <w:rFonts w:hint="eastAsia" w:ascii="黑体" w:hAnsi="黑体" w:eastAsia="黑体" w:cs="黑体"/>
          <w:b w:val="0"/>
        </w:rPr>
      </w:pPr>
      <w:r>
        <w:t>学校具备一定科技教育基础，但高校资源仍有补充价值</w:t>
      </w:r>
    </w:p>
    <w:p w14:paraId="5A4BB5C3">
      <w:pPr>
        <w:pStyle w:val="12"/>
        <w:rPr>
          <w:rFonts w:ascii="Times New Roman" w:hAnsi="Times New Roman" w:eastAsia="宋体" w:cs="Times New Roman"/>
          <w:sz w:val="24"/>
          <w:szCs w:val="24"/>
        </w:rPr>
      </w:pPr>
      <w:r>
        <w:rPr>
          <w:rFonts w:ascii="Times New Roman" w:hAnsi="Times New Roman" w:eastAsia="宋体" w:cs="Times New Roman"/>
          <w:sz w:val="24"/>
          <w:szCs w:val="24"/>
        </w:rPr>
        <w:t>访谈显示，兰州一中等学校并非缺少科技教育基础。学校开设通用技术课程，高一年级每周安排相关课时，学生可接触3D建模与打印、模型制作、纸飞机试飞等内容；学校也组织过科技周、小发明小创造展示等活动，学生作品涉及制冷装置、电磁装置、校园三维模型等。航模社等学生社团还曾参加全国性比赛并取得较好成绩。</w:t>
      </w:r>
    </w:p>
    <w:p w14:paraId="2ABFFA67">
      <w:pPr>
        <w:pStyle w:val="12"/>
        <w:rPr>
          <w:rFonts w:ascii="Times New Roman" w:hAnsi="Times New Roman" w:eastAsia="宋体" w:cs="Times New Roman"/>
          <w:sz w:val="24"/>
          <w:szCs w:val="24"/>
        </w:rPr>
      </w:pPr>
      <w:r>
        <w:rPr>
          <w:rFonts w:ascii="Times New Roman" w:hAnsi="Times New Roman" w:eastAsia="宋体" w:cs="Times New Roman"/>
          <w:sz w:val="24"/>
          <w:szCs w:val="24"/>
        </w:rPr>
        <w:t>教师访谈认为，短期科普课的直接价值在于帮助学生看到课本之外的科技图景：学生能够知道人工智能、航空航天等领域正在发生什么，也能意识到大学科研与现实技术之间的联系。学生访谈也表明，即使课程时间较短，清晰的概念讲解和有趣的案例仍可能留下印象。</w:t>
      </w:r>
    </w:p>
    <w:p w14:paraId="1A8968F6">
      <w:pPr>
        <w:pStyle w:val="3"/>
        <w:numPr>
          <w:ilvl w:val="0"/>
          <w:numId w:val="5"/>
        </w:numPr>
        <w:topLinePunct w:val="0"/>
        <w:ind w:left="0" w:leftChars="0" w:firstLine="0" w:firstLineChars="0"/>
        <w:rPr>
          <w:rFonts w:hint="eastAsia" w:ascii="黑体" w:hAnsi="黑体" w:eastAsia="黑体" w:cs="黑体"/>
          <w:b w:val="0"/>
        </w:rPr>
      </w:pPr>
      <w:r>
        <w:t>后续需求从单次课程转向持续支持</w:t>
      </w:r>
    </w:p>
    <w:p w14:paraId="704362F8">
      <w:pPr>
        <w:pStyle w:val="12"/>
        <w:rPr>
          <w:rFonts w:ascii="Times New Roman" w:hAnsi="Times New Roman" w:eastAsia="宋体" w:cs="Times New Roman"/>
          <w:sz w:val="24"/>
          <w:szCs w:val="24"/>
        </w:rPr>
      </w:pPr>
      <w:r>
        <w:rPr>
          <w:rFonts w:ascii="Times New Roman" w:hAnsi="Times New Roman" w:eastAsia="宋体" w:cs="Times New Roman"/>
          <w:sz w:val="24"/>
          <w:szCs w:val="24"/>
        </w:rPr>
        <w:t>小学生对后续课程的参与意愿极强。49名学生全部选择“很想参加”类似课程，占100%。在后续想了解的内容中，太空和宇宙占75.51%，人工智能和科学实验均占57.14%，飞机和火箭占48.98%，机器人占32.65%。高中生对后续科技活动的参与意愿也较高，72.73%的学生表示愿意继续参加科技社团、讲座、高校交流或线上答疑活动，18.18%表示看主题和时间，没有学生选择不太愿意。</w:t>
      </w:r>
    </w:p>
    <w:p w14:paraId="0A7B6F87">
      <w:pPr>
        <w:pStyle w:val="12"/>
        <w:rPr>
          <w:rFonts w:ascii="Times New Roman" w:hAnsi="Times New Roman" w:eastAsia="宋体" w:cs="Times New Roman"/>
          <w:sz w:val="24"/>
          <w:szCs w:val="24"/>
        </w:rPr>
      </w:pPr>
      <w:r>
        <w:rPr>
          <w:rFonts w:ascii="Times New Roman" w:hAnsi="Times New Roman" w:eastAsia="宋体" w:cs="Times New Roman"/>
          <w:sz w:val="24"/>
          <w:szCs w:val="24"/>
        </w:rPr>
        <w:t>访谈中，教师对高校实践队内容提出了复合期待：一方面，希望学生接触AI、航空航天、机器狗、无人机、VR等前沿技术，获得课堂之外的实践体验；另一方面，也希望北航学生分享高效学习方法、大学专业选择、科研训练和成长经历。对于区域学生而言，科技支教的意义不仅是补充知识，更是打开对大学、专业和未来路径的想象。</w:t>
      </w:r>
    </w:p>
    <w:p w14:paraId="3DE24744">
      <w:pPr>
        <w:pStyle w:val="12"/>
        <w:rPr>
          <w:rFonts w:ascii="Times New Roman" w:hAnsi="Times New Roman" w:eastAsia="宋体" w:cs="Times New Roman"/>
          <w:sz w:val="24"/>
          <w:szCs w:val="24"/>
        </w:rPr>
      </w:pPr>
      <w:r>
        <w:rPr>
          <w:rFonts w:ascii="Times New Roman" w:hAnsi="Times New Roman" w:eastAsia="宋体" w:cs="Times New Roman"/>
          <w:sz w:val="24"/>
          <w:szCs w:val="24"/>
        </w:rPr>
        <w:t>学生交流材料中还出现了“北航文科生讲科普”“文科生修读人工智能双学位”等内容。这一细节说明，高中生对科技的兴趣并不局限于工科方向，人工智能与法学、行政管理、经济学、人文经典等领域也存在结合空间。</w:t>
      </w:r>
    </w:p>
    <w:p w14:paraId="22E39DBD">
      <w:pPr>
        <w:pStyle w:val="2"/>
      </w:pPr>
      <w:r>
        <w:t>四、核心结论</w:t>
      </w:r>
    </w:p>
    <w:p w14:paraId="6AC66893">
      <w:pPr>
        <w:pStyle w:val="12"/>
        <w:rPr>
          <w:rFonts w:ascii="Times New Roman" w:hAnsi="Times New Roman" w:eastAsia="宋体" w:cs="Times New Roman"/>
          <w:sz w:val="24"/>
          <w:szCs w:val="24"/>
        </w:rPr>
      </w:pPr>
      <w:r>
        <w:rPr>
          <w:rFonts w:ascii="Times New Roman" w:hAnsi="Times New Roman" w:eastAsia="宋体" w:cs="Times New Roman"/>
          <w:sz w:val="24"/>
          <w:szCs w:val="24"/>
        </w:rPr>
        <w:t>综合问卷、课堂观察和访谈材料可以看出，兰州中小学生具备较好的科技兴趣基础，学校也存在一定课程与社团条件。北航实践队带来的航空航天、人工智能、VR体验、设备展示和大学生专业分享等内容，能够有效增强课程吸引力，并在不同学段学生中产生积极反馈。</w:t>
      </w:r>
    </w:p>
    <w:p w14:paraId="30271698">
      <w:pPr>
        <w:pStyle w:val="12"/>
        <w:rPr>
          <w:rFonts w:ascii="Times New Roman" w:hAnsi="Times New Roman" w:eastAsia="宋体" w:cs="Times New Roman"/>
          <w:sz w:val="24"/>
          <w:szCs w:val="24"/>
        </w:rPr>
      </w:pPr>
      <w:r>
        <w:rPr>
          <w:rFonts w:ascii="Times New Roman" w:hAnsi="Times New Roman" w:eastAsia="宋体" w:cs="Times New Roman"/>
          <w:sz w:val="24"/>
          <w:szCs w:val="24"/>
        </w:rPr>
        <w:t>与此同时，调研也显示，学生参与科技活动的稳定性不足，信息获取渠道偏碎片化，课程深度与不同学段基础之间仍需进一步匹配。短期支教如果缺少后续资料、任务或交流渠道，课程影响容易停留在一次性体验层面。因此，后续实践应把短期课程转化为可延展的课程包、社团支持和线上答疑机制。</w:t>
      </w:r>
    </w:p>
    <w:p w14:paraId="78E18F3F">
      <w:pPr>
        <w:pStyle w:val="12"/>
        <w:rPr>
          <w:rFonts w:hint="eastAsia" w:cs="Times New Roman"/>
          <w:sz w:val="32"/>
          <w:szCs w:val="32"/>
          <w:lang w:val="en-US" w:eastAsia="zh-CN"/>
        </w:rPr>
      </w:pPr>
    </w:p>
    <w:p w14:paraId="6FFB241E">
      <w:pPr>
        <w:spacing w:line="360" w:lineRule="auto"/>
        <w:ind w:firstLine="420" w:firstLineChars="200"/>
        <w:rPr>
          <w:rFonts w:hint="eastAsia" w:ascii="仿宋_GB2312" w:hAnsi="仿宋_GB2312" w:eastAsia="仿宋_GB2312" w:cs="仿宋_GB2312"/>
          <w:lang w:val="en-US" w:eastAsia="zh-CN"/>
        </w:rPr>
      </w:pPr>
    </w:p>
    <w:p w14:paraId="41744445">
      <w:pPr>
        <w:pStyle w:val="3"/>
      </w:pPr>
      <w:r>
        <w:t>二、存在不足</w:t>
      </w:r>
    </w:p>
    <w:p w14:paraId="5A5D6C5C">
      <w:pPr>
        <w:pStyle w:val="12"/>
        <w:rPr>
          <w:rFonts w:ascii="Times New Roman" w:hAnsi="Times New Roman" w:eastAsia="宋体" w:cs="Times New Roman"/>
          <w:sz w:val="24"/>
          <w:szCs w:val="24"/>
        </w:rPr>
      </w:pPr>
      <w:r>
        <w:rPr>
          <w:rFonts w:ascii="Times New Roman" w:hAnsi="Times New Roman" w:eastAsia="宋体" w:cs="Times New Roman"/>
          <w:sz w:val="24"/>
          <w:szCs w:val="24"/>
        </w:rPr>
        <w:t>本次实践存在以下不足。一是实践周期较短，仅有三天，课程影响难以长期延续。学生兴趣被激发后，缺乏后续任务、资料和交流渠道，容易停留在短期体验层面。二是课程深度与不同学段学生基础之间的匹配有待优化。问卷显示，45.45%的高中生认为课程难度偏低或太简单，而16.33%的小学生表示部分内容存在理解困难，说明课程的分层设计仍需加强。三是设备体验时间有限，VR设备等硬件资源数量不足且缺少优质有特色的体验资源，部分学生体验时长较短，未能充分满足学生的实操需求。设备体验仅停留在表层，未能将技术的深层高质量有意义的应用展现给学生。四是调研方法较为单一，主要依赖问卷与简要访谈，缺乏对课堂行为的系统观察记录，结论的深度和丰富性有待提升。</w:t>
      </w:r>
    </w:p>
    <w:p w14:paraId="3CAA33C9">
      <w:pPr>
        <w:spacing w:line="360" w:lineRule="auto"/>
        <w:ind w:firstLine="420" w:firstLineChars="200"/>
        <w:rPr>
          <w:rFonts w:hint="eastAsia" w:ascii="仿宋_GB2312" w:hAnsi="仿宋_GB2312" w:eastAsia="仿宋_GB2312" w:cs="仿宋_GB2312"/>
          <w:lang w:val="en-US" w:eastAsia="zh-CN"/>
        </w:rPr>
      </w:pPr>
    </w:p>
    <w:p w14:paraId="2DF5EB4E">
      <w:pPr>
        <w:pStyle w:val="3"/>
      </w:pPr>
      <w:r>
        <w:t>三、未来展望</w:t>
      </w:r>
    </w:p>
    <w:p w14:paraId="32171868">
      <w:pPr>
        <w:pStyle w:val="12"/>
        <w:rPr>
          <w:rFonts w:ascii="Times New Roman" w:hAnsi="Times New Roman" w:eastAsia="宋体" w:cs="Times New Roman"/>
          <w:sz w:val="24"/>
          <w:szCs w:val="24"/>
        </w:rPr>
      </w:pPr>
      <w:r>
        <w:rPr>
          <w:rFonts w:ascii="Times New Roman" w:hAnsi="Times New Roman" w:eastAsia="宋体" w:cs="Times New Roman"/>
          <w:sz w:val="24"/>
          <w:szCs w:val="24"/>
        </w:rPr>
        <w:t>结合收获与不足，将从以下方向持续改进。第一，构建分学段、模块化课程体系。面向小学生，以航空航天启蒙、科学实验、AI小游戏和图像化故事为主；面向高中生，在保持体验感的基础上增加原理讲解、专业介绍、真实科研案例和生涯规划内容，并适当提升课程深度。第二，沉淀可复用课程资源包。将成熟课程整理为课件、讲稿、实验清单和配套视频等资源，形成可交付学校教师后续使用的资源库，也便于下一届实践队迭代更新。第三，建立线上回访与持续陪伴机制。通过线上资料分享、专业答疑、学习方法交流等轻量化形式，延长课程影响周期，将短期支教从"一次性活动"向"可持续支持"推进。第四，加强调研方法训练与设备保障，在后续实践中增加课堂观察记录、课后追踪问卷等环节，同时争取更多的硬件设备支持，确保每位学生有充分的实操体验。</w:t>
      </w:r>
    </w:p>
    <w:p w14:paraId="0900F127">
      <w:pPr>
        <w:pStyle w:val="12"/>
        <w:rPr>
          <w:rFonts w:ascii="Times New Roman" w:hAnsi="Times New Roman" w:eastAsia="宋体" w:cs="Times New Roman"/>
          <w:sz w:val="24"/>
          <w:szCs w:val="24"/>
        </w:rPr>
      </w:pPr>
      <w:r>
        <w:rPr>
          <w:rFonts w:ascii="Times New Roman" w:hAnsi="Times New Roman" w:eastAsia="宋体" w:cs="Times New Roman"/>
          <w:sz w:val="24"/>
          <w:szCs w:val="24"/>
        </w:rPr>
        <w:t>此次实践既是科技知识的传递，也是青年责任的践行。实践队成员深刻体会到基层科普教育的重要意义与现实困境，更加明确了作为北航学生应肩负的社会责任。未来，我们将带着本次实践的收获与反思，持续深耕科普支教领域，为缩小城乡科技教育差距、助力国家教育均衡发展贡献青年力量。</w:t>
      </w:r>
    </w:p>
    <w:p w14:paraId="5F840AF0">
      <w:pPr>
        <w:spacing w:line="360" w:lineRule="auto"/>
        <w:rPr>
          <w:rFonts w:hint="eastAsia" w:ascii="仿宋_GB2312" w:hAnsi="仿宋_GB2312" w:eastAsia="仿宋_GB2312" w:cs="仿宋_GB2312"/>
          <w:lang w:val="en-US" w:eastAsia="zh-CN"/>
        </w:rPr>
      </w:pPr>
    </w:p>
    <w:p w14:paraId="37DD361A">
      <w:pPr>
        <w:spacing w:line="360" w:lineRule="auto"/>
        <w:rPr>
          <w:rFonts w:hint="eastAsia" w:ascii="仿宋_GB2312" w:hAnsi="仿宋_GB2312" w:eastAsia="仿宋_GB2312" w:cs="仿宋_GB2312"/>
        </w:rPr>
      </w:pPr>
    </w:p>
    <w:p w14:paraId="33FCDB99">
      <w:pPr>
        <w:rPr>
          <w:rFonts w:hint="eastAsia"/>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孟小圆" w:date="2026-07-29T21:26:47Z" w:initials="">
    <w:p w14:paraId="65250548">
      <w:pPr>
        <w:pStyle w:val="11"/>
        <w:rPr>
          <w:rFonts w:hint="default" w:eastAsia="宋体"/>
          <w:lang w:val="en-US" w:eastAsia="zh-CN"/>
        </w:rPr>
      </w:pPr>
      <w:r>
        <w:rPr>
          <w:rFonts w:hint="eastAsia"/>
          <w:lang w:val="en-US" w:eastAsia="zh-CN"/>
        </w:rPr>
        <w:t>这段不太对，先支教后研学不是吗，以及，就不要提候鸟式困境了吧，其实咱这回也是候鸟式的（（</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525054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29276"/>
    <w:multiLevelType w:val="singleLevel"/>
    <w:tmpl w:val="92829276"/>
    <w:lvl w:ilvl="0" w:tentative="0">
      <w:start w:val="1"/>
      <w:numFmt w:val="decimal"/>
      <w:suff w:val="nothing"/>
      <w:lvlText w:val="%1、"/>
      <w:lvlJc w:val="left"/>
      <w:pPr>
        <w:ind w:left="0" w:firstLine="0"/>
      </w:pPr>
      <w:rPr>
        <w:rFonts w:hint="default"/>
      </w:rPr>
    </w:lvl>
  </w:abstractNum>
  <w:abstractNum w:abstractNumId="1">
    <w:nsid w:val="94B3B40B"/>
    <w:multiLevelType w:val="singleLevel"/>
    <w:tmpl w:val="94B3B40B"/>
    <w:lvl w:ilvl="0" w:tentative="0">
      <w:start w:val="1"/>
      <w:numFmt w:val="chineseCounting"/>
      <w:suff w:val="nothing"/>
      <w:lvlText w:val="（%1）"/>
      <w:lvlJc w:val="left"/>
      <w:pPr>
        <w:ind w:left="0" w:firstLine="0"/>
      </w:pPr>
      <w:rPr>
        <w:rFonts w:hint="eastAsia"/>
      </w:rPr>
    </w:lvl>
  </w:abstractNum>
  <w:abstractNum w:abstractNumId="2">
    <w:nsid w:val="DAD79D2D"/>
    <w:multiLevelType w:val="singleLevel"/>
    <w:tmpl w:val="DAD79D2D"/>
    <w:lvl w:ilvl="0" w:tentative="0">
      <w:start w:val="1"/>
      <w:numFmt w:val="decimal"/>
      <w:suff w:val="nothing"/>
      <w:lvlText w:val="%1、"/>
      <w:lvlJc w:val="left"/>
      <w:pPr>
        <w:ind w:left="0" w:firstLine="0"/>
      </w:pPr>
      <w:rPr>
        <w:rFonts w:hint="default"/>
      </w:rPr>
    </w:lvl>
  </w:abstractNum>
  <w:abstractNum w:abstractNumId="3">
    <w:nsid w:val="55CB6284"/>
    <w:multiLevelType w:val="singleLevel"/>
    <w:tmpl w:val="55CB6284"/>
    <w:lvl w:ilvl="0" w:tentative="0">
      <w:start w:val="1"/>
      <w:numFmt w:val="chineseCounting"/>
      <w:suff w:val="nothing"/>
      <w:lvlText w:val="（%1）"/>
      <w:lvlJc w:val="left"/>
      <w:pPr>
        <w:ind w:left="0" w:firstLine="0"/>
      </w:pPr>
      <w:rPr>
        <w:rFonts w:hint="eastAsia"/>
      </w:rPr>
    </w:lvl>
  </w:abstractNum>
  <w:abstractNum w:abstractNumId="4">
    <w:nsid w:val="6C5B6040"/>
    <w:multiLevelType w:val="singleLevel"/>
    <w:tmpl w:val="6C5B6040"/>
    <w:lvl w:ilvl="0" w:tentative="0">
      <w:start w:val="1"/>
      <w:numFmt w:val="chineseCounting"/>
      <w:suff w:val="nothing"/>
      <w:lvlText w:val="（%1）"/>
      <w:lvlJc w:val="left"/>
      <w:pPr>
        <w:ind w:left="0" w:firstLine="0"/>
      </w:pPr>
      <w:rPr>
        <w:rFonts w:hint="eastAsia"/>
      </w:rPr>
    </w:lvl>
  </w:abstractNum>
  <w:num w:numId="1">
    <w:abstractNumId w:val="4"/>
  </w:num>
  <w:num w:numId="2">
    <w:abstractNumId w:val="1"/>
  </w:num>
  <w:num w:numId="3">
    <w:abstractNumId w:val="2"/>
  </w:num>
  <w:num w:numId="4">
    <w:abstractNumId w:val="0"/>
  </w:num>
  <w:num w:numId="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孟小圆">
    <w15:presenceInfo w15:providerId="WPS Office" w15:userId="44820734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05228"/>
    <w:rsid w:val="18980476"/>
    <w:rsid w:val="1C9D47FF"/>
    <w:rsid w:val="4A28570B"/>
    <w:rsid w:val="4FBB2E06"/>
    <w:rsid w:val="67405228"/>
    <w:rsid w:val="6A4E5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uiPriority w:val="0"/>
    <w:pPr>
      <w:jc w:val="left"/>
    </w:pPr>
  </w:style>
  <w:style w:type="paragraph" w:styleId="12">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4">
    <w:name w:val="Normal (Web)"/>
    <w:basedOn w:val="1"/>
    <w:uiPriority w:val="0"/>
    <w:pPr>
      <w:spacing w:before="0" w:beforeAutospacing="1" w:after="0" w:afterAutospacing="1"/>
      <w:ind w:left="0" w:right="0"/>
      <w:jc w:val="left"/>
    </w:pPr>
    <w:rPr>
      <w:kern w:val="0"/>
      <w:sz w:val="24"/>
      <w:lang w:val="en-US" w:eastAsia="zh-CN" w:bidi="ar"/>
    </w:rPr>
  </w:style>
  <w:style w:type="paragraph" w:styleId="1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7160</Words>
  <Characters>7497</Characters>
  <Lines>0</Lines>
  <Paragraphs>0</Paragraphs>
  <TotalTime>12</TotalTime>
  <ScaleCrop>false</ScaleCrop>
  <LinksUpToDate>false</LinksUpToDate>
  <CharactersWithSpaces>7502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2026-07-17T12:27:00Z</dcterms:created>
  <dc:creator>王奕</dc:creator>
  <cp:lastModifiedBy>孟小圆</cp:lastModifiedBy>
  <dcterms:modified xsi:type="dcterms:W3CDTF">2026-07-29T13:29:08Z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EF0384F175034F73AA3C283122594D61_11</vt:lpwstr>
  </property>
  <property fmtid="{D5CDD505-2E9C-101B-9397-08002B2CF9AE}" pid="4" name="KSOTemplateDocerSaveRecord">
    <vt:lpwstr>eyJoZGlkIjoiNDg5ODljZGZjMjliYzFhOTMyMTYzNmIxNmQ2YzRlMDIiLCJ1c2VySWQiOiIxNzI1OTc5NzY3In0=</vt:lpwstr>
  </property>
</Properties>
</file>