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89BD4">
      <w:pPr>
        <w:rPr>
          <w:rFonts w:hint="eastAsia" w:ascii="汉仪青云简" w:hAnsi="汉仪青云简" w:eastAsia="汉仪青云简" w:cs="汉仪青云简"/>
          <w:b/>
          <w:bCs/>
          <w:sz w:val="36"/>
          <w:szCs w:val="44"/>
          <w:lang w:val="en-US" w:eastAsia="zh-CN"/>
        </w:rPr>
      </w:pPr>
      <w:r>
        <w:rPr>
          <w:rFonts w:hint="eastAsia" w:ascii="汉仪青云简" w:hAnsi="汉仪青云简" w:eastAsia="汉仪青云简" w:cs="汉仪青云简"/>
          <w:b/>
          <w:bCs/>
          <w:sz w:val="36"/>
          <w:szCs w:val="44"/>
          <w:lang w:val="en-US" w:eastAsia="zh-CN"/>
        </w:rPr>
        <w:t>问题汇总</w:t>
      </w:r>
    </w:p>
    <w:p w14:paraId="2CCD5E9B">
      <w:pPr>
        <w:rPr>
          <w:rFonts w:hint="eastAsia" w:ascii="汉仪青云简" w:hAnsi="汉仪青云简" w:eastAsia="汉仪青云简" w:cs="汉仪青云简"/>
          <w:b/>
          <w:bCs/>
          <w:sz w:val="36"/>
          <w:szCs w:val="44"/>
          <w:lang w:val="en-US" w:eastAsia="zh-CN"/>
        </w:rPr>
      </w:pPr>
      <w:r>
        <w:rPr>
          <w:rFonts w:hint="eastAsia" w:ascii="汉仪青云简" w:hAnsi="汉仪青云简" w:eastAsia="汉仪青云简" w:cs="汉仪青云简"/>
          <w:b/>
          <w:bCs/>
          <w:sz w:val="36"/>
          <w:szCs w:val="44"/>
          <w:lang w:val="en-US" w:eastAsia="zh-CN"/>
        </w:rPr>
        <w:t>甘肃</w:t>
      </w:r>
    </w:p>
    <w:p w14:paraId="78D3122E">
      <w:pPr>
        <w:spacing w:before="80" w:after="0" w:line="312" w:lineRule="auto"/>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·短期科普也有极大价值，</w:t>
      </w:r>
      <w:r>
        <w:rPr>
          <w:rFonts w:hint="eastAsia" w:asciiTheme="minorEastAsia" w:hAnsiTheme="minorEastAsia" w:eastAsiaTheme="minorEastAsia" w:cstheme="minorEastAsia"/>
          <w:sz w:val="24"/>
          <w:szCs w:val="24"/>
        </w:rPr>
        <w:t>即使课程时间较短，清晰的概念讲解和有趣的案例仍可能留下印象</w:t>
      </w:r>
    </w:p>
    <w:p w14:paraId="78124FD6">
      <w:pPr>
        <w:spacing w:before="80" w:after="0" w:line="312" w:lineRule="auto"/>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rPr>
        <w:t>对科技的兴趣并不局限于工科方向，人工智能与法学、行政管理、经济学、人文经典等领域也存在结合空间</w:t>
      </w:r>
    </w:p>
    <w:p w14:paraId="17A85F12">
      <w:pPr>
        <w:spacing w:before="0" w:after="0" w:line="312" w:lineRule="auto"/>
      </w:pPr>
      <w:r>
        <w:rPr>
          <w:rFonts w:hint="eastAsia" w:asciiTheme="minorEastAsia" w:hAnsiTheme="minorEastAsia" w:cstheme="minorEastAsia"/>
          <w:sz w:val="24"/>
          <w:szCs w:val="24"/>
          <w:lang w:val="en-US" w:eastAsia="zh-CN"/>
        </w:rPr>
        <w:t>1</w:t>
      </w:r>
      <w:r>
        <w:rPr>
          <w:rFonts w:hint="eastAsia" w:asciiTheme="minorEastAsia" w:hAnsiTheme="minorEastAsia" w:eastAsiaTheme="minorEastAsia" w:cstheme="minorEastAsia"/>
          <w:sz w:val="24"/>
          <w:szCs w:val="24"/>
        </w:rPr>
        <w:t>. 常态化科技活动参与机制仍不够稳定：高中生中经常参加科技类活动的比例为27.27%，说明多数学生的科技活动参与仍以偶发性、阶段性为主。</w:t>
      </w:r>
    </w:p>
    <w:p w14:paraId="7E2C6660">
      <w:pPr>
        <w:spacing w:before="0" w:after="0" w:line="312" w:lineRule="auto"/>
      </w:pPr>
      <w:r>
        <w:rPr>
          <w:rFonts w:hint="eastAsia" w:asciiTheme="minorEastAsia" w:hAnsiTheme="minorEastAsia" w:eastAsiaTheme="minorEastAsia" w:cstheme="minorEastAsia"/>
          <w:sz w:val="24"/>
          <w:szCs w:val="24"/>
        </w:rPr>
        <w:t>2. 学生科技信息获取渠道较碎片化：短视频、社交媒体和科普视频是主要信息入口，有利于快速激发兴趣，但也可能导致理解停留在表层。</w:t>
      </w:r>
    </w:p>
    <w:p w14:paraId="4232B409">
      <w:pPr>
        <w:spacing w:before="0" w:after="0" w:line="312" w:lineRule="auto"/>
      </w:pPr>
      <w:r>
        <w:rPr>
          <w:rFonts w:hint="eastAsia" w:asciiTheme="minorEastAsia" w:hAnsiTheme="minorEastAsia" w:eastAsiaTheme="minorEastAsia" w:cstheme="minorEastAsia"/>
          <w:sz w:val="24"/>
          <w:szCs w:val="24"/>
        </w:rPr>
        <w:t>3. 课程深度与不同学段学生基础之间需要更精细匹配：高中生中有45.45%认为课程偏简单或太简单，而小学生中仍有16.33%表示有一些听不懂。</w:t>
      </w:r>
    </w:p>
    <w:p w14:paraId="754B624B">
      <w:pPr>
        <w:spacing w:before="0" w:after="0" w:line="312" w:lineRule="auto"/>
      </w:pPr>
      <w:r>
        <w:rPr>
          <w:rFonts w:hint="eastAsia" w:asciiTheme="minorEastAsia" w:hAnsiTheme="minorEastAsia" w:eastAsiaTheme="minorEastAsia" w:cstheme="minorEastAsia"/>
          <w:sz w:val="24"/>
          <w:szCs w:val="24"/>
        </w:rPr>
        <w:t>4. 设备体验和动手实践供给仍需加强：高中生最期待VR/机器狗体验、动手实验和实物展示，小学生也最喜欢自己动手试一试。</w:t>
      </w:r>
    </w:p>
    <w:p w14:paraId="06BB9FD9">
      <w:pPr>
        <w:spacing w:before="0" w:after="0" w:line="312"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 短期支教课程持续性不足：学生兴趣被激发后，如果缺少后续任务、资料和交流渠道，课程影响容易停留在短期体验层面。</w:t>
      </w:r>
    </w:p>
    <w:p w14:paraId="67F9147B">
      <w:pPr>
        <w:spacing w:before="0" w:after="0" w:line="312" w:lineRule="auto"/>
        <w:rPr>
          <w:rFonts w:hint="eastAsia" w:asciiTheme="minorEastAsia" w:hAnsiTheme="minorEastAsia" w:eastAsiaTheme="minorEastAsia" w:cstheme="minorEastAsia"/>
          <w:sz w:val="24"/>
          <w:szCs w:val="24"/>
        </w:rPr>
      </w:pPr>
    </w:p>
    <w:p w14:paraId="0D8D456D">
      <w:pPr>
        <w:rPr>
          <w:rFonts w:hint="eastAsia" w:ascii="汉仪青云简" w:hAnsi="汉仪青云简" w:eastAsia="汉仪青云简" w:cs="汉仪青云简"/>
          <w:b/>
          <w:bCs/>
          <w:sz w:val="36"/>
          <w:szCs w:val="44"/>
          <w:lang w:val="en-US" w:eastAsia="zh-CN"/>
        </w:rPr>
      </w:pPr>
      <w:r>
        <w:rPr>
          <w:rFonts w:hint="eastAsia" w:ascii="汉仪青云简" w:hAnsi="汉仪青云简" w:eastAsia="汉仪青云简" w:cs="汉仪青云简"/>
          <w:b/>
          <w:bCs/>
          <w:sz w:val="36"/>
          <w:szCs w:val="44"/>
          <w:lang w:val="en-US" w:eastAsia="zh-CN"/>
        </w:rPr>
        <w:t>河南</w:t>
      </w:r>
    </w:p>
    <w:p w14:paraId="053FD8F2">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宋体" w:hAnsi="宋体" w:eastAsia="宋体" w:cs="宋体"/>
          <w:color w:val="1F2329"/>
          <w:kern w:val="0"/>
          <w:sz w:val="24"/>
          <w:szCs w:val="24"/>
          <w:lang w:val="en-US" w:eastAsia="zh-CN" w:bidi="ar"/>
        </w:rPr>
      </w:pPr>
      <w:r>
        <w:rPr>
          <w:rFonts w:hint="eastAsia" w:ascii="宋体" w:hAnsi="宋体" w:eastAsia="宋体" w:cs="宋体"/>
          <w:sz w:val="24"/>
          <w:szCs w:val="24"/>
          <w:lang w:val="en-US" w:eastAsia="zh-CN"/>
        </w:rPr>
        <w:t>我们</w:t>
      </w:r>
      <w:r>
        <w:rPr>
          <w:rFonts w:ascii="宋体" w:hAnsi="宋体" w:eastAsia="宋体" w:cs="宋体"/>
          <w:sz w:val="24"/>
          <w:szCs w:val="24"/>
        </w:rPr>
        <w:t>作为高校理工科学生，自身具备系统的专业知识体系，习惯以专业术语和成人化逻辑讲解航天、VR、AI 等前沿内容，但小学生正处于具象认知阶段，对抽象概念与专业词汇的接受度有限，很容易出现信息传递的错位，学生却难以产生共鸣，也无法理解背后的原理。</w:t>
      </w:r>
    </w:p>
    <w:p w14:paraId="5F7FCA58">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宋体" w:hAnsi="宋体" w:eastAsia="宋体" w:cs="宋体"/>
          <w:color w:val="1F2329"/>
          <w:kern w:val="0"/>
          <w:sz w:val="24"/>
          <w:szCs w:val="24"/>
          <w:lang w:val="en-US" w:eastAsia="zh-CN" w:bidi="ar"/>
        </w:rPr>
      </w:pPr>
      <w:r>
        <w:rPr>
          <w:rFonts w:ascii="宋体" w:hAnsi="宋体" w:eastAsia="宋体" w:cs="宋体"/>
          <w:sz w:val="24"/>
          <w:szCs w:val="24"/>
        </w:rPr>
        <w:t>短期支教让学生对支教老师天然带有陌生感与距离感，课堂上不敢主动表达困惑与真实想法，互动大多停留在表面，很难快速拉近师生距离。</w:t>
      </w:r>
    </w:p>
    <w:p w14:paraId="637B5F40">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宋体" w:hAnsi="宋体" w:eastAsia="宋体" w:cs="宋体"/>
          <w:color w:val="1F2329"/>
          <w:kern w:val="0"/>
          <w:sz w:val="24"/>
          <w:szCs w:val="24"/>
          <w:lang w:val="en-US" w:eastAsia="zh-CN" w:bidi="ar"/>
        </w:rPr>
      </w:pPr>
      <w:r>
        <w:rPr>
          <w:rFonts w:hint="default" w:ascii="宋体" w:hAnsi="宋体" w:eastAsia="宋体" w:cs="宋体"/>
          <w:color w:val="1F2329"/>
          <w:kern w:val="0"/>
          <w:sz w:val="24"/>
          <w:szCs w:val="24"/>
          <w:lang w:val="en-US" w:eastAsia="zh-CN" w:bidi="ar"/>
        </w:rPr>
        <w:t>学生课堂注意力难以持续集中，是小学阶段支教最突出的落地难题。低龄学生的注意力持续时长有限，</w:t>
      </w:r>
      <w:r>
        <w:rPr>
          <w:rFonts w:hint="eastAsia" w:ascii="宋体" w:hAnsi="宋体" w:eastAsia="宋体" w:cs="宋体"/>
          <w:color w:val="1F2329"/>
          <w:kern w:val="0"/>
          <w:sz w:val="24"/>
          <w:szCs w:val="24"/>
          <w:lang w:val="en-US" w:eastAsia="zh-CN" w:bidi="ar"/>
        </w:rPr>
        <w:t>而</w:t>
      </w:r>
      <w:r>
        <w:rPr>
          <w:rFonts w:hint="default" w:ascii="宋体" w:hAnsi="宋体" w:eastAsia="宋体" w:cs="宋体"/>
          <w:color w:val="1F2329"/>
          <w:kern w:val="0"/>
          <w:sz w:val="24"/>
          <w:szCs w:val="24"/>
          <w:lang w:val="en-US" w:eastAsia="zh-CN" w:bidi="ar"/>
        </w:rPr>
        <w:t>实操属性越强的课程，学生给出的满意度评分越高。</w:t>
      </w:r>
    </w:p>
    <w:p w14:paraId="2729EC3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建议在课程开始之前，明确下课时间和纪律问题，制定表现最优小组的奖励制度。在设计课程时，提升课堂互动、实验体验环节占比，并多用一些视频讲解的方式，抓住同学们的注意力，输出高趣味性、高密度的知识。在实验或者互动的部分，孩子们会表现得比较活泼和兴奋，这一方面是抓住了兴趣的表现，另一方面也要注意维持课堂秩序。</w:t>
      </w:r>
    </w:p>
    <w:p w14:paraId="0323B602">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ascii="汉仪青云简" w:hAnsi="汉仪青云简" w:eastAsia="汉仪青云简" w:cs="汉仪青云简"/>
          <w:b/>
          <w:bCs/>
          <w:sz w:val="36"/>
          <w:szCs w:val="44"/>
          <w:lang w:val="en-US" w:eastAsia="zh-CN"/>
        </w:rPr>
      </w:pPr>
      <w:r>
        <w:rPr>
          <w:rFonts w:hint="default" w:ascii="宋体" w:hAnsi="宋体" w:eastAsia="宋体" w:cs="宋体"/>
          <w:color w:val="1F2329"/>
          <w:kern w:val="0"/>
          <w:sz w:val="24"/>
          <w:szCs w:val="24"/>
          <w:lang w:val="en-US" w:eastAsia="zh-CN" w:bidi="ar"/>
        </w:rPr>
        <w:t>科创课堂难以融入学生的日常学习体系，则是</w:t>
      </w:r>
      <w:r>
        <w:rPr>
          <w:rFonts w:hint="eastAsia" w:ascii="宋体" w:hAnsi="宋体" w:eastAsia="宋体" w:cs="宋体"/>
          <w:color w:val="1F2329"/>
          <w:kern w:val="0"/>
          <w:sz w:val="24"/>
          <w:szCs w:val="24"/>
          <w:lang w:val="en-US" w:eastAsia="zh-CN" w:bidi="ar"/>
        </w:rPr>
        <w:t>我们</w:t>
      </w:r>
      <w:r>
        <w:rPr>
          <w:rFonts w:hint="default" w:ascii="宋体" w:hAnsi="宋体" w:eastAsia="宋体" w:cs="宋体"/>
          <w:color w:val="1F2329"/>
          <w:kern w:val="0"/>
          <w:sz w:val="24"/>
          <w:szCs w:val="24"/>
          <w:lang w:val="en-US" w:eastAsia="zh-CN" w:bidi="ar"/>
        </w:rPr>
        <w:t>面临的长</w:t>
      </w:r>
      <w:r>
        <w:rPr>
          <w:rFonts w:hint="eastAsia" w:ascii="宋体" w:hAnsi="宋体" w:eastAsia="宋体" w:cs="宋体"/>
          <w:color w:val="1F2329"/>
          <w:kern w:val="0"/>
          <w:sz w:val="24"/>
          <w:szCs w:val="24"/>
          <w:lang w:val="en-US" w:eastAsia="zh-CN" w:bidi="ar"/>
        </w:rPr>
        <w:t>期</w:t>
      </w:r>
      <w:r>
        <w:rPr>
          <w:rFonts w:hint="default" w:ascii="宋体" w:hAnsi="宋体" w:eastAsia="宋体" w:cs="宋体"/>
          <w:color w:val="1F2329"/>
          <w:kern w:val="0"/>
          <w:sz w:val="24"/>
          <w:szCs w:val="24"/>
          <w:lang w:val="en-US" w:eastAsia="zh-CN" w:bidi="ar"/>
        </w:rPr>
        <w:t>难题。本次支教课程以暑期体验为主，内容设计没有对标知识点，学生很难将课堂上学到的科技知识，与课本里的科学、数学等内容建立关联；加上校内的科技渗透度不高，根据前期学生问卷，仅约三成教师会经常在课堂上向学生介绍前沿科技，这就让科创课程成了孤立的课外活动，无法与常规教学</w:t>
      </w:r>
      <w:r>
        <w:rPr>
          <w:rFonts w:hint="eastAsia" w:ascii="宋体" w:hAnsi="宋体" w:eastAsia="宋体" w:cs="宋体"/>
          <w:color w:val="1F2329"/>
          <w:kern w:val="0"/>
          <w:sz w:val="24"/>
          <w:szCs w:val="24"/>
          <w:lang w:val="en-US" w:eastAsia="zh-CN" w:bidi="ar"/>
        </w:rPr>
        <w:t>配合</w:t>
      </w:r>
      <w:r>
        <w:rPr>
          <w:rFonts w:hint="default" w:ascii="宋体" w:hAnsi="宋体" w:eastAsia="宋体" w:cs="宋体"/>
          <w:color w:val="1F2329"/>
          <w:kern w:val="0"/>
          <w:sz w:val="24"/>
          <w:szCs w:val="24"/>
          <w:lang w:val="en-US" w:eastAsia="zh-CN" w:bidi="ar"/>
        </w:rPr>
        <w:t>。</w:t>
      </w:r>
      <w:r>
        <w:rPr>
          <w:rFonts w:hint="eastAsia" w:ascii="宋体" w:hAnsi="宋体" w:eastAsia="宋体" w:cs="宋体"/>
          <w:color w:val="1F2329"/>
          <w:kern w:val="0"/>
          <w:sz w:val="24"/>
          <w:szCs w:val="24"/>
          <w:lang w:val="en-US" w:eastAsia="zh-CN" w:bidi="ar"/>
        </w:rPr>
        <w:t>调查表示，学生及学生家长从自媒体平台上获取科普知识是重要途径。同时，视频的方式也是培养学生兴趣、吸引学生注意力的最佳方式。所以我们后续可以创办相关自媒体账号，长期以适龄化的教学方式带来高质量的科普教育和设备体验。利用网络资源的可复用性，填平教育资源的不足，让更多的学生可以接触到前沿、有趣、高质量的科技知识。同时实现高质量科普进入常规教学的目标，利用公共资源将科普长期化、常规化，为点燃孩子们的科创梦想做出贡献。</w:t>
      </w:r>
    </w:p>
    <w:p w14:paraId="6ABFB0B0">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eastAsia" w:ascii="宋体" w:hAnsi="宋体" w:eastAsia="宋体" w:cs="宋体"/>
          <w:color w:val="1F2329"/>
          <w:kern w:val="0"/>
          <w:sz w:val="24"/>
          <w:szCs w:val="24"/>
          <w:lang w:val="en-US" w:eastAsia="zh-CN" w:bidi="ar"/>
        </w:rPr>
      </w:pPr>
    </w:p>
    <w:p w14:paraId="76660519">
      <w:pPr>
        <w:rPr>
          <w:rFonts w:hint="eastAsia" w:ascii="汉仪青云简" w:hAnsi="汉仪青云简" w:eastAsia="汉仪青云简" w:cs="汉仪青云简"/>
          <w:b/>
          <w:bCs/>
          <w:sz w:val="36"/>
          <w:szCs w:val="44"/>
          <w:lang w:val="en-US" w:eastAsia="zh-CN"/>
        </w:rPr>
      </w:pPr>
      <w:r>
        <w:rPr>
          <w:rFonts w:hint="eastAsia" w:ascii="汉仪青云简" w:hAnsi="汉仪青云简" w:eastAsia="汉仪青云简" w:cs="汉仪青云简"/>
          <w:b/>
          <w:bCs/>
          <w:sz w:val="36"/>
          <w:szCs w:val="44"/>
          <w:lang w:val="en-US" w:eastAsia="zh-CN"/>
        </w:rPr>
        <w:t>新疆</w:t>
      </w:r>
    </w:p>
    <w:p w14:paraId="6B74A3C8">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·供需错位：学生想动手，学校给不了</w:t>
      </w:r>
    </w:p>
    <w:p w14:paraId="74BC1328">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学生问卷中“动手实验”的偏好率高达90.2%，而教师问卷中“动手实验”的开展率仅为59.1%，供需差距达31个百分点。</w:t>
      </w:r>
    </w:p>
    <w:p w14:paraId="2C73EE87">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这一错位是三重约束叠加的结果：硬件约束（学校缺少实验设备，航模器材四年未更新、机器人设备空白、经费申请长期未获批）；师资约束（学校缺少专业科创师资，社团指导老师多为非专业出身，缺乏系统培训）；课程约束（学校缺少适配课程，教师坦言“全国性白名单赛事文件理解难度大，缺少观摩和指导”）。三者相互叠加、互为因果，形成了一个恶性循环：缺人→缺课程→缺设备→开不出动手课→学生兴趣受挫→更难争取资源→继续缺人。</w:t>
      </w:r>
    </w:p>
    <w:p w14:paraId="72B7208E">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·资源约束：信息滞后，外部资源难以下沉</w:t>
      </w:r>
    </w:p>
    <w:p w14:paraId="7668ED2E">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访谈中教师反映，州航模协会、科协等外部资源通知滞后，“甚至比赛结束学校仍未收到通知”。各单位对接往往是“机械性的一个活动就结束了”，缺乏深度合作。高中学段因升学率导向与外部科技资源对接更少。</w:t>
      </w:r>
    </w:p>
    <w:p w14:paraId="325FF8D2">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这些表述透露出三重断裂：时间上的断裂（通知滞后于赛事）、深度上的断裂（活动式对接而非长期协作）、学段上的断裂（高中被升学率“隔离”在资源对接之外）。问题的要害在于信息传递的“最后一公里”没有打通——资源供给方不知道学校的具体需求，学校不知道资源的准入渠道，双方在信息黑箱中彼此错过。</w:t>
      </w:r>
    </w:p>
    <w:p w14:paraId="47765726">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经费短缺是最直接、最显性的约束。但更值得关注的是资源低效配置的结构性问题。教师建议“能对接大学淘汰的器材进行资源再利用”，这一提议暗示了一个现实：高校每年淘汰的大量教学设备并非完全丧失教学功能，而是因更新换代而被闲置；与此同时，基层学校因经费短缺买不起新设备。两者之间存在着巨大的“资源落差”和“信息鸿沟”——一边是“有设备不知往哪给”，一边是“缺设备不知从哪要”。器材循环机制在高校与基层学校之间是断裂的。</w:t>
      </w:r>
    </w:p>
    <w:p w14:paraId="1E4B1D46">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·家庭支持薄弱：有意愿、无方法、缺资源</w:t>
      </w:r>
    </w:p>
    <w:p w14:paraId="42AEDBEC">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家长端最突出的矛盾是态度与行为之间的巨大落差。66.7%的家长认为科普教育“非常重要”，但仅51.3%的家庭有额外投入；74.4%的家长“非常支持”孩子参与，但仅20.5%“经常会”主动交流。</w:t>
      </w:r>
    </w:p>
    <w:p w14:paraId="4937D03D">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进一步追问这一落差的成因，可归纳为三个层次：认知层面——家长“知道重要”但对“怎么做”缺乏方法论指导；资源层面——本地科普资源匮乏，外出需长途奔波；习惯层面——科技话题尚未成为家庭日常对话的自然组成部分。这三个层次的约束相互叠加，使得家长的积极态度难以转化为有效行动。</w:t>
      </w:r>
    </w:p>
    <w:p w14:paraId="7A454A6D">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具体而言，家长面临的约束是复合的：方法论层面——不知道聊什么、怎么聊、聊到什么程度；资源获取层面——本地科普读物、科技馆、研学机构等供给有限；时间精力层面——科普被视为“有余力才做”的弹性项目；文化习惯层面——“聊科技”尚未融入家庭日常对话的自然流程。这些约束的复合性意味着：简单的“告诉家长要重视”解决不了问题，需要提供系统性的方法论指导和低门槛的参与工具。</w:t>
      </w:r>
    </w:p>
    <w:p w14:paraId="10045EC8">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·学段断层：初中效果最优，高中被升学率挤压</w:t>
      </w:r>
    </w:p>
    <w:p w14:paraId="12B4D80E">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在高中层面科普教育普遍面临升学率的压力。54.5%的教师将“课时紧张/应试压力”列为开展科普的主要困难之一。这一困境的根源在于现行教育评价体系的单一化导向：高考的考核内容几乎不涉及科学素养、动手能力、创新思维等科普教育所培养的素质，科普教育的成效无法被量化纳入学校考核和教师评价，导致其在资源配置的优先级排序中始终处于末端。</w:t>
      </w:r>
    </w:p>
    <w:p w14:paraId="3ED149CF">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对于初中生科学兴趣较浓厚并面临的升学压力较小，相比于高中生更加适合科学兴趣的启蒙。教师访谈中一个极具洞察力的判断值得完整引用：</w:t>
      </w:r>
    </w:p>
    <w:p w14:paraId="7E0950EE">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“初中生动手能力和思维能力较强且兴趣浓厚，是科普教育效果最好的阶段；高中生思维成熟但课业压力大，对简单内容缺乏兴趣，需要更深入、操作性更强的科普内容。”——教师访谈</w:t>
      </w:r>
    </w:p>
    <w:p w14:paraId="03964115">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这一判断揭示了双重困境：初中阶段的“黄金窗口”未被充分利用——初中生正处于认知能力快速发展、学科兴趣初步分化的关键期，但学校科普活动往往不分学段“一锅煮”；高中阶段的“深度需求”无法被满足——学校曾计划开设科创班，“但实际运作中发现学生连课业知识都难以把握，再加课程反而会拉得更远，最终未能实施”。科普与应试在高中阶段被建构为零和博弈。</w:t>
      </w:r>
    </w:p>
    <w:p w14:paraId="376200AF">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·返乡人才困境：培养与回流的断裂</w:t>
      </w:r>
    </w:p>
    <w:p w14:paraId="45C0FBF6">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教师访谈透露：“优质尖子生大多选择在内地就业发展，主动返乡的仅少数有乡土情怀的学生或者能力相对较弱的学生。”家长访谈也呈现类似态度——“若孩子愿意回疆不反对，若留在内地也支持。”多数学生倾向于去内地读大学，部分考虑先在内地发展、能力提升后再考虑回新疆。</w:t>
      </w:r>
    </w:p>
    <w:p w14:paraId="178EE3A9">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这一矛盾的悖论性在于：科普教育越是成功，培养出的优秀人才越有可能因本地缺乏发展空间而选择离开；而本地的科技振兴和产业升级，又恰恰需要这些人才的回归。打破这一循环，仅靠教育端难以完成，但教育端可以做的是：在科普课程中不回避“家乡差距”这一真实议题，引导学生以“改变者”而非“逃离者”的身份面对它。</w:t>
      </w:r>
    </w:p>
    <w:p w14:paraId="5FC09552">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0000FF"/>
          <w:kern w:val="0"/>
          <w:sz w:val="24"/>
          <w:szCs w:val="24"/>
          <w:lang w:val="en-US" w:eastAsia="zh-CN" w:bidi="ar"/>
        </w:rPr>
      </w:pPr>
      <w:r>
        <w:rPr>
          <w:rFonts w:hint="eastAsia" w:ascii="宋体" w:hAnsi="宋体" w:eastAsia="宋体" w:cs="宋体"/>
          <w:color w:val="0000FF"/>
          <w:kern w:val="0"/>
          <w:sz w:val="24"/>
          <w:szCs w:val="24"/>
          <w:lang w:val="en-US" w:eastAsia="zh-CN" w:bidi="ar"/>
        </w:rPr>
        <w:t>对策建议</w:t>
      </w:r>
    </w:p>
    <w:p w14:paraId="395D7BBE">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·推动建立“高校—中学”器材循环利用机制</w:t>
      </w:r>
    </w:p>
    <w:p w14:paraId="15814D51">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·推动构建三方联动长效机制，以实践团队为纽带，建立高校、科协、科技馆与基层学校的常态化对接机制，变“一次性活动”为“持续性协作”，变“随机偶遇”为“制度化安排”。</w:t>
      </w:r>
    </w:p>
    <w:p w14:paraId="0D4DECA5">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打造精品课程包，实践队不断总结改进，针对不同学段开发具有北航特色的固定精品课程1-2个，确保每门课程均含“原理讲解+动手实验”两个模块，初中版本以动手体验为主，高中版本以项目探究为主；将精品课程固化为标准化课程包（含教案、PPT、实验指导手册、配套视频），供当地教师长期使用。</w:t>
      </w:r>
    </w:p>
    <w:p w14:paraId="3368B77F">
      <w:pPr>
        <w:spacing w:after="0" w:line="240" w:lineRule="auto"/>
        <w:rPr>
          <w:rFonts w:hint="default" w:ascii="宋体" w:hAnsi="宋体" w:eastAsia="宋体" w:cs="宋体"/>
          <w:color w:val="1F2329"/>
          <w:kern w:val="0"/>
          <w:sz w:val="24"/>
          <w:szCs w:val="24"/>
          <w:lang w:val="en-US" w:eastAsia="zh-CN" w:bidi="ar"/>
        </w:rPr>
      </w:pPr>
    </w:p>
    <w:p w14:paraId="1785767D">
      <w:pPr>
        <w:rPr>
          <w:rFonts w:hint="eastAsia" w:ascii="汉仪青云简" w:hAnsi="汉仪青云简" w:eastAsia="汉仪青云简" w:cs="汉仪青云简"/>
          <w:b/>
          <w:bCs/>
          <w:sz w:val="36"/>
          <w:szCs w:val="44"/>
          <w:lang w:val="en-US" w:eastAsia="zh-CN"/>
        </w:rPr>
      </w:pPr>
      <w:r>
        <w:rPr>
          <w:rFonts w:hint="eastAsia" w:ascii="汉仪青云简" w:hAnsi="汉仪青云简" w:eastAsia="汉仪青云简" w:cs="汉仪青云简"/>
          <w:b/>
          <w:bCs/>
          <w:sz w:val="36"/>
          <w:szCs w:val="44"/>
          <w:lang w:val="en-US" w:eastAsia="zh-CN"/>
        </w:rPr>
        <w:t>杭州</w:t>
      </w:r>
    </w:p>
    <w:p w14:paraId="37414A61">
      <w:pPr>
        <w:rPr>
          <w:b w:val="0"/>
          <w:bCs w:val="0"/>
          <w:sz w:val="28"/>
          <w:szCs w:val="28"/>
        </w:rPr>
      </w:pPr>
      <w:r>
        <w:rPr>
          <w:rFonts w:hint="eastAsia" w:ascii="汉仪青云简" w:hAnsi="汉仪青云简" w:eastAsia="汉仪青云简" w:cs="汉仪青云简"/>
          <w:b w:val="0"/>
          <w:bCs w:val="0"/>
          <w:sz w:val="28"/>
          <w:szCs w:val="28"/>
          <w:lang w:val="en-US" w:eastAsia="zh-CN"/>
        </w:rPr>
        <w:t>（杭州的研学本质上就是一次PBL教学方式的开展，他们的调研报告里面有很多关于优化研学活动流程的内容可作为借鉴，但我没有放在这里，下面主要还是和支教</w:t>
      </w:r>
      <w:bookmarkStart w:id="0" w:name="_GoBack"/>
      <w:bookmarkEnd w:id="0"/>
      <w:r>
        <w:rPr>
          <w:rFonts w:hint="eastAsia" w:ascii="汉仪青云简" w:hAnsi="汉仪青云简" w:eastAsia="汉仪青云简" w:cs="汉仪青云简"/>
          <w:b w:val="0"/>
          <w:bCs w:val="0"/>
          <w:sz w:val="28"/>
          <w:szCs w:val="28"/>
          <w:lang w:val="en-US" w:eastAsia="zh-CN"/>
        </w:rPr>
        <w:t>相关的内容）</w:t>
      </w:r>
    </w:p>
    <w:p w14:paraId="3759007D">
      <w:pPr>
        <w:pStyle w:val="11"/>
        <w:keepNext/>
        <w:keepLines/>
      </w:pPr>
      <w:r>
        <w:rPr>
          <w:rFonts w:ascii="Times New Roman" w:hAnsi="Times New Roman" w:eastAsia="宋体"/>
        </w:rPr>
        <w:t>国内外工程实践思维与项目式学习研究现状</w:t>
      </w:r>
    </w:p>
    <w:p w14:paraId="0FB40510">
      <w:pPr>
        <w:pStyle w:val="10"/>
      </w:pPr>
      <w:r>
        <w:rPr>
          <w:rFonts w:ascii="Times New Roman" w:hAnsi="Times New Roman" w:eastAsia="仿宋"/>
        </w:rPr>
        <w:t>项目式学习（Project-Based Learning,PBL）是工程实践能力培育的核心教学载体，其理论发展与实践应用始终与工程思维的培养目标深度绑定。国内外相关研究大致沿着“理论内涵界定—教学模式建构—工程场景落地”的路径逐步深化。</w:t>
      </w:r>
    </w:p>
    <w:p w14:paraId="533F0F26">
      <w:pPr>
        <w:pStyle w:val="12"/>
        <w:keepNext/>
        <w:keepLines/>
      </w:pPr>
      <w:r>
        <w:rPr>
          <w:rFonts w:ascii="Times New Roman" w:hAnsi="Times New Roman" w:eastAsia="宋体"/>
        </w:rPr>
        <w:t>2.1.1国外研究脉络</w:t>
      </w:r>
    </w:p>
    <w:p w14:paraId="1AC346A3">
      <w:pPr>
        <w:pStyle w:val="10"/>
      </w:pPr>
      <w:r>
        <w:rPr>
          <w:rFonts w:ascii="Times New Roman" w:hAnsi="Times New Roman" w:eastAsia="仿宋"/>
        </w:rPr>
        <w:t>项目式学习的思想源头可追溯至杜威提出的“做中学”教育理念，强调学习者在真实任务中通过主动探究完成知识建构与能力养成。在此基础上，Krajcik等学者进一步提炼出项目式学习的三大核心理念：主动建构、情境学习与社会互动，明确了项目式学习以学生为主体、以真实问题为驱动、以协作探究为路径的基本特征</w:t>
      </w:r>
      <w:r>
        <w:rPr>
          <w:rFonts w:ascii="Times New Roman" w:hAnsi="Times New Roman" w:eastAsia="仿宋"/>
          <w:vertAlign w:val="superscript"/>
        </w:rPr>
        <w:t>[3]</w:t>
      </w:r>
      <w:r>
        <w:rPr>
          <w:rFonts w:ascii="Times New Roman" w:hAnsi="Times New Roman" w:eastAsia="仿宋"/>
        </w:rPr>
        <w:t>。</w:t>
      </w:r>
    </w:p>
    <w:p w14:paraId="4D444BD5">
      <w:pPr>
        <w:pStyle w:val="10"/>
      </w:pPr>
      <w:r>
        <w:rPr>
          <w:rFonts w:ascii="Times New Roman" w:hAnsi="Times New Roman" w:eastAsia="仿宋"/>
        </w:rPr>
        <w:t>在工程教育领域，国外研究重点聚焦于项目式学习对工程实践思维的培育机制。一方面，学界普遍认可工程实践思维是包含问题拆解、系统权衡、迭代试错、协作落地在内的综合能力体系，无法仅通过理论讲授获得，必须依托真实工程场景的沉浸式训练；另一方面，CDIO（构思—设计—实现—运作）等工程教育模式将项目式学习作为核心落地路径，验证了其在提升学生技术应用能力、团队协作能力与创新解决问题能力上的显著效果。随着工程技术的快速迭代，近年国外研究进一步关注前沿技术项目中的PBL适配性，探讨如何在机器人、无人机、智能系统等复杂实操项目中平衡技术学习与思维培育。</w:t>
      </w:r>
    </w:p>
    <w:p w14:paraId="26A2CE2C">
      <w:pPr>
        <w:pStyle w:val="12"/>
        <w:keepNext/>
        <w:keepLines/>
      </w:pPr>
      <w:r>
        <w:rPr>
          <w:rFonts w:ascii="Times New Roman" w:hAnsi="Times New Roman" w:eastAsia="宋体"/>
        </w:rPr>
        <w:t>2.1.2国内研究进展</w:t>
      </w:r>
    </w:p>
    <w:p w14:paraId="66406FB0">
      <w:pPr>
        <w:pStyle w:val="10"/>
      </w:pPr>
      <w:r>
        <w:rPr>
          <w:rFonts w:ascii="Times New Roman" w:hAnsi="Times New Roman" w:eastAsia="仿宋"/>
        </w:rPr>
        <w:t>国内对项目式学习的研究始于概念引介与本土化适配，早期研究多聚焦于其与综合实践活动、研究性学习、STEM教育的概念辨析，逐步明确了项目式学习“以真实问题为起点、以成果产出为导向、以知识整合为核心”的本质特征</w:t>
      </w:r>
      <w:r>
        <w:rPr>
          <w:rFonts w:ascii="Times New Roman" w:hAnsi="Times New Roman" w:eastAsia="仿宋"/>
          <w:vertAlign w:val="superscript"/>
        </w:rPr>
        <w:t>[1]</w:t>
      </w:r>
      <w:r>
        <w:rPr>
          <w:rFonts w:ascii="Times New Roman" w:hAnsi="Times New Roman" w:eastAsia="仿宋"/>
        </w:rPr>
        <w:t>。</w:t>
      </w:r>
    </w:p>
    <w:p w14:paraId="106C50BE">
      <w:pPr>
        <w:pStyle w:val="10"/>
      </w:pPr>
      <w:r>
        <w:rPr>
          <w:rFonts w:ascii="Times New Roman" w:hAnsi="Times New Roman" w:eastAsia="仿宋"/>
        </w:rPr>
        <w:t>在理论层面，近年研究逐步从应用经验总结转向本体论层面的深度建构。黄嘉莉等引入实践哲学视角，从本体论、认识论与方法论三个维度重构项目式学习的实践本体，提出“向善实践-理性自由-生成自我”的三维结构框架，指出项目式学习的核心并非完成项目本身，而是让学习者在真实问题解决中形成价值判断、完成理性建构、实现自我生成，为项目式学习的教学设计提供了更清晰的学理依据</w:t>
      </w:r>
      <w:r>
        <w:rPr>
          <w:rFonts w:ascii="Times New Roman" w:hAnsi="Times New Roman" w:eastAsia="仿宋"/>
          <w:vertAlign w:val="superscript"/>
        </w:rPr>
        <w:t>[1]</w:t>
      </w:r>
      <w:r>
        <w:rPr>
          <w:rFonts w:ascii="Times New Roman" w:hAnsi="Times New Roman" w:eastAsia="仿宋"/>
        </w:rPr>
        <w:t>。</w:t>
      </w:r>
    </w:p>
    <w:p w14:paraId="1CE34F31">
      <w:pPr>
        <w:pStyle w:val="10"/>
      </w:pPr>
      <w:r>
        <w:rPr>
          <w:rFonts w:ascii="Times New Roman" w:hAnsi="Times New Roman" w:eastAsia="仿宋"/>
        </w:rPr>
        <w:t>在工程教育应用层面，国内研究已覆盖从低年级认知实习到高年级专业实训的全学段场景。李君等针对低年级工科认知实习的痛点，设计了“四阶段九步骤”的产出导向PBL教学流程，验证了即使学生知识储备存在缺口，通过脚手架支持与认知学徒制引导，项目式学习仍能有效提升学生的工程认知与实践能力</w:t>
      </w:r>
      <w:r>
        <w:rPr>
          <w:rFonts w:ascii="Times New Roman" w:hAnsi="Times New Roman" w:eastAsia="仿宋"/>
          <w:vertAlign w:val="superscript"/>
        </w:rPr>
        <w:t>[3]</w:t>
      </w:r>
      <w:r>
        <w:rPr>
          <w:rFonts w:ascii="Times New Roman" w:hAnsi="Times New Roman" w:eastAsia="仿宋"/>
        </w:rPr>
        <w:t>。路叶等则面向产业需求，将项目式学习与电池全生命周期场景结合，构建了模块化、多维度评价的教学模式，验证了其在培育系统思维、跨界协作等综合素养上的价值</w:t>
      </w:r>
      <w:r>
        <w:rPr>
          <w:rFonts w:ascii="Times New Roman" w:hAnsi="Times New Roman" w:eastAsia="仿宋"/>
          <w:vertAlign w:val="superscript"/>
        </w:rPr>
        <w:t>[2]</w:t>
      </w:r>
      <w:r>
        <w:rPr>
          <w:rFonts w:ascii="Times New Roman" w:hAnsi="Times New Roman" w:eastAsia="仿宋"/>
        </w:rPr>
        <w:t>。整体来看，国内工程领域的PBL研究已从“是否可行”的验证阶段，进入“如何优化”的深化阶段。</w:t>
      </w:r>
    </w:p>
    <w:p w14:paraId="51A1174E">
      <w:pPr>
        <w:pStyle w:val="9"/>
        <w:keepNext/>
        <w:keepLines/>
      </w:pPr>
      <w:r>
        <w:rPr>
          <w:rFonts w:ascii="Times New Roman" w:hAnsi="Times New Roman" w:eastAsia="宋体" w:cs="Noto Serif CJK SC"/>
          <w:b/>
        </w:rPr>
        <w:t>五、工程实践行为差异的可能影响因素</w:t>
      </w:r>
    </w:p>
    <w:p w14:paraId="415C735A">
      <w:pPr>
        <w:pStyle w:val="11"/>
        <w:keepNext/>
        <w:keepLines/>
      </w:pPr>
      <w:r>
        <w:rPr>
          <w:rFonts w:ascii="Times New Roman" w:hAnsi="Times New Roman" w:eastAsia="宋体" w:cs="Noto Serif CJK SC"/>
          <w:b/>
        </w:rPr>
        <w:t>1. 个人技术基础和项目经验</w:t>
      </w:r>
    </w:p>
    <w:p w14:paraId="07F10B45">
      <w:pPr>
        <w:pStyle w:val="12"/>
        <w:keepNext/>
        <w:keepLines/>
      </w:pPr>
      <w:r>
        <w:rPr>
          <w:rFonts w:ascii="Times New Roman" w:hAnsi="Times New Roman" w:eastAsia="宋体" w:cs="Noto Serif CJK SC"/>
        </w:rPr>
        <w:t>1.1 三国受访者教育背景画像</w:t>
      </w:r>
    </w:p>
    <w:p w14:paraId="6389D5CC">
      <w:pPr>
        <w:pStyle w:val="10"/>
      </w:pPr>
      <w:r>
        <w:rPr>
          <w:rFonts w:ascii="Times New Roman" w:hAnsi="Times New Roman" w:eastAsia="仿宋" w:cs="Noto Serif CJK SC"/>
        </w:rPr>
        <w:t>根据采访与问卷信息总结，中国受访学生均在国内完成完整基础教育，编程相关启蒙仅依靠高中课外拓展课程，在校常规教学中缺少系统性工程实操训练，本科阶段专业选择多受行业热门趋势、就业前景等外部社会因素驱动，在校参与的项目实践多为标准化课程作业与网页开发类简易实训，仅有少数学生拥有硬件焊接、控制逻辑开发类完整工程实操经历。问卷群体中近九成学生年龄集中在 18 至 22 岁，全部无海外学习经历，三分之二群体更倾向遵循教师指导、按固定流程完成学习任务。</w:t>
      </w:r>
    </w:p>
    <w:p w14:paraId="201109EB">
      <w:pPr>
        <w:pStyle w:val="10"/>
      </w:pPr>
      <w:r>
        <w:rPr>
          <w:rFonts w:ascii="Times New Roman" w:hAnsi="Times New Roman" w:eastAsia="仿宋" w:cs="Noto Serif CJK SC"/>
        </w:rPr>
        <w:t>西班牙学生自技术高中阶段即可接触标准化编程、信息安全类课程，编程启蒙早于其余两国学生，部分学生在校期间拥有海外工科项目参与经历，大学阶段专业分为软件工程、计算机与管理学交叉方向、人工智能算法研究三类，不同授课教师的教学风格差异明显，学习偏好分布均匀无明显偏向。问卷样本全部为 18 至 22 岁工程类专业学生，无海外求学经历，半数学生基础教育阶段依托线上课程完成知识学习。</w:t>
      </w:r>
    </w:p>
    <w:p w14:paraId="4910B1D4">
      <w:pPr>
        <w:pStyle w:val="10"/>
      </w:pPr>
      <w:r>
        <w:rPr>
          <w:rFonts w:ascii="Times New Roman" w:hAnsi="Times New Roman" w:eastAsia="仿宋" w:cs="Noto Serif CJK SC"/>
        </w:rPr>
        <w:t>巴西受访学生的基础教育阶段普遍缺失工程、科技类系统化教学，课堂以教师单向讲授为主，在校阶段几乎没有动手实训机会，学生的实操能力大多来源于野外水文勘测等课外一线工作场景，受地区经济水平限制，无人机等高端工程设备对普通学生而言存在较高接触门槛。问卷样本近七成年龄超过 25 岁，工程类专业占比刚过半数，超六成学生从未拥有海外学习经历，超过半数群体明确偏好项目驱动、边做边学的实践型学习模式。</w:t>
      </w:r>
    </w:p>
    <w:p w14:paraId="52FAB052">
      <w:pPr>
        <w:pStyle w:val="12"/>
        <w:keepNext/>
        <w:keepLines/>
      </w:pPr>
      <w:r>
        <w:rPr>
          <w:rFonts w:ascii="Times New Roman" w:hAnsi="Times New Roman" w:eastAsia="宋体" w:cs="Noto Serif CJK SC"/>
        </w:rPr>
        <w:t>2.1 中小学教学方式：单向讲授普及度高，互动实践教学供给不足</w:t>
      </w:r>
    </w:p>
    <w:p w14:paraId="1D3E43C3">
      <w:pPr>
        <w:pStyle w:val="10"/>
      </w:pPr>
      <w:r>
        <w:rPr>
          <w:rFonts w:ascii="Times New Roman" w:hAnsi="Times New Roman" w:eastAsia="仿宋" w:cs="Noto Serif CJK SC"/>
        </w:rPr>
        <w:t>三国中小学教育均以"讲授式"为主导（总体75%），中国100%为讲授式，是所有群体中单一教学模式占比最高的。项目式学习和课堂讨论在三国基础教育中均属边缘实践（分别仅占6.25%和3.12%）。</w:t>
      </w:r>
    </w:p>
    <w:p w14:paraId="1E717D47">
      <w:pPr>
        <w:pStyle w:val="12"/>
        <w:keepNext/>
        <w:keepLines/>
      </w:pPr>
      <w:r>
        <w:rPr>
          <w:rFonts w:ascii="Times New Roman" w:hAnsi="Times New Roman" w:eastAsia="宋体" w:cs="Noto Serif CJK SC"/>
        </w:rPr>
        <w:t>2.2 三国中小学能力培养结构对比：应试导向突出，团队协作教育缺位</w:t>
      </w:r>
    </w:p>
    <w:p w14:paraId="75CFDF45">
      <w:pPr>
        <w:pStyle w:val="10"/>
        <w:ind w:left="0" w:leftChars="0" w:firstLine="440" w:firstLineChars="200"/>
      </w:pPr>
      <w:r>
        <w:rPr>
          <w:rFonts w:ascii="Times New Roman" w:hAnsi="Times New Roman" w:eastAsia="仿宋" w:cs="Noto Serif CJK SC"/>
        </w:rPr>
        <w:t>对于中国中小学重视能力而言，记忆（77.78%）和解题（88.89%）能力培养占比均为三国最高，且远高于批判性思维（11.11%）。这是典型的应试教育能力培养结构。西班牙50%选择批判性思维与独立表达能力，为三国最高，与其受访者S2"不同教授有不同偏好，部分鼓励提问"的描述一致。巴西重视能力中记忆（63.16%）和解题（57.89%）仍为主导，但批判性思维（15.79%）和动手实践（10.53%）已有一定存在感。</w:t>
      </w:r>
    </w:p>
    <w:p w14:paraId="23034848">
      <w:pPr>
        <w:pStyle w:val="10"/>
      </w:pPr>
      <w:r>
        <w:rPr>
          <w:rFonts w:ascii="Times New Roman" w:hAnsi="Times New Roman" w:eastAsia="仿宋" w:cs="Noto Serif CJK SC"/>
        </w:rPr>
        <w:t>同时，团队协作能力在三国基础教育中均为0%——这一发现极具冲击力：无论中国、西班牙还是巴西，中小学阶段均不系统培养团队协作能力。这意味着学生在进入大学或职场时，团队协作技能几乎完全依赖课外或自学。</w:t>
      </w:r>
    </w:p>
    <w:p w14:paraId="158D680C">
      <w:pPr>
        <w:pStyle w:val="12"/>
        <w:keepNext/>
        <w:keepLines/>
      </w:pPr>
      <w:r>
        <w:rPr>
          <w:rFonts w:ascii="Times New Roman" w:hAnsi="Times New Roman" w:eastAsia="宋体" w:cs="Noto Serif CJK SC"/>
        </w:rPr>
        <w:t>2.3 科技类课程地位：重视程度不均衡，区域资源差距明显</w:t>
      </w:r>
    </w:p>
    <w:p w14:paraId="05AE79A5">
      <w:pPr>
        <w:pStyle w:val="10"/>
        <w:ind w:left="0" w:leftChars="0" w:firstLine="440" w:firstLineChars="200"/>
      </w:pPr>
      <w:r>
        <w:rPr>
          <w:rFonts w:ascii="Times New Roman" w:hAnsi="Times New Roman" w:eastAsia="仿宋" w:cs="Noto Serif CJK SC"/>
        </w:rPr>
        <w:t>与基础学科相比，中国的科技类课程88.89%为"副科" ，考试占比低。科技教育在中国基础教育中处于边缘位置。巴西呈现两极分化：42.11%为主科，36.84%基本没有开设——反映巴西教育体系内部的高度不均（与受访者来自</w:t>
      </w:r>
      <w:r>
        <w:rPr>
          <w:rFonts w:hint="eastAsia" w:cs="Noto Serif CJK SC"/>
          <w:lang w:val="en-US" w:eastAsia="zh-CN"/>
        </w:rPr>
        <w:t>不同学校和</w:t>
      </w:r>
      <w:r>
        <w:rPr>
          <w:rFonts w:ascii="Times New Roman" w:hAnsi="Times New Roman" w:eastAsia="仿宋" w:cs="Noto Serif CJK SC"/>
        </w:rPr>
        <w:t>地区可能相关）。西班牙50%将科技类课程列为主科，与其"编程4.0"国家计划的政策背景一致。</w:t>
      </w:r>
    </w:p>
    <w:p w14:paraId="404B417A">
      <w:pPr>
        <w:pStyle w:val="12"/>
        <w:keepNext/>
        <w:keepLines/>
      </w:pPr>
      <w:r>
        <w:rPr>
          <w:rFonts w:ascii="Times New Roman" w:hAnsi="Times New Roman" w:eastAsia="宋体" w:cs="Noto Serif CJK SC"/>
        </w:rPr>
        <w:t>2.4 中小学科技类课程教学方式：理论主导，巴西"无实验"比例最高</w:t>
      </w:r>
    </w:p>
    <w:p w14:paraId="28F2C40A">
      <w:pPr>
        <w:pStyle w:val="10"/>
        <w:ind w:left="0" w:leftChars="0" w:firstLine="440" w:firstLineChars="200"/>
      </w:pPr>
      <w:r>
        <w:rPr>
          <w:rFonts w:ascii="Times New Roman" w:hAnsi="Times New Roman" w:eastAsia="仿宋" w:cs="Noto Serif CJK SC"/>
        </w:rPr>
        <w:t>三国科技类课程均以理论讲授为主导，"纯理论无实验"占总体37.50%，为最大类别。西班牙50%、巴西42.11%的科技课程纯理论讲授，"动手实验"在三国中小学科技教育中均为弱势。这解释了为何BISS项目对多数学生来说是"首次高强度动手实践"。</w:t>
      </w:r>
    </w:p>
    <w:p w14:paraId="0ABAD2A7">
      <w:pPr>
        <w:pStyle w:val="12"/>
        <w:keepNext/>
        <w:keepLines/>
      </w:pPr>
      <w:r>
        <w:rPr>
          <w:rFonts w:ascii="Times New Roman" w:hAnsi="Times New Roman" w:eastAsia="宋体" w:cs="Noto Serif CJK SC"/>
        </w:rPr>
        <w:t>3.1 大学专业学习更强调的能力</w:t>
      </w:r>
    </w:p>
    <w:p w14:paraId="39495D97">
      <w:pPr>
        <w:pStyle w:val="10"/>
        <w:ind w:left="0" w:leftChars="0" w:firstLine="440" w:firstLineChars="200"/>
      </w:pPr>
      <w:r>
        <w:rPr>
          <w:rFonts w:ascii="Times New Roman" w:hAnsi="Times New Roman" w:eastAsia="仿宋" w:cs="Noto Serif CJK SC"/>
        </w:rPr>
        <w:t>各国高校人才培养目标出现明显分化：西班牙高校 75% 侧重逻辑解题训练；国内高校兼顾逻辑分析（44.4%）与跨文化协作（44.4%），国际化办学导向突出；巴西高校各项能力培养分布均衡，逻辑分析与科研创新均有覆盖。整体样本中，高校最基础的培养目标为理论知识掌握。</w:t>
      </w:r>
    </w:p>
    <w:p w14:paraId="4BE976D8">
      <w:pPr>
        <w:pStyle w:val="12"/>
        <w:keepNext/>
        <w:keepLines/>
      </w:pPr>
      <w:r>
        <w:rPr>
          <w:rFonts w:ascii="Times New Roman" w:hAnsi="Times New Roman" w:eastAsia="宋体" w:cs="Noto Serif CJK SC"/>
        </w:rPr>
        <w:t>3.2 大学老师对有争议话题的处理方式</w:t>
      </w:r>
    </w:p>
    <w:p w14:paraId="5DF06E76">
      <w:pPr>
        <w:pStyle w:val="10"/>
        <w:ind w:left="0" w:leftChars="0" w:firstLine="440" w:firstLineChars="200"/>
      </w:pPr>
      <w:r>
        <w:rPr>
          <w:rFonts w:ascii="Times New Roman" w:hAnsi="Times New Roman" w:eastAsia="仿宋" w:cs="Noto Serif CJK SC"/>
        </w:rPr>
        <w:t>高校教师对待争议话题的方式存在国别特征：国内 55.6% 教师选择回避相关议题，课堂讨论空间有限；西班牙 75% 教师直接给出标准答案，弱化自主探讨；巴西教学模式分化，回避、标准答案、引导讨论三类方式并行。尽管 40.6% 课堂会引导学生交流观点，但开放式讨论教学仍未普及。</w:t>
      </w:r>
    </w:p>
    <w:p w14:paraId="7CFD28AA">
      <w:pPr>
        <w:pStyle w:val="12"/>
        <w:keepNext/>
        <w:keepLines/>
      </w:pPr>
      <w:r>
        <w:rPr>
          <w:rFonts w:ascii="Times New Roman" w:hAnsi="Times New Roman" w:eastAsia="宋体" w:cs="Noto Serif CJK SC"/>
        </w:rPr>
        <w:t>3.3 科研/创新实践活动参与频率</w:t>
      </w:r>
    </w:p>
    <w:p w14:paraId="5390C84A">
      <w:pPr>
        <w:pStyle w:val="10"/>
        <w:ind w:left="0" w:leftChars="0" w:firstLine="440" w:firstLineChars="200"/>
      </w:pPr>
      <w:r>
        <w:rPr>
          <w:rFonts w:ascii="Times New Roman" w:hAnsi="Times New Roman" w:eastAsia="仿宋" w:cs="Noto Serif CJK SC"/>
        </w:rPr>
        <w:t>大学生科研实践整体供给不足，近八成学生仅偶尔参与或从未参与科研项目。中国学生科研参与度三国最高，仅 22.22% 从未参与；西班牙半数学生无科研经历，贴合本科阶段偏重课程学习的培养模式；巴西科研资源分配不均，近半数学生从未参与，仅少数精英群体能够持续开展科研实践。</w:t>
      </w:r>
    </w:p>
    <w:p w14:paraId="666B4C02">
      <w:pPr>
        <w:pStyle w:val="12"/>
        <w:keepNext/>
        <w:keepLines/>
      </w:pPr>
      <w:r>
        <w:rPr>
          <w:rFonts w:ascii="Times New Roman" w:hAnsi="Times New Roman" w:eastAsia="宋体" w:cs="Noto Serif CJK SC"/>
        </w:rPr>
        <w:t>4.1 教育价值观：三国差异最显著的维度</w:t>
      </w:r>
    </w:p>
    <w:p w14:paraId="759E9F9B">
      <w:pPr>
        <w:pStyle w:val="12"/>
        <w:keepNext/>
        <w:keepLines/>
      </w:pPr>
      <w:r>
        <w:rPr>
          <w:rFonts w:ascii="Times New Roman" w:hAnsi="Times New Roman" w:eastAsia="宋体" w:cs="Noto Serif CJK SC"/>
        </w:rPr>
        <w:t>4.1.1 家庭和学校最常灌输的观念</w:t>
      </w:r>
    </w:p>
    <w:p w14:paraId="529060BE">
      <w:pPr>
        <w:pStyle w:val="10"/>
      </w:pPr>
      <w:r>
        <w:rPr>
          <w:rFonts w:ascii="Times New Roman" w:hAnsi="Times New Roman" w:eastAsia="仿宋" w:cs="Noto Serif CJK SC"/>
        </w:rPr>
        <w:t>遵守规则、听话服从是三国统一传递的主流教育理念，巴西认同比例最高（57.9%）。44.4% 中国学生表示家校倡导独立思考、敢于质疑，但该认知与国内中小学批判性思维培育占比极低的现实形成明显割裂；西班牙教育更注重学生综合全面发展。</w:t>
      </w:r>
    </w:p>
    <w:p w14:paraId="181465E8">
      <w:pPr>
        <w:pStyle w:val="12"/>
        <w:keepNext/>
        <w:keepLines/>
      </w:pPr>
      <w:r>
        <w:rPr>
          <w:rFonts w:ascii="Times New Roman" w:hAnsi="Times New Roman" w:eastAsia="宋体" w:cs="Noto Serif CJK SC"/>
        </w:rPr>
        <w:t>4.1.2 最能培养社会所需能力的教育评价方式</w:t>
      </w:r>
    </w:p>
    <w:p w14:paraId="4C3CF466">
      <w:pPr>
        <w:pStyle w:val="10"/>
      </w:pPr>
      <w:r>
        <w:rPr>
          <w:rFonts w:ascii="Times New Roman" w:hAnsi="Times New Roman" w:eastAsia="仿宋" w:cs="Noto Serif CJK SC"/>
        </w:rPr>
        <w:t>三国学生均否定单一考试成绩作为评价标准，仅 6.2% 样本认可该模式。项目成果导向评价、多维度综合评价认可度并列最高（34.4%）；中国学生对同伴互评接受度三国最高，与高校重视跨文化协作培养的导向相匹配。</w:t>
      </w:r>
    </w:p>
    <w:p w14:paraId="7FAADEA6">
      <w:pPr>
        <w:pStyle w:val="12"/>
        <w:keepNext/>
        <w:keepLines/>
      </w:pPr>
      <w:r>
        <w:rPr>
          <w:rFonts w:ascii="Times New Roman" w:hAnsi="Times New Roman" w:eastAsia="宋体" w:cs="Noto Serif CJK SC"/>
        </w:rPr>
        <w:t>4.1.3 教育经历为进入社会的"准备度"</w:t>
      </w:r>
    </w:p>
    <w:p w14:paraId="3603E312">
      <w:pPr>
        <w:pStyle w:val="10"/>
      </w:pPr>
      <w:r>
        <w:rPr>
          <w:rFonts w:ascii="Times New Roman" w:hAnsi="Times New Roman" w:eastAsia="仿宋" w:cs="Noto Serif CJK SC"/>
        </w:rPr>
        <w:t>学生对校园教育的就业准备感知分层清晰：西班牙学生自我评估最优，全部认为在校学习能够支撑社会工作；中国学生感受中等，超四成认为自身准备程度一般；巴西学生适配感最弱，超七成认为在校学习难以应对职场需求。整体仅 9.38% 学生认为自身完全做好就业准备，常规教育与行业工程实践需求存在明显断层。</w:t>
      </w:r>
    </w:p>
    <w:p w14:paraId="3127AB62">
      <w:pPr>
        <w:pStyle w:val="12"/>
        <w:keepNext/>
        <w:keepLines/>
      </w:pPr>
      <w:r>
        <w:rPr>
          <w:rFonts w:ascii="Times New Roman" w:hAnsi="Times New Roman" w:eastAsia="宋体" w:cs="Noto Serif CJK SC"/>
        </w:rPr>
        <w:t>4.1.4 希望未来子女接受的教育风格</w:t>
      </w:r>
    </w:p>
    <w:p w14:paraId="04B9EF58">
      <w:pPr>
        <w:pStyle w:val="10"/>
      </w:pPr>
      <w:r>
        <w:rPr>
          <w:rFonts w:ascii="Times New Roman" w:hAnsi="Times New Roman" w:eastAsia="仿宋" w:cs="Noto Serif CJK SC"/>
        </w:rPr>
        <w:t>所有国家学生均排斥纯应试导向教育。素质全面发展、实践动手优先是认可度最高的两类培养方向；西班牙学生格外看重实操教学；中国学生对素质教育与个性化培养偏好均衡；巴西同等认可素质拓展与工程实践类课程。</w:t>
      </w:r>
    </w:p>
    <w:p w14:paraId="0595BF32">
      <w:pPr>
        <w:pStyle w:val="10"/>
      </w:pPr>
      <w:r>
        <w:rPr>
          <w:rFonts w:ascii="Times New Roman" w:hAnsi="Times New Roman" w:eastAsia="仿宋" w:cs="Noto Serif CJK SC"/>
        </w:rPr>
        <w:t>本研究基于基础教育、高等教育、教育价值观三层维度，结合三国对比与项目实践价值两大层面，分层梳理核心结论，逻辑递进如下：</w:t>
      </w:r>
    </w:p>
    <w:p w14:paraId="56D62C29">
      <w:pPr>
        <w:pStyle w:val="12"/>
        <w:keepNext/>
        <w:keepLines/>
      </w:pPr>
      <w:r>
        <w:rPr>
          <w:rFonts w:ascii="Times New Roman" w:hAnsi="Times New Roman" w:eastAsia="宋体" w:cs="Noto Serif CJK SC"/>
        </w:rPr>
        <w:t>发现一：三国基础教育趋同，但供需存在结构性矛盾</w:t>
      </w:r>
    </w:p>
    <w:p w14:paraId="6816662D">
      <w:pPr>
        <w:pStyle w:val="10"/>
      </w:pPr>
      <w:r>
        <w:rPr>
          <w:rFonts w:ascii="Times New Roman" w:hAnsi="Times New Roman" w:eastAsia="仿宋" w:cs="Noto Serif CJK SC"/>
        </w:rPr>
        <w:t>中、西、巴三国中小学均以教师单向讲授为主流教学形式，课堂讨论、项目动手实践占比极低，科技课程整体处于边缘地位。尽管所有学生内心普遍期待实践驱动式学习，但完整基础教育阶段几乎无对应实训场景，形成 “学生需求” 与 “学校供给” 的核心悖论。</w:t>
      </w:r>
    </w:p>
    <w:p w14:paraId="5A2F2F1C">
      <w:pPr>
        <w:pStyle w:val="12"/>
        <w:keepNext/>
        <w:keepLines/>
      </w:pPr>
      <w:r>
        <w:rPr>
          <w:rFonts w:ascii="Times New Roman" w:hAnsi="Times New Roman" w:eastAsia="宋体" w:cs="Noto Serif CJK SC"/>
        </w:rPr>
        <w:t>发现二：国别差异化教育特征：三类国家各有典型结构性矛盾</w:t>
      </w:r>
    </w:p>
    <w:p w14:paraId="48EA72FE">
      <w:pPr>
        <w:pStyle w:val="10"/>
      </w:pPr>
      <w:r>
        <w:rPr>
          <w:rFonts w:ascii="Times New Roman" w:hAnsi="Times New Roman" w:eastAsia="仿宋" w:cs="Noto Serif CJK SC"/>
        </w:rPr>
        <w:t>对于中国而言，主观认知与教育现实割裂学生普遍认同独立思考、敢于质疑的价值，但应试导向的中小学教学、回避争议议题的高校课堂，并未系统性培育批判性思维，学生自我认知与实际能力养成存在明显落差。</w:t>
      </w:r>
    </w:p>
    <w:p w14:paraId="6EE22BC9">
      <w:pPr>
        <w:pStyle w:val="10"/>
      </w:pPr>
      <w:r>
        <w:rPr>
          <w:rFonts w:ascii="Times New Roman" w:hAnsi="Times New Roman" w:eastAsia="仿宋" w:cs="Noto Serif CJK SC"/>
        </w:rPr>
        <w:t>对于巴西，校内教育薄弱，校外实践形成补偿机制巴西中小学科技教学资源匮乏，课堂以纯理论灌输为主；学生对项目式实操学习的强烈偏好并非源于校园课程，而是亚马逊野外勘测等校外工程经历带来的补偿性成长，形成校内、校外两套完全不同的成长路径。</w:t>
      </w:r>
    </w:p>
    <w:p w14:paraId="079EF3F7">
      <w:pPr>
        <w:pStyle w:val="10"/>
      </w:pPr>
      <w:r>
        <w:rPr>
          <w:rFonts w:ascii="Times New Roman" w:hAnsi="Times New Roman" w:eastAsia="仿宋" w:cs="Noto Serif CJK SC"/>
        </w:rPr>
        <w:t>对于西班牙，基础教育与大学培养模式存在反差西班牙高中阶段科技教育完善，但大学阶段教学趋于保守，教师习惯直接给出标准答案，打破 “西方教育天然鼓励自主探究” 的刻板印象。</w:t>
      </w:r>
    </w:p>
    <w:p w14:paraId="613F58B8">
      <w:pPr>
        <w:pStyle w:val="12"/>
        <w:keepNext/>
        <w:keepLines/>
      </w:pPr>
      <w:r>
        <w:rPr>
          <w:rFonts w:ascii="Times New Roman" w:hAnsi="Times New Roman" w:eastAsia="宋体" w:cs="Noto Serif CJK SC"/>
        </w:rPr>
        <w:t>发现三：各国深层差异不在教学形式，而在价值认知与能力自信</w:t>
      </w:r>
    </w:p>
    <w:p w14:paraId="43B503A5">
      <w:pPr>
        <w:pStyle w:val="10"/>
      </w:pPr>
      <w:r>
        <w:rPr>
          <w:rFonts w:ascii="Times New Roman" w:hAnsi="Times New Roman" w:eastAsia="仿宋" w:cs="Noto Serif CJK SC"/>
        </w:rPr>
        <w:t>虽然三国中小学授课模式大体一致，但长期教育塑造的底层认知存在显著区分。一是就业准备感知差异，西班牙学生自我认可度最高，巴西学生普遍认为校园教育难以适配社会工作；二是对权威的接纳程度不同；三是对下一代教育模式的偏好分化。这说明教育体系不只改变学习方法，更会塑造学生对自身能力的判断标准。</w:t>
      </w:r>
    </w:p>
    <w:p w14:paraId="2ABC070E">
      <w:pPr>
        <w:pStyle w:val="12"/>
        <w:keepNext/>
        <w:keepLines/>
      </w:pPr>
      <w:r>
        <w:rPr>
          <w:rFonts w:ascii="Times New Roman" w:hAnsi="Times New Roman" w:eastAsia="宋体" w:cs="Noto Serif CJK SC"/>
        </w:rPr>
        <w:t>发现五：BISS项目式学习具备独特弥补性育人价值</w:t>
      </w:r>
    </w:p>
    <w:p w14:paraId="3027ED68">
      <w:pPr>
        <w:pStyle w:val="10"/>
      </w:pPr>
      <w:r>
        <w:rPr>
          <w:rFonts w:ascii="Times New Roman" w:hAnsi="Times New Roman" w:eastAsia="仿宋" w:cs="Noto Serif CJK SC"/>
        </w:rPr>
        <w:t>受访精英学生中超半数认为常规教育无法满足社会工作需求，而本次 BISS 无人机暑期项目填补了各国工程教育的共同短板：提供高强度实操训练、成果导向的评价体系、真实场景下的综合问题解决机会，也是多数学生第一次完整接触项目驱动式工程实践。</w:t>
      </w:r>
    </w:p>
    <w:p w14:paraId="1052DB6B">
      <w:pPr>
        <w:rPr>
          <w:rFonts w:hint="default" w:ascii="汉仪青云简" w:hAnsi="汉仪青云简" w:eastAsia="汉仪青云简" w:cs="汉仪青云简"/>
          <w:b/>
          <w:bCs/>
          <w:sz w:val="36"/>
          <w:szCs w:val="4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30B4F6A4-C754-4FEA-BBA2-9CBE53F9B350}"/>
  </w:font>
  <w:font w:name="Wingdings">
    <w:panose1 w:val="05000000000000000000"/>
    <w:charset w:val="00"/>
    <w:family w:val="auto"/>
    <w:pitch w:val="default"/>
    <w:sig w:usb0="00000000" w:usb1="00000000" w:usb2="00000000" w:usb3="00000000" w:csb0="80000000" w:csb1="00000000"/>
  </w:font>
  <w:font w:name="汉仪青云简">
    <w:panose1 w:val="00020600040101010101"/>
    <w:charset w:val="86"/>
    <w:family w:val="auto"/>
    <w:pitch w:val="default"/>
    <w:sig w:usb0="8000001F" w:usb1="1A0F781A" w:usb2="00000016" w:usb3="00000000" w:csb0="0004009F" w:csb1="DFD70000"/>
    <w:embedRegular r:id="rId2" w:fontKey="{6502F8CC-131C-41EA-B6C2-E3E15A9A561A}"/>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embedRegular r:id="rId3" w:fontKey="{19D36E64-D5D4-4D21-913E-47831A4213F6}"/>
  </w:font>
  <w:font w:name="KSOFE44F9426">
    <w:panose1 w:val="02010609060101010101"/>
    <w:charset w:val="86"/>
    <w:family w:val="auto"/>
    <w:pitch w:val="default"/>
    <w:sig w:usb0="00000001" w:usb1="00000000" w:usb2="00000000" w:usb3="00000000" w:csb0="00040001" w:csb1="00000000"/>
  </w:font>
  <w:font w:name="Noto Serif CJK SC">
    <w:altName w:val="Cambria"/>
    <w:panose1 w:val="00000000000000000000"/>
    <w:charset w:val="00"/>
    <w:family w:val="auto"/>
    <w:pitch w:val="default"/>
    <w:sig w:usb0="00000000" w:usb1="00000000" w:usb2="00000000" w:usb3="00000000" w:csb0="00000000" w:csb1="00000000"/>
    <w:embedRegular r:id="rId4" w:fontKey="{3EF6113A-4342-45CF-87AB-3EF309C367E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D7382E"/>
    <w:multiLevelType w:val="singleLevel"/>
    <w:tmpl w:val="75D7382E"/>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FD20AC"/>
    <w:rsid w:val="05FD20AC"/>
    <w:rsid w:val="0C2030B4"/>
    <w:rsid w:val="2F6A4298"/>
    <w:rsid w:val="4FE33148"/>
    <w:rsid w:val="56E6209D"/>
    <w:rsid w:val="5C050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6">
    <w:name w:val="footer"/>
    <w:basedOn w:val="1"/>
    <w:unhideWhenUsed/>
    <w:qFormat/>
    <w:uiPriority w:val="99"/>
    <w:pPr>
      <w:tabs>
        <w:tab w:val="center" w:pos="4680"/>
        <w:tab w:val="right" w:pos="9360"/>
      </w:tabs>
      <w:spacing w:after="0" w:line="240" w:lineRule="auto"/>
    </w:pPr>
  </w:style>
  <w:style w:type="paragraph" w:customStyle="1" w:styleId="9">
    <w:name w:val="一级标题"/>
    <w:qFormat/>
    <w:uiPriority w:val="0"/>
    <w:pPr>
      <w:keepNext/>
      <w:spacing w:before="280" w:after="120" w:line="324" w:lineRule="auto"/>
      <w:ind w:firstLine="0"/>
      <w:jc w:val="left"/>
    </w:pPr>
    <w:rPr>
      <w:rFonts w:ascii="Times New Roman" w:hAnsi="Times New Roman" w:eastAsia="宋体" w:cstheme="minorBidi"/>
      <w:b/>
      <w:sz w:val="32"/>
      <w:szCs w:val="22"/>
      <w:lang w:val="en-US" w:eastAsia="en-US" w:bidi="ar-SA"/>
    </w:rPr>
  </w:style>
  <w:style w:type="paragraph" w:customStyle="1" w:styleId="10">
    <w:name w:val="说明文字"/>
    <w:qFormat/>
    <w:uiPriority w:val="0"/>
    <w:pPr>
      <w:keepNext w:val="0"/>
      <w:spacing w:before="0" w:after="60" w:line="348" w:lineRule="auto"/>
      <w:ind w:firstLine="420"/>
      <w:jc w:val="both"/>
    </w:pPr>
    <w:rPr>
      <w:rFonts w:ascii="Times New Roman" w:hAnsi="Times New Roman" w:eastAsia="仿宋" w:cstheme="minorBidi"/>
      <w:sz w:val="22"/>
      <w:szCs w:val="22"/>
      <w:lang w:val="en-US" w:eastAsia="en-US" w:bidi="ar-SA"/>
    </w:rPr>
  </w:style>
  <w:style w:type="paragraph" w:customStyle="1" w:styleId="11">
    <w:name w:val="二级标题"/>
    <w:qFormat/>
    <w:uiPriority w:val="0"/>
    <w:pPr>
      <w:keepNext/>
      <w:spacing w:before="200" w:after="80" w:line="324" w:lineRule="auto"/>
      <w:ind w:firstLine="0"/>
      <w:jc w:val="left"/>
    </w:pPr>
    <w:rPr>
      <w:rFonts w:ascii="Times New Roman" w:hAnsi="Times New Roman" w:eastAsia="宋体" w:cstheme="minorBidi"/>
      <w:b/>
      <w:sz w:val="28"/>
      <w:szCs w:val="22"/>
      <w:lang w:val="en-US" w:eastAsia="en-US" w:bidi="ar-SA"/>
    </w:rPr>
  </w:style>
  <w:style w:type="paragraph" w:customStyle="1" w:styleId="12">
    <w:name w:val="三级标题"/>
    <w:qFormat/>
    <w:uiPriority w:val="0"/>
    <w:pPr>
      <w:keepNext/>
      <w:spacing w:before="120" w:after="40" w:line="324" w:lineRule="auto"/>
      <w:ind w:firstLine="0"/>
      <w:jc w:val="left"/>
    </w:pPr>
    <w:rPr>
      <w:rFonts w:ascii="Times New Roman" w:hAnsi="Times New Roman" w:eastAsia="宋体" w:cstheme="minorBidi"/>
      <w:b/>
      <w:sz w:val="24"/>
      <w:szCs w:val="22"/>
      <w:lang w:val="en-US" w:eastAsia="en-US" w:bidi="ar-SA"/>
    </w:rPr>
  </w:style>
  <w:style w:type="paragraph" w:customStyle="1" w:styleId="13">
    <w:name w:val="条目文字"/>
    <w:qFormat/>
    <w:uiPriority w:val="0"/>
    <w:pPr>
      <w:keepNext w:val="0"/>
      <w:spacing w:before="0" w:after="20" w:line="348" w:lineRule="auto"/>
      <w:ind w:firstLine="420"/>
      <w:jc w:val="both"/>
    </w:pPr>
    <w:rPr>
      <w:rFonts w:ascii="Times New Roman" w:hAnsi="Times New Roman" w:eastAsia="仿宋" w:cstheme="minorBidi"/>
      <w:sz w:val="22"/>
      <w:szCs w:val="22"/>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14</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2026-07-29T13:16:00Z</dcterms:created>
  <dc:creator>孟小圆</dc:creator>
  <cp:lastModifiedBy>孟小圆</cp:lastModifiedBy>
  <dcterms:modified xsi:type="dcterms:W3CDTF">2026-07-29T14:28:50Z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78E2074141A945BDBD82E49A28BC7388_11</vt:lpwstr>
  </property>
  <property fmtid="{D5CDD505-2E9C-101B-9397-08002B2CF9AE}" pid="4" name="KSOTemplateDocerSaveRecord">
    <vt:lpwstr>eyJoZGlkIjoiNDg5ODljZGZjMjliYzFhOTMyMTYzNmIxNmQ2YzRlMDIiLCJ1c2VySWQiOiIxNzI1OTc5NzY3In0=</vt:lpwstr>
  </property>
</Properties>
</file>