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CA08EC">
      <w:pPr>
        <w:pStyle w:val="31"/>
        <w:jc w:val="left"/>
      </w:pPr>
      <w:r>
        <w:rPr>
          <w:rFonts w:ascii="Arial" w:hAnsi="Arial" w:eastAsia="微软雅黑"/>
          <w:color w:val="000000"/>
          <w:sz w:val="42"/>
        </w:rPr>
        <w:t>航空航天 VR PBL 科创教育项目企划</w:t>
      </w:r>
    </w:p>
    <w:p w14:paraId="2409DBA9">
      <w:pPr>
        <w:pStyle w:val="3"/>
      </w:pPr>
      <w:r>
        <w:rPr>
          <w:rFonts w:ascii="Arial" w:hAnsi="Arial" w:eastAsia="微软雅黑"/>
        </w:rPr>
        <w:t>1. 项目核心定位</w:t>
      </w:r>
    </w:p>
    <w:p w14:paraId="1FCCC5CB">
      <w:pPr>
        <w:rPr>
          <w:rFonts w:hint="eastAsia" w:eastAsia="微软雅黑"/>
          <w:lang w:eastAsia="zh-CN"/>
        </w:rPr>
      </w:pPr>
      <w:r>
        <w:rPr>
          <w:rFonts w:ascii="Arial" w:hAnsi="Arial" w:eastAsia="微软雅黑"/>
        </w:rPr>
        <w:t>我们希望依托北京航空航天大学虚拟现实实验室的航空航天与 VR 资源，用 PBL 的方式设计面向中小学的科创教育课程，让学生在真实任务中完成有问题、有过程、有作品、有展示的项目学习，并在教学试点、新媒体传播和成果整理中逐步沉淀成可复用的课程产品。AI 可以作为后续产品中的辅助能力，例如智能助教、资料整理和表达优化工具</w:t>
      </w:r>
      <w:r>
        <w:rPr>
          <w:rFonts w:hint="eastAsia"/>
          <w:lang w:eastAsia="zh-CN"/>
        </w:rPr>
        <w:t>。</w:t>
      </w:r>
    </w:p>
    <w:p w14:paraId="4B2A8D45">
      <w:pPr>
        <w:pStyle w:val="3"/>
      </w:pPr>
      <w:r>
        <w:rPr>
          <w:rFonts w:ascii="Arial" w:hAnsi="Arial" w:eastAsia="微软雅黑"/>
        </w:rPr>
        <w:t>2. 用户画像</w:t>
      </w:r>
    </w:p>
    <w:p w14:paraId="141DAB78">
      <w:pPr>
        <w:rPr>
          <w:rFonts w:hint="eastAsia" w:eastAsia="微软雅黑"/>
          <w:lang w:eastAsia="zh-CN"/>
        </w:rPr>
      </w:pPr>
      <w:r>
        <w:rPr>
          <w:rFonts w:ascii="Arial" w:hAnsi="Arial" w:eastAsia="微软雅黑"/>
        </w:rPr>
        <w:t>这个项目的直接参与者是中小学生，但真正影响项目能否成立的用户不只有学生，还包括教师、学校，以及我们自己的项目团队。其中小学生用户画像参考了北京航空航天大学智联远航实践队河南支队在华水小学支教期间形成的调研报告</w:t>
      </w:r>
      <w:r>
        <w:rPr>
          <w:rFonts w:hint="eastAsia"/>
          <w:lang w:eastAsia="zh-CN"/>
        </w:rPr>
        <w:t>。</w:t>
      </w:r>
    </w:p>
    <w:p w14:paraId="6A046591">
      <w:pPr>
        <w:pStyle w:val="4"/>
      </w:pPr>
      <w:r>
        <w:rPr>
          <w:rFonts w:ascii="Arial" w:hAnsi="Arial" w:eastAsia="微软雅黑"/>
        </w:rPr>
        <w:t>2.1 小学阶段：兴趣强，但需要故事和具体任务</w:t>
      </w:r>
    </w:p>
    <w:p w14:paraId="480771E9">
      <w:r>
        <w:rPr>
          <w:rFonts w:ascii="Arial" w:hAnsi="Arial" w:eastAsia="微软雅黑"/>
        </w:rPr>
        <w:t>小学生对 VR、无人车、机器人、飞行器结构这类内容有很强兴趣。河南支队调研里，近九成学生认为 AI、VR 等科学技术有趣，结课后 91.3% 的学生非常希望未来能在常规课堂中应用 VR 技术，VR 和无人巡航小车体验课也获得最高评分。这说明小学阶段最适合用强体验、强故事、强展示的方式切入。但调研也</w:t>
      </w:r>
      <w:r>
        <w:rPr>
          <w:rFonts w:hint="eastAsia"/>
          <w:lang w:val="en-US" w:eastAsia="zh-CN"/>
        </w:rPr>
        <w:t>表明</w:t>
      </w:r>
      <w:r>
        <w:rPr>
          <w:rFonts w:ascii="Arial" w:hAnsi="Arial" w:eastAsia="微软雅黑"/>
        </w:rPr>
        <w:t>，小学生仍处于具体认知阶段，注意力通常在 15-20 分钟后下降，纯讲授很难持续抓住他们。比如直接讲“航天基地系统工程”，他们可能很快失去方向；但如果换成“你是月球基地设计师，要给宇航员设计一个能睡觉、吃饭、工作、避险的空间”，他们会更容易进入任务</w:t>
      </w:r>
      <w:r>
        <w:rPr>
          <w:rFonts w:hint="eastAsia"/>
          <w:lang w:eastAsia="zh-CN"/>
        </w:rPr>
        <w:t>；单纯的实验也很可能会变成混乱，比如在做水果电池的实验的时候，在实验进行了</w:t>
      </w:r>
      <w:r>
        <w:rPr>
          <w:rFonts w:hint="eastAsia"/>
          <w:lang w:val="en-US" w:eastAsia="zh-CN"/>
        </w:rPr>
        <w:t>10分钟，或者有些组迟迟不能成功的时候，吃柠檬和西红柿变成了大家更喜欢做的事情。</w:t>
      </w:r>
      <w:r>
        <w:rPr>
          <w:rFonts w:ascii="Arial" w:hAnsi="Arial" w:eastAsia="微软雅黑"/>
        </w:rPr>
        <w:t>因此基础版课程应该更有故事性，任务边界更清楚，</w:t>
      </w:r>
      <w:r>
        <w:rPr>
          <w:rFonts w:hint="eastAsia"/>
          <w:lang w:val="en-US" w:eastAsia="zh-CN"/>
        </w:rPr>
        <w:t>分步</w:t>
      </w:r>
      <w:r>
        <w:rPr>
          <w:rFonts w:hint="eastAsia"/>
          <w:lang w:eastAsia="zh-CN"/>
        </w:rPr>
        <w:t>的成果应该更多。</w:t>
      </w:r>
      <w:r>
        <w:rPr>
          <w:rFonts w:ascii="Arial" w:hAnsi="Arial" w:eastAsia="微软雅黑"/>
        </w:rPr>
        <w:t>更容易被展示出来。</w:t>
      </w:r>
    </w:p>
    <w:p w14:paraId="3F3AD5DD">
      <w:pPr>
        <w:pStyle w:val="4"/>
      </w:pPr>
      <w:r>
        <w:rPr>
          <w:rFonts w:ascii="Arial" w:hAnsi="Arial" w:eastAsia="微软雅黑"/>
        </w:rPr>
        <w:t>2.2 初中阶段：能协作，也需要真实行动</w:t>
      </w:r>
    </w:p>
    <w:p w14:paraId="3C2B08E1">
      <w:r>
        <w:rPr>
          <w:rFonts w:ascii="Arial" w:hAnsi="Arial" w:eastAsia="微软雅黑"/>
        </w:rPr>
        <w:t>初中阶段的学生已经具备一定的信息检索、团队讨论和逻辑表达能力，比小学生更适合承担完整的项目流程。他们可以在一个航空航天主题下完成分工、调研、方案比较、VR 展示和答辩。比如同样是“月球基地”，小学阶段可以重点做空间想象和展示，初中阶段就可以让小组分别负责能源、居住、通信、交通、应急等模块，并通过小组协作完成一个整体方案。进阶版课程应该更强调团队协作与实际行动，让学生不只是看见一个酷场景，而是在任务推进中学会讨论、分工、执行、修改和表达。</w:t>
      </w:r>
    </w:p>
    <w:p w14:paraId="6D1CE2F2">
      <w:pPr>
        <w:pStyle w:val="4"/>
      </w:pPr>
      <w:r>
        <w:rPr>
          <w:rFonts w:ascii="Arial" w:hAnsi="Arial" w:eastAsia="微软雅黑"/>
        </w:rPr>
        <w:t>2.3 高中阶段：可以进入工程和技术论证</w:t>
      </w:r>
    </w:p>
    <w:p w14:paraId="7F9453E1">
      <w:r>
        <w:rPr>
          <w:rFonts w:ascii="Arial" w:hAnsi="Arial" w:eastAsia="微软雅黑"/>
        </w:rPr>
        <w:t>高中阶段的学生可以进入更接近真实科创任务的状态。他们不只需要故事和展示，也需要技术约束、工程取舍、数据分析和方案论证。比如“火星探测器着陆保护方案”“无人机应急投送安全设计”“月面车越障与减震设计”这类任务，可以要求学生说明物理依据、材料选择、结构逻辑、测试结果和修改理由。挑战版课程应该更强调科技元素和工程深度，让学生不只是完成作品，而是能写出简要设计说明或技术简报。</w:t>
      </w:r>
    </w:p>
    <w:p w14:paraId="78CF16FA">
      <w:pPr>
        <w:pStyle w:val="4"/>
      </w:pPr>
      <w:r>
        <w:rPr>
          <w:rFonts w:ascii="Arial" w:hAnsi="Arial" w:eastAsia="微软雅黑"/>
        </w:rPr>
        <w:t>2.4 学生共同需求：成果展示与成就感</w:t>
      </w:r>
    </w:p>
    <w:p w14:paraId="07FD400D">
      <w:r>
        <w:rPr>
          <w:rFonts w:ascii="Arial" w:hAnsi="Arial" w:eastAsia="微软雅黑"/>
        </w:rPr>
        <w:t>不管是小学、初中还是高中，学生都需要一种“我真的完成了一个东西”的成果感。PBL 和普通课堂最大的差别之一，就在于学生最后不是只听懂了几个知识点，而是能拿出一个属于自己的项目成果，并且能把它展示给同学、老师、家长或更广泛的观众。这个环节不能被当成附属环节，它会直接影响学生投入度和项目价值。对小学生来说，展示可以是月球基地海报、VR 场景截图、角色讲解或一段短视频；对初中生来说，展示可以是小组方案、任务分工表、答辩稿和作品页面；对高中生来说，展示可以是设计简报、技术说明、测试记录和专家反馈后的迭代版本。成果被看见以后，学生才会感到这不是一次“体验课”，而是一段真正可被记住、可被复盘、可被继续推进的项目经历。</w:t>
      </w:r>
    </w:p>
    <w:p w14:paraId="6DD45E9E">
      <w:pPr>
        <w:pStyle w:val="4"/>
      </w:pPr>
      <w:r>
        <w:rPr>
          <w:rFonts w:ascii="Arial" w:hAnsi="Arial" w:eastAsia="微软雅黑"/>
        </w:rPr>
        <w:t>2.5 教师：需要可执行的工具箱</w:t>
      </w:r>
    </w:p>
    <w:p w14:paraId="015CDCBE">
      <w:r>
        <w:rPr>
          <w:rFonts w:ascii="Arial" w:hAnsi="Arial" w:eastAsia="微软雅黑"/>
        </w:rPr>
        <w:t>教师是课程能否复用的关键用户。</w:t>
      </w:r>
      <w:r>
        <w:rPr>
          <w:rFonts w:hint="eastAsia"/>
          <w:lang w:eastAsia="zh-CN"/>
        </w:rPr>
        <w:t>（这里我们先不考虑老师要让学生考高分的这个现实要求。但是如果要推广的话，事实上还是要解决一下这个要求的）</w:t>
      </w:r>
      <w:r>
        <w:rPr>
          <w:rFonts w:ascii="Arial" w:hAnsi="Arial" w:eastAsia="微软雅黑"/>
        </w:rPr>
        <w:t>教师缺少完整、低门槛、可操作的课程材料。一个老师如果想使用我们的课程，他最关心的不是愿景有多大，而是这节课怎么上、每个环节用多长时间、学生会不会乱、设备出问题怎么办、最后怎么评价学生。尤其是 VR 这种技术元素，教师可能会担心自己不够懂，或者担心课堂不可控。因此我们的课程必须为教师降低门槛：任务书要清楚，教案要具体，评价表要能直接使用，技术环节要有替代方案，学生成果要有模板。</w:t>
      </w:r>
    </w:p>
    <w:p w14:paraId="2938D1A5">
      <w:pPr>
        <w:pStyle w:val="4"/>
        <w:rPr>
          <w:rFonts w:hint="eastAsia" w:eastAsia="微软雅黑"/>
          <w:lang w:eastAsia="zh-CN"/>
        </w:rPr>
      </w:pPr>
      <w:r>
        <w:rPr>
          <w:rFonts w:ascii="Arial" w:hAnsi="Arial" w:eastAsia="微软雅黑"/>
        </w:rPr>
        <w:t>2.6 学校</w:t>
      </w:r>
      <w:r>
        <w:rPr>
          <w:rFonts w:hint="eastAsia" w:ascii="Arial" w:hAnsi="Arial" w:eastAsia="微软雅黑"/>
          <w:lang w:eastAsia="zh-CN"/>
        </w:rPr>
        <w:t>：要彰显自己学校的科创特色。</w:t>
      </w:r>
    </w:p>
    <w:p w14:paraId="0D16BE4A">
      <w:pPr>
        <w:rPr>
          <w:rFonts w:hint="eastAsia" w:eastAsia="微软雅黑"/>
          <w:lang w:eastAsia="zh-CN"/>
        </w:rPr>
      </w:pPr>
      <w:r>
        <w:rPr>
          <w:rFonts w:ascii="Arial" w:hAnsi="Arial" w:eastAsia="微软雅黑"/>
        </w:rPr>
        <w:t>学校看重的是课程是否安全可控、是否符合育人方向、是否能体现科创特色、是否能形成可展示成果。对学校来说，北航和虚拟现实实验室的资源本身有吸引力，航空航天主题也有品牌价值，但学校不会只因为“很高级”就长期合作。它们更关心学生是否</w:t>
      </w:r>
      <w:r>
        <w:rPr>
          <w:rFonts w:hint="eastAsia"/>
          <w:lang w:val="en-US" w:eastAsia="zh-CN"/>
        </w:rPr>
        <w:t>体验良好，且有成果</w:t>
      </w:r>
      <w:r>
        <w:rPr>
          <w:rFonts w:ascii="Arial" w:hAnsi="Arial" w:eastAsia="微软雅黑"/>
        </w:rPr>
        <w:t>，活动是否能顺利组织，是否能形成校内展示、公众号推送、科技节成果、家长可见的作品</w:t>
      </w:r>
      <w:r>
        <w:rPr>
          <w:rFonts w:hint="eastAsia"/>
          <w:lang w:eastAsia="zh-CN"/>
        </w:rPr>
        <w:t>。</w:t>
      </w:r>
    </w:p>
    <w:p w14:paraId="68936829">
      <w:pPr>
        <w:pStyle w:val="3"/>
      </w:pPr>
      <w:r>
        <w:rPr>
          <w:rFonts w:ascii="Arial" w:hAnsi="Arial" w:eastAsia="微软雅黑"/>
        </w:rPr>
        <w:t>3. 关键难点与解决思路</w:t>
      </w:r>
    </w:p>
    <w:p w14:paraId="24D96CF4">
      <w:pPr>
        <w:pStyle w:val="4"/>
      </w:pPr>
      <w:r>
        <w:rPr>
          <w:rFonts w:ascii="Arial" w:hAnsi="Arial" w:eastAsia="微软雅黑"/>
        </w:rPr>
        <w:t>3.</w:t>
      </w:r>
      <w:r>
        <w:rPr>
          <w:rFonts w:hint="eastAsia" w:ascii="Arial" w:hAnsi="Arial" w:eastAsia="微软雅黑"/>
          <w:lang w:val="en-US" w:eastAsia="zh-CN"/>
        </w:rPr>
        <w:t>1</w:t>
      </w:r>
      <w:r>
        <w:rPr>
          <w:rFonts w:ascii="Arial" w:hAnsi="Arial" w:eastAsia="微软雅黑"/>
        </w:rPr>
        <w:t xml:space="preserve"> 难点</w:t>
      </w:r>
      <w:r>
        <w:rPr>
          <w:rFonts w:hint="eastAsia" w:ascii="Arial" w:hAnsi="Arial" w:eastAsia="微软雅黑"/>
          <w:lang w:val="en-US" w:eastAsia="zh-CN"/>
        </w:rPr>
        <w:t>一</w:t>
      </w:r>
      <w:r>
        <w:rPr>
          <w:rFonts w:ascii="Arial" w:hAnsi="Arial" w:eastAsia="微软雅黑"/>
        </w:rPr>
        <w:t>：VR 很容易变成一次体验</w:t>
      </w:r>
    </w:p>
    <w:p w14:paraId="538745FE">
      <w:r>
        <w:rPr>
          <w:rFonts w:ascii="Arial" w:hAnsi="Arial" w:eastAsia="微软雅黑"/>
        </w:rPr>
        <w:t>航空航天和 VR 都很容易让学生兴奋，但兴奋不等于学习。如果课程设计不好，学生可能只是玩 VR、做一个好看的展示，最后没有真正理解问题。解决思路是先设计 PBL 流程，再嵌入技术。每套课程都应该有一个驱动问题、一组阶段任务、一份学生项目档案和一个评价量表。学生在 VR 前要带着问题观察，在 VR 后要修改方案；最终评价不能只看作品酷不酷，而要看问题理解、资料调研、方案迭代、VR 表达、团队合作和答辩表达。</w:t>
      </w:r>
    </w:p>
    <w:p w14:paraId="5D4ED777">
      <w:pPr>
        <w:pStyle w:val="4"/>
      </w:pPr>
      <w:r>
        <w:rPr>
          <w:rFonts w:ascii="Arial" w:hAnsi="Arial" w:eastAsia="微软雅黑"/>
        </w:rPr>
        <w:t>3.</w:t>
      </w:r>
      <w:r>
        <w:rPr>
          <w:rFonts w:hint="eastAsia" w:ascii="Arial" w:hAnsi="Arial" w:eastAsia="微软雅黑"/>
          <w:lang w:val="en-US" w:eastAsia="zh-CN"/>
        </w:rPr>
        <w:t>2</w:t>
      </w:r>
      <w:r>
        <w:rPr>
          <w:rFonts w:ascii="Arial" w:hAnsi="Arial" w:eastAsia="微软雅黑"/>
        </w:rPr>
        <w:t xml:space="preserve"> 难点</w:t>
      </w:r>
      <w:r>
        <w:rPr>
          <w:rFonts w:hint="eastAsia" w:ascii="Arial" w:hAnsi="Arial" w:eastAsia="微软雅黑"/>
          <w:lang w:val="en-US" w:eastAsia="zh-CN"/>
        </w:rPr>
        <w:t>二</w:t>
      </w:r>
      <w:r>
        <w:rPr>
          <w:rFonts w:ascii="Arial" w:hAnsi="Arial" w:eastAsia="微软雅黑"/>
        </w:rPr>
        <w:t>：VR 资源强，但设备和场地可能限制推广</w:t>
      </w:r>
    </w:p>
    <w:p w14:paraId="1F1B9ED3">
      <w:r>
        <w:rPr>
          <w:rFonts w:ascii="Arial" w:hAnsi="Arial" w:eastAsia="微软雅黑"/>
        </w:rPr>
        <w:t>我们依托北航虚拟现实实验室，这是优势，但不能让项目只能在实验室里发生。解决思路是从一开始设计两个版本：实验室增强版可以充分使用 VR 设备、实验室参观、沉浸式体验和导师资源；学校轻量版则用视频、网页、3D 模型、录屏、普通电脑展示等方式替代一部分 VR 环节。这样既保留“北航 VR”的核心特色，也能提高复用和推广能力。</w:t>
      </w:r>
    </w:p>
    <w:p w14:paraId="50DDCB37">
      <w:pPr>
        <w:pStyle w:val="4"/>
      </w:pPr>
      <w:r>
        <w:rPr>
          <w:rFonts w:ascii="Arial" w:hAnsi="Arial" w:eastAsia="微软雅黑"/>
        </w:rPr>
        <w:t>3.</w:t>
      </w:r>
      <w:r>
        <w:rPr>
          <w:rFonts w:hint="eastAsia" w:ascii="Arial" w:hAnsi="Arial" w:eastAsia="微软雅黑"/>
          <w:lang w:val="en-US" w:eastAsia="zh-CN"/>
        </w:rPr>
        <w:t>3</w:t>
      </w:r>
      <w:r>
        <w:rPr>
          <w:rFonts w:ascii="Arial" w:hAnsi="Arial" w:eastAsia="微软雅黑"/>
        </w:rPr>
        <w:t xml:space="preserve"> 难点</w:t>
      </w:r>
      <w:r>
        <w:rPr>
          <w:rFonts w:hint="eastAsia" w:ascii="Arial" w:hAnsi="Arial" w:eastAsia="微软雅黑"/>
          <w:lang w:val="en-US" w:eastAsia="zh-CN"/>
        </w:rPr>
        <w:t>三</w:t>
      </w:r>
      <w:r>
        <w:rPr>
          <w:rFonts w:ascii="Arial" w:hAnsi="Arial" w:eastAsia="微软雅黑"/>
        </w:rPr>
        <w:t>：新媒体不能只是宣传</w:t>
      </w:r>
    </w:p>
    <w:p w14:paraId="70B25564">
      <w:pPr>
        <w:rPr>
          <w:rFonts w:ascii="Arial" w:hAnsi="Arial" w:eastAsia="微软雅黑"/>
        </w:rPr>
      </w:pPr>
      <w:r>
        <w:rPr>
          <w:rFonts w:ascii="Arial" w:hAnsi="Arial" w:eastAsia="微软雅黑"/>
        </w:rPr>
        <w:t>新媒体不应该只是活动结束后写推送，而应该成为产品的一部分。课程研发阶段可以制作航空航天和 VR 的课程导入视频，教学试点阶段记录学生从问题到作品的变化，成果整理阶段输出案例视频、学生作品展示、项目纪录片和比赛素材。这样新媒体既服务传播，也服务教学，还服务成果沉淀。</w:t>
      </w:r>
    </w:p>
    <w:p w14:paraId="54EF6F62">
      <w:pPr>
        <w:pStyle w:val="3"/>
      </w:pPr>
      <w:r>
        <w:rPr>
          <w:rFonts w:ascii="Arial" w:hAnsi="Arial" w:eastAsia="微软雅黑"/>
        </w:rPr>
        <w:t>4. 最终可复用教学产品</w:t>
      </w:r>
    </w:p>
    <w:p w14:paraId="5E11ED3D">
      <w:r>
        <w:rPr>
          <w:rFonts w:ascii="Arial" w:hAnsi="Arial" w:eastAsia="微软雅黑"/>
        </w:rPr>
        <w:t>最终产出应是一套“航空航天 VR PBL 课程产品库”：它先以课程包和展示网页的形式存在，后续可扩展为网站或软件，用来承载课程设计、教学执行、学生成果展示和后续迭代。</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74983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Mar>
              <w:top w:w="90" w:type="dxa"/>
              <w:left w:w="120" w:type="dxa"/>
              <w:bottom w:w="90" w:type="dxa"/>
              <w:right w:w="120" w:type="dxa"/>
            </w:tcMar>
            <w:vAlign w:val="center"/>
          </w:tcPr>
          <w:p w14:paraId="4761226D">
            <w:pPr>
              <w:spacing w:before="0" w:after="80" w:line="264" w:lineRule="auto"/>
            </w:pPr>
            <w:r>
              <w:rPr>
                <w:rFonts w:ascii="Arial" w:hAnsi="Arial" w:eastAsia="微软雅黑"/>
                <w:b/>
                <w:sz w:val="20"/>
              </w:rPr>
              <w:t>模块</w:t>
            </w:r>
          </w:p>
        </w:tc>
        <w:tc>
          <w:tcPr>
            <w:tcW w:w="3120" w:type="dxa"/>
            <w:shd w:val="clear" w:color="auto" w:fill="F2F2F2"/>
            <w:tcMar>
              <w:top w:w="90" w:type="dxa"/>
              <w:left w:w="120" w:type="dxa"/>
              <w:bottom w:w="90" w:type="dxa"/>
              <w:right w:w="120" w:type="dxa"/>
            </w:tcMar>
            <w:vAlign w:val="center"/>
          </w:tcPr>
          <w:p w14:paraId="3FEBE726">
            <w:pPr>
              <w:spacing w:before="0" w:after="80" w:line="264" w:lineRule="auto"/>
            </w:pPr>
            <w:r>
              <w:rPr>
                <w:rFonts w:ascii="Arial" w:hAnsi="Arial" w:eastAsia="微软雅黑"/>
                <w:b/>
                <w:sz w:val="20"/>
              </w:rPr>
              <w:t>主要承载内容</w:t>
            </w:r>
          </w:p>
        </w:tc>
        <w:tc>
          <w:tcPr>
            <w:tcW w:w="3120" w:type="dxa"/>
            <w:shd w:val="clear" w:color="auto" w:fill="F2F2F2"/>
            <w:tcMar>
              <w:top w:w="90" w:type="dxa"/>
              <w:left w:w="120" w:type="dxa"/>
              <w:bottom w:w="90" w:type="dxa"/>
              <w:right w:w="120" w:type="dxa"/>
            </w:tcMar>
            <w:vAlign w:val="center"/>
          </w:tcPr>
          <w:p w14:paraId="31F6C4F4">
            <w:pPr>
              <w:spacing w:before="0" w:after="80" w:line="264" w:lineRule="auto"/>
            </w:pPr>
            <w:r>
              <w:rPr>
                <w:rFonts w:ascii="Arial" w:hAnsi="Arial" w:eastAsia="微软雅黑"/>
                <w:b/>
                <w:sz w:val="20"/>
              </w:rPr>
              <w:t>作用</w:t>
            </w:r>
          </w:p>
        </w:tc>
      </w:tr>
      <w:tr w14:paraId="08E95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90" w:type="dxa"/>
              <w:left w:w="120" w:type="dxa"/>
              <w:bottom w:w="90" w:type="dxa"/>
              <w:right w:w="120" w:type="dxa"/>
            </w:tcMar>
            <w:vAlign w:val="center"/>
          </w:tcPr>
          <w:p w14:paraId="7D3E4712">
            <w:pPr>
              <w:spacing w:before="0" w:after="80" w:line="264" w:lineRule="auto"/>
            </w:pPr>
            <w:r>
              <w:rPr>
                <w:rFonts w:ascii="Arial" w:hAnsi="Arial" w:eastAsia="微软雅黑"/>
                <w:sz w:val="20"/>
              </w:rPr>
              <w:t>课程库</w:t>
            </w:r>
          </w:p>
        </w:tc>
        <w:tc>
          <w:tcPr>
            <w:tcW w:w="3120" w:type="dxa"/>
            <w:tcMar>
              <w:top w:w="90" w:type="dxa"/>
              <w:left w:w="120" w:type="dxa"/>
              <w:bottom w:w="90" w:type="dxa"/>
              <w:right w:w="120" w:type="dxa"/>
            </w:tcMar>
            <w:vAlign w:val="center"/>
          </w:tcPr>
          <w:p w14:paraId="4E9E5D2B">
            <w:pPr>
              <w:spacing w:before="0" w:after="80" w:line="264" w:lineRule="auto"/>
            </w:pPr>
            <w:r>
              <w:rPr>
                <w:rFonts w:ascii="Arial" w:hAnsi="Arial" w:eastAsia="微软雅黑"/>
                <w:sz w:val="20"/>
              </w:rPr>
              <w:t>月球基地、无人机救援、未来机场等主题；基础版、进阶版、挑战版</w:t>
            </w:r>
          </w:p>
        </w:tc>
        <w:tc>
          <w:tcPr>
            <w:tcW w:w="3120" w:type="dxa"/>
            <w:tcMar>
              <w:top w:w="90" w:type="dxa"/>
              <w:left w:w="120" w:type="dxa"/>
              <w:bottom w:w="90" w:type="dxa"/>
              <w:right w:w="120" w:type="dxa"/>
            </w:tcMar>
            <w:vAlign w:val="center"/>
          </w:tcPr>
          <w:p w14:paraId="3BF4CEC4">
            <w:pPr>
              <w:spacing w:before="0" w:after="80" w:line="264" w:lineRule="auto"/>
            </w:pPr>
            <w:r>
              <w:rPr>
                <w:rFonts w:ascii="Arial" w:hAnsi="Arial" w:eastAsia="微软雅黑"/>
                <w:sz w:val="20"/>
              </w:rPr>
              <w:t>让课程能按主题和难度被检索、复用</w:t>
            </w:r>
          </w:p>
        </w:tc>
      </w:tr>
      <w:tr w14:paraId="65DAD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90" w:type="dxa"/>
              <w:left w:w="120" w:type="dxa"/>
              <w:bottom w:w="90" w:type="dxa"/>
              <w:right w:w="120" w:type="dxa"/>
            </w:tcMar>
            <w:vAlign w:val="center"/>
          </w:tcPr>
          <w:p w14:paraId="6B563DE3">
            <w:pPr>
              <w:spacing w:before="0" w:after="80" w:line="264" w:lineRule="auto"/>
            </w:pPr>
            <w:r>
              <w:rPr>
                <w:rFonts w:ascii="Arial" w:hAnsi="Arial" w:eastAsia="微软雅黑"/>
                <w:sz w:val="20"/>
              </w:rPr>
              <w:t>课程详情页</w:t>
            </w:r>
          </w:p>
        </w:tc>
        <w:tc>
          <w:tcPr>
            <w:tcW w:w="3120" w:type="dxa"/>
            <w:tcMar>
              <w:top w:w="90" w:type="dxa"/>
              <w:left w:w="120" w:type="dxa"/>
              <w:bottom w:w="90" w:type="dxa"/>
              <w:right w:w="120" w:type="dxa"/>
            </w:tcMar>
            <w:vAlign w:val="center"/>
          </w:tcPr>
          <w:p w14:paraId="54F2EDD8">
            <w:pPr>
              <w:spacing w:before="0" w:after="80" w:line="264" w:lineRule="auto"/>
            </w:pPr>
            <w:r>
              <w:rPr>
                <w:rFonts w:ascii="Arial" w:hAnsi="Arial" w:eastAsia="微软雅黑"/>
                <w:sz w:val="20"/>
              </w:rPr>
              <w:t>故事线、适用学段、课时安排、材料清单、任务书、评价标准</w:t>
            </w:r>
          </w:p>
        </w:tc>
        <w:tc>
          <w:tcPr>
            <w:tcW w:w="3120" w:type="dxa"/>
            <w:tcMar>
              <w:top w:w="90" w:type="dxa"/>
              <w:left w:w="120" w:type="dxa"/>
              <w:bottom w:w="90" w:type="dxa"/>
              <w:right w:w="120" w:type="dxa"/>
            </w:tcMar>
            <w:vAlign w:val="center"/>
          </w:tcPr>
          <w:p w14:paraId="6D9A3C41">
            <w:pPr>
              <w:spacing w:before="0" w:after="80" w:line="264" w:lineRule="auto"/>
            </w:pPr>
            <w:r>
              <w:rPr>
                <w:rFonts w:ascii="Arial" w:hAnsi="Arial" w:eastAsia="微软雅黑"/>
                <w:sz w:val="20"/>
              </w:rPr>
              <w:t>让教师和团队知道一节课具体怎么执行</w:t>
            </w:r>
          </w:p>
        </w:tc>
      </w:tr>
      <w:tr w14:paraId="47B1C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90" w:type="dxa"/>
              <w:left w:w="120" w:type="dxa"/>
              <w:bottom w:w="90" w:type="dxa"/>
              <w:right w:w="120" w:type="dxa"/>
            </w:tcMar>
            <w:vAlign w:val="center"/>
          </w:tcPr>
          <w:p w14:paraId="1F33DAE9">
            <w:pPr>
              <w:spacing w:before="0" w:after="80" w:line="264" w:lineRule="auto"/>
            </w:pPr>
            <w:r>
              <w:rPr>
                <w:rFonts w:ascii="Arial" w:hAnsi="Arial" w:eastAsia="微软雅黑"/>
                <w:sz w:val="20"/>
              </w:rPr>
              <w:t>学生项目空间</w:t>
            </w:r>
          </w:p>
        </w:tc>
        <w:tc>
          <w:tcPr>
            <w:tcW w:w="3120" w:type="dxa"/>
            <w:tcMar>
              <w:top w:w="90" w:type="dxa"/>
              <w:left w:w="120" w:type="dxa"/>
              <w:bottom w:w="90" w:type="dxa"/>
              <w:right w:w="120" w:type="dxa"/>
            </w:tcMar>
            <w:vAlign w:val="center"/>
          </w:tcPr>
          <w:p w14:paraId="5C9660CA">
            <w:pPr>
              <w:spacing w:before="0" w:after="80" w:line="264" w:lineRule="auto"/>
            </w:pPr>
            <w:r>
              <w:rPr>
                <w:rFonts w:ascii="Arial" w:hAnsi="Arial" w:eastAsia="微软雅黑"/>
                <w:sz w:val="20"/>
              </w:rPr>
              <w:t>小组分工、过程记录、VR/3D 截图、项目档案、答辩材料</w:t>
            </w:r>
          </w:p>
        </w:tc>
        <w:tc>
          <w:tcPr>
            <w:tcW w:w="3120" w:type="dxa"/>
            <w:tcMar>
              <w:top w:w="90" w:type="dxa"/>
              <w:left w:w="120" w:type="dxa"/>
              <w:bottom w:w="90" w:type="dxa"/>
              <w:right w:w="120" w:type="dxa"/>
            </w:tcMar>
            <w:vAlign w:val="center"/>
          </w:tcPr>
          <w:p w14:paraId="1CB22061">
            <w:pPr>
              <w:spacing w:before="0" w:after="80" w:line="264" w:lineRule="auto"/>
            </w:pPr>
            <w:r>
              <w:rPr>
                <w:rFonts w:ascii="Arial" w:hAnsi="Arial" w:eastAsia="微软雅黑"/>
                <w:sz w:val="20"/>
              </w:rPr>
              <w:t>保留 PBL 的过程证据，避免只剩一次体验</w:t>
            </w:r>
          </w:p>
        </w:tc>
      </w:tr>
      <w:tr w14:paraId="1CD7C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90" w:type="dxa"/>
              <w:left w:w="120" w:type="dxa"/>
              <w:bottom w:w="90" w:type="dxa"/>
              <w:right w:w="120" w:type="dxa"/>
            </w:tcMar>
            <w:vAlign w:val="center"/>
          </w:tcPr>
          <w:p w14:paraId="050FFE31">
            <w:pPr>
              <w:spacing w:before="0" w:after="80" w:line="264" w:lineRule="auto"/>
            </w:pPr>
            <w:r>
              <w:rPr>
                <w:rFonts w:ascii="Arial" w:hAnsi="Arial" w:eastAsia="微软雅黑"/>
                <w:sz w:val="20"/>
              </w:rPr>
              <w:t>作品展示区</w:t>
            </w:r>
          </w:p>
        </w:tc>
        <w:tc>
          <w:tcPr>
            <w:tcW w:w="3120" w:type="dxa"/>
            <w:tcMar>
              <w:top w:w="90" w:type="dxa"/>
              <w:left w:w="120" w:type="dxa"/>
              <w:bottom w:w="90" w:type="dxa"/>
              <w:right w:w="120" w:type="dxa"/>
            </w:tcMar>
            <w:vAlign w:val="center"/>
          </w:tcPr>
          <w:p w14:paraId="382341E8">
            <w:pPr>
              <w:spacing w:before="0" w:after="80" w:line="264" w:lineRule="auto"/>
            </w:pPr>
            <w:r>
              <w:rPr>
                <w:rFonts w:ascii="Arial" w:hAnsi="Arial" w:eastAsia="微软雅黑"/>
                <w:sz w:val="20"/>
              </w:rPr>
              <w:t>学生作品、优秀案例、课堂视频、项目海报</w:t>
            </w:r>
          </w:p>
        </w:tc>
        <w:tc>
          <w:tcPr>
            <w:tcW w:w="3120" w:type="dxa"/>
            <w:tcMar>
              <w:top w:w="90" w:type="dxa"/>
              <w:left w:w="120" w:type="dxa"/>
              <w:bottom w:w="90" w:type="dxa"/>
              <w:right w:w="120" w:type="dxa"/>
            </w:tcMar>
            <w:vAlign w:val="center"/>
          </w:tcPr>
          <w:p w14:paraId="52F5B231">
            <w:pPr>
              <w:spacing w:before="0" w:after="80" w:line="264" w:lineRule="auto"/>
            </w:pPr>
            <w:r>
              <w:rPr>
                <w:rFonts w:ascii="Arial" w:hAnsi="Arial" w:eastAsia="微软雅黑"/>
                <w:sz w:val="20"/>
              </w:rPr>
              <w:t>形成成果感，也服务学校展示和新媒体传播</w:t>
            </w:r>
          </w:p>
        </w:tc>
      </w:tr>
      <w:tr w14:paraId="2A918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90" w:type="dxa"/>
              <w:left w:w="120" w:type="dxa"/>
              <w:bottom w:w="90" w:type="dxa"/>
              <w:right w:w="120" w:type="dxa"/>
            </w:tcMar>
            <w:vAlign w:val="center"/>
          </w:tcPr>
          <w:p w14:paraId="735FFD59">
            <w:pPr>
              <w:spacing w:before="0" w:after="80" w:line="264" w:lineRule="auto"/>
            </w:pPr>
            <w:r>
              <w:rPr>
                <w:rFonts w:ascii="Arial" w:hAnsi="Arial" w:eastAsia="微软雅黑"/>
                <w:sz w:val="20"/>
              </w:rPr>
              <w:t>教师资源区</w:t>
            </w:r>
          </w:p>
        </w:tc>
        <w:tc>
          <w:tcPr>
            <w:tcW w:w="3120" w:type="dxa"/>
            <w:tcMar>
              <w:top w:w="90" w:type="dxa"/>
              <w:left w:w="120" w:type="dxa"/>
              <w:bottom w:w="90" w:type="dxa"/>
              <w:right w:w="120" w:type="dxa"/>
            </w:tcMar>
            <w:vAlign w:val="center"/>
          </w:tcPr>
          <w:p w14:paraId="098D8870">
            <w:pPr>
              <w:spacing w:before="0" w:after="80" w:line="264" w:lineRule="auto"/>
            </w:pPr>
            <w:r>
              <w:rPr>
                <w:rFonts w:ascii="Arial" w:hAnsi="Arial" w:eastAsia="微软雅黑"/>
                <w:sz w:val="20"/>
              </w:rPr>
              <w:t>教案、设备清单、常见问题、轻量版替代方案</w:t>
            </w:r>
          </w:p>
        </w:tc>
        <w:tc>
          <w:tcPr>
            <w:tcW w:w="3120" w:type="dxa"/>
            <w:tcMar>
              <w:top w:w="90" w:type="dxa"/>
              <w:left w:w="120" w:type="dxa"/>
              <w:bottom w:w="90" w:type="dxa"/>
              <w:right w:w="120" w:type="dxa"/>
            </w:tcMar>
            <w:vAlign w:val="center"/>
          </w:tcPr>
          <w:p w14:paraId="671590D9">
            <w:pPr>
              <w:spacing w:before="0" w:after="80" w:line="264" w:lineRule="auto"/>
            </w:pPr>
            <w:r>
              <w:rPr>
                <w:rFonts w:ascii="Arial" w:hAnsi="Arial" w:eastAsia="微软雅黑"/>
                <w:sz w:val="20"/>
              </w:rPr>
              <w:t>降低复用门槛，让课程不依赖我们每次到场</w:t>
            </w:r>
          </w:p>
        </w:tc>
      </w:tr>
      <w:tr w14:paraId="1EEAF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Mar>
              <w:top w:w="90" w:type="dxa"/>
              <w:left w:w="120" w:type="dxa"/>
              <w:bottom w:w="90" w:type="dxa"/>
              <w:right w:w="120" w:type="dxa"/>
            </w:tcMar>
            <w:vAlign w:val="center"/>
          </w:tcPr>
          <w:p w14:paraId="462BCA8F">
            <w:pPr>
              <w:spacing w:before="0" w:after="80" w:line="264" w:lineRule="auto"/>
            </w:pPr>
            <w:r>
              <w:rPr>
                <w:rFonts w:ascii="Arial" w:hAnsi="Arial" w:eastAsia="微软雅黑"/>
                <w:sz w:val="20"/>
              </w:rPr>
              <w:t>智能助教（可选）</w:t>
            </w:r>
          </w:p>
        </w:tc>
        <w:tc>
          <w:tcPr>
            <w:tcW w:w="3120" w:type="dxa"/>
            <w:tcMar>
              <w:top w:w="90" w:type="dxa"/>
              <w:left w:w="120" w:type="dxa"/>
              <w:bottom w:w="90" w:type="dxa"/>
              <w:right w:w="120" w:type="dxa"/>
            </w:tcMar>
            <w:vAlign w:val="center"/>
          </w:tcPr>
          <w:p w14:paraId="6C726AAB">
            <w:pPr>
              <w:spacing w:before="0" w:after="80" w:line="264" w:lineRule="auto"/>
            </w:pPr>
            <w:r>
              <w:rPr>
                <w:rFonts w:ascii="Arial" w:hAnsi="Arial" w:eastAsia="微软雅黑"/>
                <w:sz w:val="20"/>
              </w:rPr>
              <w:t>材料改写、课堂追问、反馈整理、表达优化</w:t>
            </w:r>
          </w:p>
        </w:tc>
        <w:tc>
          <w:tcPr>
            <w:tcW w:w="3120" w:type="dxa"/>
            <w:tcMar>
              <w:top w:w="90" w:type="dxa"/>
              <w:left w:w="120" w:type="dxa"/>
              <w:bottom w:w="90" w:type="dxa"/>
              <w:right w:w="120" w:type="dxa"/>
            </w:tcMar>
            <w:vAlign w:val="center"/>
          </w:tcPr>
          <w:p w14:paraId="1A731A01">
            <w:pPr>
              <w:spacing w:before="0" w:after="80" w:line="264" w:lineRule="auto"/>
            </w:pPr>
            <w:r>
              <w:rPr>
                <w:rFonts w:ascii="Arial" w:hAnsi="Arial" w:eastAsia="微软雅黑"/>
                <w:sz w:val="20"/>
              </w:rPr>
              <w:t>作为辅助能力提高效率，但不作为课程主线</w:t>
            </w:r>
          </w:p>
        </w:tc>
      </w:tr>
    </w:tbl>
    <w:p w14:paraId="219AC6DF"/>
    <w:p w14:paraId="5FBFD65E">
      <w:pPr>
        <w:rPr>
          <w:rFonts w:hint="eastAsia" w:ascii="Arial" w:hAnsi="Arial" w:eastAsia="微软雅黑" w:cstheme="minorBidi"/>
          <w:color w:val="000000"/>
          <w:sz w:val="22"/>
          <w:szCs w:val="22"/>
          <w:lang w:val="en-US" w:eastAsia="zh-CN" w:bidi="ar-SA"/>
        </w:rPr>
      </w:pPr>
      <w:r>
        <w:rPr>
          <w:rFonts w:hint="eastAsia"/>
          <w:lang w:val="en-US" w:eastAsia="zh-CN"/>
        </w:rPr>
        <w:t>省流：</w:t>
      </w:r>
      <w:r>
        <w:rPr>
          <w:rFonts w:hint="eastAsia" w:ascii="Arial" w:hAnsi="Arial" w:eastAsia="微软雅黑" w:cstheme="minorBidi"/>
          <w:color w:val="000000"/>
          <w:sz w:val="22"/>
          <w:szCs w:val="22"/>
          <w:lang w:val="en-US" w:eastAsia="zh-CN" w:bidi="ar-SA"/>
        </w:rPr>
        <w:t>我们希望依托北航虚拟现实实验室的航空航天与 VR 资源，把 PBL 科创课程做成一个可复用、可迭代的教育产品，而不是一次性的支教活动。项目面向小学、初中、高中不同学段设计不同层次的课程：小学重故事、体验和成果展示，初中重团队协作、真实行动和过程记录，高中重工程思维、技术论证和科创成果。项目的关键难点在于避免 VR 变成单纯体验、保证课程真正产生教学效果、让教学成果能被复用，并把新媒体从宣传工具变成课程导入、成果展示和项目传播的一部分。最终目标是沉淀出一套包含课程包、执行流程、学生项目档案、作品展示和教师资源的可复用教学产品，为后续教学试点、竞赛申报和项目推广打基础</w:t>
      </w:r>
    </w:p>
    <w:p w14:paraId="1C932455">
      <w:pPr>
        <w:rPr>
          <w:rFonts w:hint="default" w:ascii="Arial" w:hAnsi="Arial" w:eastAsia="微软雅黑" w:cstheme="minorBidi"/>
          <w:color w:val="000000"/>
          <w:sz w:val="22"/>
          <w:szCs w:val="22"/>
          <w:lang w:val="en-US" w:eastAsia="zh-CN" w:bidi="ar-SA"/>
        </w:rPr>
      </w:pPr>
      <w:r>
        <w:rPr>
          <w:rFonts w:hint="eastAsia" w:cstheme="minorBidi"/>
          <w:color w:val="000000"/>
          <w:sz w:val="22"/>
          <w:szCs w:val="22"/>
          <w:lang w:val="en-US" w:eastAsia="zh-CN" w:bidi="ar-SA"/>
        </w:rPr>
        <w:t>这只是一个很初步的东西，欢迎大家补充🥰</w:t>
      </w:r>
      <w:bookmarkStart w:id="0" w:name="_GoBack"/>
      <w:bookmarkEnd w:id="0"/>
    </w:p>
    <w:sectPr>
      <w:pgSz w:w="11909" w:h="16834"/>
      <w:pgMar w:top="1224" w:right="1296" w:bottom="1224"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822FA7"/>
    <w:rsid w:val="48855A71"/>
    <w:rsid w:val="5C844566"/>
    <w:rsid w:val="70EF5FB6"/>
    <w:rsid w:val="73137F9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40" w:line="283" w:lineRule="auto"/>
      <w:ind w:firstLine="0"/>
    </w:pPr>
    <w:rPr>
      <w:rFonts w:ascii="Arial" w:hAnsi="Arial" w:eastAsia="微软雅黑" w:cstheme="minorBidi"/>
      <w:color w:val="000000"/>
      <w:sz w:val="22"/>
      <w:szCs w:val="22"/>
      <w:lang w:val="en-US" w:eastAsia="en-US" w:bidi="ar-SA"/>
    </w:rPr>
  </w:style>
  <w:style w:type="paragraph" w:styleId="3">
    <w:name w:val="heading 1"/>
    <w:basedOn w:val="1"/>
    <w:next w:val="1"/>
    <w:link w:val="138"/>
    <w:qFormat/>
    <w:uiPriority w:val="9"/>
    <w:pPr>
      <w:keepNext/>
      <w:keepLines/>
      <w:spacing w:before="320" w:after="12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80"/>
      <w:outlineLvl w:val="1"/>
    </w:pPr>
    <w:rPr>
      <w:rFonts w:asciiTheme="majorHAnsi" w:hAnsiTheme="majorHAnsi" w:eastAsiaTheme="majorEastAsia" w:cstheme="majorBidi"/>
      <w:b/>
      <w:bCs/>
      <w:color w:val="282828"/>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100"/>
      <w:contextualSpacing/>
    </w:pPr>
    <w:rPr>
      <w:rFonts w:ascii="Arial" w:hAnsi="Arial" w:eastAsia="微软雅黑"/>
      <w:sz w:val="22"/>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80" w:line="240" w:lineRule="auto"/>
      <w:contextualSpacing/>
    </w:pPr>
    <w:rPr>
      <w:rFonts w:asciiTheme="majorHAnsi" w:hAnsiTheme="majorHAnsi" w:eastAsiaTheme="majorEastAsia" w:cstheme="majorBidi"/>
      <w:color w:val="000000"/>
      <w:spacing w:val="5"/>
      <w:kern w:val="28"/>
      <w:sz w:val="4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4256</Words>
  <Characters>4379</Characters>
  <Lines>0</Lines>
  <Paragraphs>0</Paragraphs>
  <TotalTime>31</TotalTime>
  <ScaleCrop>false</ScaleCrop>
  <LinksUpToDate>false</LinksUpToDate>
  <CharactersWithSpaces>4475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宋浩然</cp:lastModifiedBy>
  <dcterms:modified xsi:type="dcterms:W3CDTF">2026-07-26T13:55:18Z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eyJoZGlkIjoiYzk1ZjkxNDJmOGMwZjlkNjIzZjAxOTk1MmU1MjU2NTAiLCJ1c2VySWQiOiIxNzI1OTc5ODY5In0=</vt:lpwstr>
  </property>
  <property fmtid="{D5CDD505-2E9C-101B-9397-08002B2CF9AE}" pid="3" name="KSOProductBuildVer">
    <vt:lpwstr>2052-12.1.0.26895</vt:lpwstr>
  </property>
  <property fmtid="{D5CDD505-2E9C-101B-9397-08002B2CF9AE}" pid="4" name="ICV">
    <vt:lpwstr>F0AC93C37287483BA4008EFA07925AD9_12</vt:lpwstr>
  </property>
</Properties>
</file>