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8962B5">
      <w:pPr>
        <w:pStyle w:val="31"/>
        <w:jc w:val="left"/>
      </w:pPr>
      <w:r>
        <w:rPr>
          <w:rFonts w:ascii="Arial" w:hAnsi="Arial" w:eastAsia="微软雅黑"/>
          <w:color w:val="000000"/>
          <w:sz w:val="42"/>
        </w:rPr>
        <w:t>VR PBL 科创教育项目竞品与案例分析</w:t>
      </w:r>
    </w:p>
    <w:p w14:paraId="0964AB7B">
      <w:pPr>
        <w:pStyle w:val="3"/>
      </w:pPr>
      <w:r>
        <w:rPr>
          <w:rFonts w:ascii="Arial" w:hAnsi="Arial" w:eastAsia="微软雅黑"/>
        </w:rPr>
        <w:t>1. PBLWorks 案例分析</w:t>
      </w:r>
    </w:p>
    <w:p w14:paraId="6EA88FD9">
      <w:r>
        <w:rPr>
          <w:rFonts w:ascii="Arial" w:hAnsi="Arial" w:eastAsia="微软雅黑"/>
        </w:rPr>
        <w:t>PBLWorks把</w:t>
      </w:r>
      <w:r>
        <w:rPr>
          <w:rFonts w:hint="eastAsia"/>
          <w:lang w:val="en-US" w:eastAsia="zh-CN"/>
        </w:rPr>
        <w:t>PBL</w:t>
      </w:r>
      <w:r>
        <w:rPr>
          <w:rFonts w:ascii="Arial" w:hAnsi="Arial" w:eastAsia="微软雅黑"/>
        </w:rPr>
        <w:t>做成了课程方法、项目库、教师支持和评价体系。它的项目库可以按学段和学科筛选，每个项目通常会给出驱动问题、项目描述、学习内容、成果形式和教师调整空间。对我们来说，这说明 PBL 成功的关键是</w:t>
      </w:r>
      <w:r>
        <w:rPr>
          <w:rFonts w:hint="eastAsia"/>
          <w:lang w:eastAsia="zh-CN"/>
        </w:rPr>
        <w:t>课程设计抓住人有亮点，</w:t>
      </w:r>
      <w:r>
        <w:rPr>
          <w:rFonts w:hint="eastAsia"/>
          <w:lang w:val="en-US" w:eastAsia="zh-CN"/>
        </w:rPr>
        <w:t>进程</w:t>
      </w:r>
      <w:r>
        <w:rPr>
          <w:rFonts w:ascii="Arial" w:hAnsi="Arial" w:eastAsia="微软雅黑"/>
        </w:rPr>
        <w:t>足够清楚，教师知道怎么带，学生知道要完成什么，最后还能留下可展示、可评价的成果。</w:t>
      </w:r>
    </w:p>
    <w:p w14:paraId="140E073C">
      <w:pPr>
        <w:spacing w:before="0" w:after="100"/>
      </w:pPr>
      <w:r>
        <w:rPr>
          <w:rFonts w:ascii="Arial" w:hAnsi="Arial" w:eastAsia="微软雅黑"/>
          <w:color w:val="555555"/>
          <w:sz w:val="18"/>
        </w:rPr>
        <w:t>参考链接：</w:t>
      </w:r>
      <w:r>
        <w:fldChar w:fldCharType="begin"/>
      </w:r>
      <w:r>
        <w:instrText xml:space="preserve"> HYPERLINK "https://help.pblworks.org/en/articles/9232414-mypblworks-project-library" \h </w:instrText>
      </w:r>
      <w:r>
        <w:fldChar w:fldCharType="separate"/>
      </w:r>
      <w:r>
        <w:rPr>
          <w:color w:val="1155CC"/>
          <w:u w:val="single"/>
        </w:rPr>
        <w:t>PBLWorks Project Library 说明</w:t>
      </w:r>
      <w:r>
        <w:rPr>
          <w:color w:val="1155CC"/>
          <w:u w:val="single"/>
        </w:rPr>
        <w:fldChar w:fldCharType="end"/>
      </w:r>
    </w:p>
    <w:p w14:paraId="27745E4A">
      <w:pPr>
        <w:pStyle w:val="4"/>
      </w:pPr>
      <w:r>
        <w:rPr>
          <w:rFonts w:ascii="Arial" w:hAnsi="Arial" w:eastAsia="微软雅黑"/>
        </w:rPr>
        <w:t>案例一：Tiny House Project</w:t>
      </w:r>
    </w:p>
    <w:p w14:paraId="56490B77">
      <w:r>
        <w:rPr>
          <w:rFonts w:ascii="Arial" w:hAnsi="Arial" w:eastAsia="微软雅黑"/>
        </w:rPr>
        <w:t>Tiny House 面向美国 3-5 年级，换算到国内大致对应小学中高年级学生。它的核心问题是：我们如何设计一座能够满足客户需求的小房子？学生不是单纯学习面积、周长和测量，也不是随便画一张房子图，而是以设计团队的身份去理解客户的预算、需求和偏好，然后把数学中的测量、几何、面积、周长，和语文中的信息阅读、观点表达结合起来，最终形成小房子的蓝图和介绍，并用展示和说明来说服别人这个设计为什么满足客户需求。</w:t>
      </w:r>
    </w:p>
    <w:p w14:paraId="4CE99D47">
      <w:r>
        <w:rPr>
          <w:rFonts w:ascii="Arial" w:hAnsi="Arial" w:eastAsia="微软雅黑"/>
        </w:rPr>
        <w:t>这个案例成功的地方在于，它非常符合小学中高年级学生的特点：他们已经可以做简单计算、画图和表达，但如果题目太抽象，就很容易失去方向。Tiny House 把抽象知识放进一个具体的角色任务里，让学生知道自己为什么要算面积、为什么要比较空间布局、为什么要解释设计。它还加入“客户需求”，这对我们很重要，因为小学阶段学生常常会先做自己觉得酷的东西，而不是先考虑真实约束。</w:t>
      </w:r>
    </w:p>
    <w:p w14:paraId="51434D52">
      <w:r>
        <w:rPr>
          <w:rFonts w:ascii="Arial" w:hAnsi="Arial" w:eastAsia="微软雅黑"/>
        </w:rPr>
        <w:t>它对我们的直接借鉴是：小学中高年级版本的航空航天 PBL 要少讲宏大系统，多给具体对象和空间任务。VR 正好适合承接这种空间类项目。Tiny House 用蓝图和模型展示空间关系，我们可以让学生用 VR/3D 展示月球基地、未来机场、空间站生活舱或火星居住舱。学生在 VR 中看到的不是一个现成场景，而是自己方案的空间化表达。这样 VR 就不再是体验设备，而是项目成果的一部分。</w:t>
      </w:r>
    </w:p>
    <w:p w14:paraId="44D7AE3A">
      <w:r>
        <w:rPr>
          <w:rFonts w:ascii="Arial" w:hAnsi="Arial" w:eastAsia="微软雅黑"/>
        </w:rPr>
        <w:t>这个案例不能照搬的地方是，它的主题更偏生活空间和数学应用，我们的主题需要更强的航空航天知识支撑。我们要借鉴的是它的结构：真实对象、明确需求、知识嵌入、成果蓝图、公开解释。把这个结构换到北航项目里，就可以变成“月球基地设计”“未来机场动线设计”“空间站生活舱优化”等课程。</w:t>
      </w:r>
    </w:p>
    <w:p w14:paraId="7B01BC7E">
      <w:pPr>
        <w:spacing w:before="0" w:after="100"/>
      </w:pPr>
      <w:r>
        <w:rPr>
          <w:rFonts w:ascii="Arial" w:hAnsi="Arial" w:eastAsia="微软雅黑"/>
          <w:color w:val="555555"/>
          <w:sz w:val="18"/>
        </w:rPr>
        <w:t>参考链接：</w:t>
      </w:r>
      <w:r>
        <w:fldChar w:fldCharType="begin"/>
      </w:r>
      <w:r>
        <w:instrText xml:space="preserve"> HYPERLINK "https://my.pblworks.org/project/tiny-house" \h </w:instrText>
      </w:r>
      <w:r>
        <w:fldChar w:fldCharType="separate"/>
      </w:r>
      <w:r>
        <w:rPr>
          <w:color w:val="1155CC"/>
          <w:u w:val="single"/>
        </w:rPr>
        <w:t>PBLWorks Tiny House 项目页</w:t>
      </w:r>
      <w:r>
        <w:rPr>
          <w:color w:val="1155CC"/>
          <w:u w:val="single"/>
        </w:rPr>
        <w:fldChar w:fldCharType="end"/>
      </w:r>
    </w:p>
    <w:p w14:paraId="7CD95966">
      <w:pPr>
        <w:spacing w:before="0" w:after="100"/>
      </w:pPr>
      <w:r>
        <w:rPr>
          <w:rFonts w:ascii="Arial" w:hAnsi="Arial" w:eastAsia="微软雅黑"/>
          <w:color w:val="555555"/>
          <w:sz w:val="18"/>
        </w:rPr>
        <w:t>参考链接：</w:t>
      </w:r>
      <w:r>
        <w:fldChar w:fldCharType="begin"/>
      </w:r>
      <w:r>
        <w:instrText xml:space="preserve"> HYPERLINK "https://www.pblworks.org/video-tiny-house-project" \h </w:instrText>
      </w:r>
      <w:r>
        <w:fldChar w:fldCharType="separate"/>
      </w:r>
      <w:r>
        <w:rPr>
          <w:color w:val="1155CC"/>
          <w:u w:val="single"/>
        </w:rPr>
        <w:t>PBLWorks Tiny House 视频说明</w:t>
      </w:r>
      <w:r>
        <w:rPr>
          <w:color w:val="1155CC"/>
          <w:u w:val="single"/>
        </w:rPr>
        <w:fldChar w:fldCharType="end"/>
      </w:r>
    </w:p>
    <w:p w14:paraId="54F1FC16">
      <w:pPr>
        <w:pStyle w:val="4"/>
      </w:pPr>
      <w:r>
        <w:rPr>
          <w:rFonts w:ascii="Arial" w:hAnsi="Arial" w:eastAsia="微软雅黑"/>
        </w:rPr>
        <w:t>案例二：Community Heroes</w:t>
      </w:r>
    </w:p>
    <w:p w14:paraId="71ED68F8">
      <w:r>
        <w:rPr>
          <w:rFonts w:ascii="Arial" w:hAnsi="Arial" w:eastAsia="微软雅黑"/>
        </w:rPr>
        <w:t>Community Heroes 面向美国 K-2，换算到国内大致对应幼小衔接到小学一二年级，明显低于我们首轮最可能选择的小学高年级或初中对象。它的核心问题是：什么样的人可以被称为社区英雄？学生通过了解历史人物和现实社区中的人物，讨论“英雄”的共同特征，然后选择一个社区英雄，创作人物肖像和说明文字，最后把作品做成 Gallery of Heroes 展览。</w:t>
      </w:r>
    </w:p>
    <w:p w14:paraId="0CDDCA25">
      <w:r>
        <w:rPr>
          <w:rFonts w:ascii="Arial" w:hAnsi="Arial" w:eastAsia="微软雅黑"/>
        </w:rPr>
        <w:t>这个案例对我们的价值不在于内容本身，而在于它说明低龄段 PBL 的设计逻辑：任务必须具体，情境必须贴近，成果必须容易表达。结合我们的用户画像，小学生尤其需要故事感、角色感和被看见的成果。如果我们未来做小学版航空航天课程，就不能一上来要求他们理解复杂航天系统，而可以从“航天任务中的人物”或“谁在支持一次太空任务”切入，让学生认识宇航员、工程师、地面控制人员、医生、材料科学家、VR 仿真工程师等角色，再通过海报、短视频、角色讲解或简单互动展览表达出来。</w:t>
      </w:r>
    </w:p>
    <w:p w14:paraId="7F5A30BE">
      <w:pPr>
        <w:rPr>
          <w:rFonts w:hint="eastAsia" w:eastAsia="微软雅黑"/>
          <w:lang w:eastAsia="zh-CN"/>
        </w:rPr>
      </w:pPr>
      <w:r>
        <w:rPr>
          <w:rFonts w:ascii="Arial" w:hAnsi="Arial" w:eastAsia="微软雅黑"/>
        </w:rPr>
        <w:t>这个案例尤其值得</w:t>
      </w:r>
      <w:r>
        <w:rPr>
          <w:rFonts w:hint="eastAsia"/>
          <w:lang w:eastAsia="zh-CN"/>
        </w:rPr>
        <w:t>在设计最终成果的时候借鉴。</w:t>
      </w:r>
      <w:r>
        <w:rPr>
          <w:rFonts w:hint="eastAsia"/>
          <w:lang w:val="en-US" w:eastAsia="zh-CN"/>
        </w:rPr>
        <w:t>用</w:t>
      </w:r>
      <w:r>
        <w:rPr>
          <w:rFonts w:ascii="Arial" w:hAnsi="Arial" w:eastAsia="微软雅黑"/>
        </w:rPr>
        <w:t>一个面向观众的展览</w:t>
      </w:r>
      <w:r>
        <w:rPr>
          <w:rFonts w:hint="eastAsia"/>
          <w:lang w:eastAsia="zh-CN"/>
        </w:rPr>
        <w:t>来作为成果，可以说是一个最大的价值</w:t>
      </w:r>
      <w:r>
        <w:rPr>
          <w:rFonts w:ascii="Arial" w:hAnsi="Arial" w:eastAsia="微软雅黑"/>
        </w:rPr>
        <w:t>。我们的项目也应该让学生成果面对真实观众，比如校内科技节、实验室开放日、公众号作品展、B站短视频合集。对学生来说，被看见会增强投入感；对学校来说，展览和传播能形成可展示的科创成果</w:t>
      </w:r>
      <w:r>
        <w:rPr>
          <w:rFonts w:hint="eastAsia"/>
          <w:lang w:eastAsia="zh-CN"/>
        </w:rPr>
        <w:t>。如果只是单纯让大家做出来一个小东西或者几张图片的话，他的感知度就远远不如这个。</w:t>
      </w:r>
    </w:p>
    <w:p w14:paraId="7D54B7A6">
      <w:r>
        <w:rPr>
          <w:rFonts w:ascii="Arial" w:hAnsi="Arial" w:eastAsia="微软雅黑"/>
        </w:rPr>
        <w:t>它不能直接照搬的地方在于知识深度较浅，更适合低龄启蒙。如果我们面向初中和高中，就必须提高任务复杂度，让学生进入真实问题和技术约束。但它对小学版本课程有启发：小学阶段不必急着追求复杂技术，可以先追求兴趣、角色理解、表达和展示。</w:t>
      </w:r>
    </w:p>
    <w:p w14:paraId="605DB366">
      <w:pPr>
        <w:spacing w:before="0" w:after="100"/>
      </w:pPr>
      <w:r>
        <w:rPr>
          <w:rFonts w:ascii="Arial" w:hAnsi="Arial" w:eastAsia="微软雅黑"/>
          <w:color w:val="555555"/>
          <w:sz w:val="18"/>
        </w:rPr>
        <w:t>参考链接：</w:t>
      </w:r>
      <w:r>
        <w:fldChar w:fldCharType="begin"/>
      </w:r>
      <w:r>
        <w:instrText xml:space="preserve"> HYPERLINK "https://my.pblworks.org/project/community-heroes" \h </w:instrText>
      </w:r>
      <w:r>
        <w:fldChar w:fldCharType="separate"/>
      </w:r>
      <w:r>
        <w:rPr>
          <w:color w:val="1155CC"/>
          <w:u w:val="single"/>
        </w:rPr>
        <w:t>PBLWorks Community Heroes 项目页</w:t>
      </w:r>
      <w:r>
        <w:rPr>
          <w:color w:val="1155CC"/>
          <w:u w:val="single"/>
        </w:rPr>
        <w:fldChar w:fldCharType="end"/>
      </w:r>
    </w:p>
    <w:p w14:paraId="27696F68">
      <w:pPr>
        <w:pStyle w:val="4"/>
      </w:pPr>
      <w:r>
        <w:rPr>
          <w:rFonts w:ascii="Arial" w:hAnsi="Arial" w:eastAsia="微软雅黑"/>
        </w:rPr>
        <w:t>案例三：Crash Course!</w:t>
      </w:r>
    </w:p>
    <w:p w14:paraId="4876C84C">
      <w:r>
        <w:rPr>
          <w:rFonts w:ascii="Arial" w:hAnsi="Arial" w:eastAsia="微软雅黑"/>
        </w:rPr>
        <w:t>Crash Course! 面向美国 9-12 年级，基本对应国内高中阶段</w:t>
      </w:r>
      <w:r>
        <w:rPr>
          <w:rFonts w:hint="eastAsia"/>
          <w:lang w:eastAsia="zh-CN"/>
        </w:rPr>
        <w:t>。</w:t>
      </w:r>
      <w:r>
        <w:rPr>
          <w:rFonts w:ascii="Arial" w:hAnsi="Arial" w:eastAsia="微软雅黑"/>
        </w:rPr>
        <w:t>它的驱动问题是：我们如何保护自己关心的人和物免受碰撞伤害？学生需要识别真实碰撞场景，提出并制作保护性解决方案，还要和相关专家交流获得反馈，最后写出面向制造商的设计简报，其中包括问题分析、必要计算和解决方案设计。</w:t>
      </w:r>
    </w:p>
    <w:p w14:paraId="37FD4833">
      <w:r>
        <w:rPr>
          <w:rFonts w:ascii="Arial" w:hAnsi="Arial" w:eastAsia="微软雅黑"/>
        </w:rPr>
        <w:t xml:space="preserve">这个案例对我们高中段设计很有借鉴意义。高中学生更适合进入工程取舍、数据依据、约束条件和方案论证。Crash Course! </w:t>
      </w:r>
      <w:r>
        <w:rPr>
          <w:rFonts w:hint="eastAsia"/>
          <w:lang w:val="en-US" w:eastAsia="zh-CN"/>
        </w:rPr>
        <w:t>就是在</w:t>
      </w:r>
      <w:r>
        <w:rPr>
          <w:rFonts w:ascii="Arial" w:hAnsi="Arial" w:eastAsia="微软雅黑"/>
        </w:rPr>
        <w:t>求学生用工程方式思考：问题是什么，约束是什么，数据或计算依据是什么，方案如何验证，专家反馈如何改变设计。我们的航空航天课程如果进入高中阶段，也应该向这种模式靠近。比如“火星探测器着陆保护方案”“无人机应急投送安全设计”“空间站舱内碰撞防护设计”“月面车越障与减震设计”，都可以要求学生完成设计简报，而不仅是做一个好看的模型。</w:t>
      </w:r>
    </w:p>
    <w:p w14:paraId="752206DF">
      <w:r>
        <w:rPr>
          <w:rFonts w:hint="eastAsia"/>
          <w:lang w:val="en-US" w:eastAsia="zh-CN"/>
        </w:rPr>
        <w:t>还有一点就是</w:t>
      </w:r>
      <w:r>
        <w:rPr>
          <w:rFonts w:ascii="Arial" w:hAnsi="Arial" w:eastAsia="微软雅黑"/>
        </w:rPr>
        <w:t>高中项目应该引入外部反馈。PBL 如果只有学生自己做、老师自己看，很容易像普通作业。Crash Course! 把专家反馈放进流程，这一点对我们非常适合，因为</w:t>
      </w:r>
      <w:r>
        <w:rPr>
          <w:rFonts w:hint="eastAsia"/>
          <w:lang w:val="en-US" w:eastAsia="zh-CN"/>
        </w:rPr>
        <w:t>我们</w:t>
      </w:r>
      <w:r>
        <w:rPr>
          <w:rFonts w:ascii="Arial" w:hAnsi="Arial" w:eastAsia="微软雅黑"/>
        </w:rPr>
        <w:t>天然</w:t>
      </w:r>
      <w:r>
        <w:rPr>
          <w:rFonts w:hint="eastAsia"/>
          <w:lang w:val="en-US" w:eastAsia="zh-CN"/>
        </w:rPr>
        <w:t>就</w:t>
      </w:r>
      <w:r>
        <w:rPr>
          <w:rFonts w:ascii="Arial" w:hAnsi="Arial" w:eastAsia="微软雅黑"/>
        </w:rPr>
        <w:t>有导师、研究生、工程方向资源。我们可以让实验室师兄师姐、老师或相关专业同学担任“项目顾问”，在学生中期方案阶段给一次反馈。这样不仅提高学习质量，也能让北航资源真正进入课程。</w:t>
      </w:r>
    </w:p>
    <w:p w14:paraId="0AF4E999">
      <w:r>
        <w:rPr>
          <w:rFonts w:ascii="Arial" w:hAnsi="Arial" w:eastAsia="微软雅黑"/>
        </w:rPr>
        <w:t>它不能照搬的地方是，Crash Course! 依赖较成熟的物理和工程教学准备，直接做高中硬核项目会提高执行门槛。</w:t>
      </w:r>
    </w:p>
    <w:p w14:paraId="2ED397F6">
      <w:pPr>
        <w:spacing w:before="0" w:after="100"/>
      </w:pPr>
      <w:r>
        <w:rPr>
          <w:rFonts w:ascii="Arial" w:hAnsi="Arial" w:eastAsia="微软雅黑"/>
          <w:color w:val="555555"/>
          <w:sz w:val="18"/>
        </w:rPr>
        <w:t>参考链接：</w:t>
      </w:r>
      <w:r>
        <w:fldChar w:fldCharType="begin"/>
      </w:r>
      <w:r>
        <w:instrText xml:space="preserve"> HYPERLINK "https://www.pblworks.org/news/press-release-pbl-works-introduces-project-idea-cards-teachers" \h </w:instrText>
      </w:r>
      <w:r>
        <w:fldChar w:fldCharType="separate"/>
      </w:r>
      <w:r>
        <w:rPr>
          <w:color w:val="1155CC"/>
          <w:u w:val="single"/>
        </w:rPr>
        <w:t>PBLWorks Project Idea Cards 新闻稿中对 Crash Course! 的介绍</w:t>
      </w:r>
      <w:r>
        <w:rPr>
          <w:color w:val="1155CC"/>
          <w:u w:val="single"/>
        </w:rPr>
        <w:fldChar w:fldCharType="end"/>
      </w:r>
    </w:p>
    <w:p w14:paraId="2A9A2927">
      <w:pPr>
        <w:pStyle w:val="4"/>
      </w:pPr>
      <w:r>
        <w:rPr>
          <w:rFonts w:ascii="Arial" w:hAnsi="Arial" w:eastAsia="微软雅黑"/>
        </w:rPr>
        <w:t>PBLWorks 部分的阶段启发</w:t>
      </w:r>
    </w:p>
    <w:p w14:paraId="0DB80FB4">
      <w:r>
        <w:rPr>
          <w:rFonts w:ascii="Arial" w:hAnsi="Arial" w:eastAsia="微软雅黑"/>
        </w:rPr>
        <w:t>从这三个 PBLWorks 案例看，不同学段的项目设计重心是不一样的。小学低年级更适合角色理解、故事表达和公开展示；小学中高年级适合具体空间设计、简单计算、需求分析和作品说明；高中阶段适合真实约束、工程论证、专家反馈和设计简报。对应到我们的用户画像，首轮如果选择小学高年级或初中，就应该在“兴趣和可完成性”之间找平衡：既要有航空航天的想象力，也要把任务拆得足够清楚；既要让学生用 VR 和 AI，也要让他们留下过程档案和作品解释。</w:t>
      </w:r>
    </w:p>
    <w:p w14:paraId="67C26DCF">
      <w:pPr>
        <w:pStyle w:val="3"/>
      </w:pPr>
      <w:r>
        <w:rPr>
          <w:rFonts w:ascii="Arial" w:hAnsi="Arial" w:eastAsia="微软雅黑"/>
        </w:rPr>
        <w:t>2. STEAM 与创客项目案例分析</w:t>
      </w:r>
    </w:p>
    <w:p w14:paraId="6D470843">
      <w:r>
        <w:rPr>
          <w:rFonts w:ascii="Arial" w:hAnsi="Arial" w:eastAsia="微软雅黑"/>
        </w:rPr>
        <w:t>STEAM 和创客项目对我们的价值，在于它们通常更重视动手实践、作品出口和课堂可操作性。结合我们的用户画像，STEAM 案例尤其能帮助我们理解两件事：学生需要明确的材料和作品出口，教师需要足够完整、低门槛、可复用的教学支持。</w:t>
      </w:r>
    </w:p>
    <w:p w14:paraId="70A24A28">
      <w:pPr>
        <w:pStyle w:val="4"/>
      </w:pPr>
      <w:r>
        <w:rPr>
          <w:rFonts w:ascii="Arial" w:hAnsi="Arial" w:eastAsia="微软雅黑"/>
        </w:rPr>
        <w:t>案例四：Arduino CTC GO!</w:t>
      </w:r>
    </w:p>
    <w:p w14:paraId="7864883F">
      <w:r>
        <w:rPr>
          <w:rFonts w:ascii="Arial" w:hAnsi="Arial" w:eastAsia="微软雅黑"/>
        </w:rPr>
        <w:t>Arduino CTC GO! 是一个面向高中或具备一定基础的初中高年级学生的 STEAM 教育方案。它围绕电子、编程和物理计算，提供硬件、在线学习内容、教师支持和项目任务。官方介绍中提到，它包含课程内容、8 个课程、8 个引导项目，以及面向 24 名学生的材料和软件支持。学生通过设计、制作和测试现实相关的实验，学习电子和编程基础。</w:t>
      </w:r>
    </w:p>
    <w:p w14:paraId="6459D4E0">
      <w:pPr>
        <w:rPr>
          <w:rFonts w:hint="eastAsia" w:eastAsia="微软雅黑"/>
          <w:lang w:eastAsia="zh-CN"/>
        </w:rPr>
      </w:pPr>
      <w:r>
        <w:rPr>
          <w:rFonts w:ascii="Arial" w:hAnsi="Arial" w:eastAsia="微软雅黑"/>
        </w:rPr>
        <w:t>这个案例最值得我们借鉴的是“教师支持完整”。结合我们的用户画像，教师最关心的不是愿景有多大，而是这节课怎么上、每个环节用多长时间、学生不会操作怎么办、设备出问题怎么办、最后怎么评价学生。很多高校学生做公益课程时，容易只准备 PPT 和展示设备，但真正进课堂后会遇到大量执行细节。Arduino CTC GO! 的思路是把教师支持、课堂管理、课程材料、硬件和项目任务一起考虑。我们的航空航天 VR PBL 项目也应该有类似意识：如果要把课程复用给其他学校或团队，不能只提供课程想法，而要提供教师教案、学生任务书、设备准备清单、课堂时间表、常见问题、替代方案和评价表。</w:t>
      </w:r>
      <w:r>
        <w:rPr>
          <w:rFonts w:hint="eastAsia"/>
          <w:lang w:eastAsia="zh-CN"/>
        </w:rPr>
        <w:t>除此之外，在实际教学的过程中，也应该注意实操中出现的每一个执行性细节。</w:t>
      </w:r>
    </w:p>
    <w:p w14:paraId="775C5B8B">
      <w:r>
        <w:rPr>
          <w:rFonts w:ascii="Arial" w:hAnsi="Arial" w:eastAsia="微软雅黑"/>
        </w:rPr>
        <w:t>另一个可借鉴点是“从基础技能到项目创作”的递进。Arduino 先通过模块化课程建立电子和编程基础，再进入</w:t>
      </w:r>
      <w:r>
        <w:rPr>
          <w:rFonts w:hint="eastAsia"/>
          <w:lang w:eastAsia="zh-CN"/>
        </w:rPr>
        <w:t>复杂的综合性</w:t>
      </w:r>
      <w:r>
        <w:rPr>
          <w:rFonts w:ascii="Arial" w:hAnsi="Arial" w:eastAsia="微软雅黑"/>
        </w:rPr>
        <w:t>项目。我们</w:t>
      </w:r>
      <w:r>
        <w:rPr>
          <w:rFonts w:hint="eastAsia"/>
          <w:lang w:val="en-US" w:eastAsia="zh-CN"/>
        </w:rPr>
        <w:t>也</w:t>
      </w:r>
      <w:r>
        <w:rPr>
          <w:rFonts w:ascii="Arial" w:hAnsi="Arial" w:eastAsia="微软雅黑"/>
        </w:rPr>
        <w:t>应如此。</w:t>
      </w:r>
      <w:r>
        <w:rPr>
          <w:rFonts w:hint="eastAsia"/>
          <w:lang w:eastAsia="zh-CN"/>
        </w:rPr>
        <w:t>好比说你要建一个月球基地，</w:t>
      </w:r>
      <w:r>
        <w:rPr>
          <w:rFonts w:ascii="Arial" w:hAnsi="Arial" w:eastAsia="微软雅黑"/>
        </w:rPr>
        <w:t>学生不能一上来就被要求设计完整月球基地或 VR 场景，而应该先通过短任务理解月球环境、空间约束、AI 调研方式、VR 观察方法，然后再进入完整项目。这样教学效果会更稳，也更适合教师接手。</w:t>
      </w:r>
    </w:p>
    <w:p w14:paraId="5258CA2B">
      <w:r>
        <w:rPr>
          <w:rFonts w:ascii="Arial" w:hAnsi="Arial" w:eastAsia="微软雅黑"/>
        </w:rPr>
        <w:t>它不可直接照搬的地方在于，Arduino 是成熟硬件教育产品，依赖标准化硬件包和长期商业化支持。我们早期没有必要也没有能力做这么完整的硬件产品。但它的课程产品化思路非常值得学习：把每一次教学所需的材料、工具、指导和反馈机制都打包，减少对单个讲师能力的依赖。</w:t>
      </w:r>
    </w:p>
    <w:p w14:paraId="670EA653">
      <w:pPr>
        <w:spacing w:before="0" w:after="100"/>
      </w:pPr>
      <w:r>
        <w:rPr>
          <w:rFonts w:ascii="Arial" w:hAnsi="Arial" w:eastAsia="微软雅黑"/>
          <w:color w:val="555555"/>
          <w:sz w:val="18"/>
        </w:rPr>
        <w:t>参考链接：</w:t>
      </w:r>
      <w:r>
        <w:fldChar w:fldCharType="begin"/>
      </w:r>
      <w:r>
        <w:instrText xml:space="preserve"> HYPERLINK "https://www.arduino.cc/education/ctc-go" \h </w:instrText>
      </w:r>
      <w:r>
        <w:fldChar w:fldCharType="separate"/>
      </w:r>
      <w:r>
        <w:rPr>
          <w:color w:val="1155CC"/>
          <w:u w:val="single"/>
        </w:rPr>
        <w:t>Arduino CTC GO! 官方介绍</w:t>
      </w:r>
      <w:r>
        <w:rPr>
          <w:color w:val="1155CC"/>
          <w:u w:val="single"/>
        </w:rPr>
        <w:fldChar w:fldCharType="end"/>
      </w:r>
    </w:p>
    <w:p w14:paraId="6F75FE5C">
      <w:pPr>
        <w:spacing w:before="0" w:after="100"/>
      </w:pPr>
      <w:r>
        <w:rPr>
          <w:rFonts w:ascii="Arial" w:hAnsi="Arial" w:eastAsia="微软雅黑"/>
          <w:color w:val="555555"/>
          <w:sz w:val="18"/>
        </w:rPr>
        <w:t>参考链接：</w:t>
      </w:r>
      <w:r>
        <w:fldChar w:fldCharType="begin"/>
      </w:r>
      <w:r>
        <w:instrText xml:space="preserve"> HYPERLINK "https://www.arduino.cc/education/what-is-ctc-go" \h </w:instrText>
      </w:r>
      <w:r>
        <w:fldChar w:fldCharType="separate"/>
      </w:r>
      <w:r>
        <w:rPr>
          <w:color w:val="1155CC"/>
          <w:u w:val="single"/>
        </w:rPr>
        <w:t>Arduino CTC GO! 说明文章</w:t>
      </w:r>
      <w:r>
        <w:rPr>
          <w:color w:val="1155CC"/>
          <w:u w:val="single"/>
        </w:rPr>
        <w:fldChar w:fldCharType="end"/>
      </w:r>
    </w:p>
    <w:p w14:paraId="486D890D">
      <w:pPr>
        <w:pStyle w:val="4"/>
      </w:pPr>
      <w:r>
        <w:rPr>
          <w:rFonts w:ascii="Arial" w:hAnsi="Arial" w:eastAsia="微软雅黑"/>
        </w:rPr>
        <w:t>案例五：Makeblock Makerspace 2.0</w:t>
      </w:r>
    </w:p>
    <w:p w14:paraId="71288D1E">
      <w:r>
        <w:rPr>
          <w:rFonts w:ascii="Arial" w:hAnsi="Arial" w:eastAsia="微软雅黑"/>
        </w:rPr>
        <w:t>Makeblock Makerspace 2.0 面向小学阶段，更接近我们未来可能覆盖的小学高年级用户。它把材料分为结构件、传动与运动部件、电机与执行器、电子模块等类别，并围绕 Magic Land、Habitat of Fun、Thrills Kingdom、Lasersville 等主题组织课程。它的价值不只是给学生一堆零件，而是把材料、主题、任务和课堂时长组织起来，让学生能在 40 分钟左右完成相对清晰的动手项目。</w:t>
      </w:r>
    </w:p>
    <w:p w14:paraId="314200DD">
      <w:r>
        <w:rPr>
          <w:rFonts w:ascii="Arial" w:hAnsi="Arial" w:eastAsia="微软雅黑"/>
        </w:rPr>
        <w:t>这个案例给我们的第一点启发是：小学阶段学生需要明确材料边界。很多项目失败不是因为学生没有创造力，而是因为材料和任务太开放，学生不知道从哪里开始。结合我们的用户画像，小学高年级学生兴趣强、愿意动手，但抽象规划能力还不稳定，所以课程要给他们“可选模块”。比如月球基地课程里可以提供居住舱、能源舱、实验舱、交通通道、通信塔等模块，让学生在模块组合中创新，而不是从一张白纸开始。</w:t>
      </w:r>
    </w:p>
    <w:p w14:paraId="11CD183A">
      <w:r>
        <w:rPr>
          <w:rFonts w:ascii="Arial" w:hAnsi="Arial" w:eastAsia="微软雅黑"/>
        </w:rPr>
        <w:t>第二点启发是，创客课程很擅长让学生产出看得见的作品。对我们的项目来说，VR 和航空航天主题本身很有展示性，但我们仍然要设计具体作品出口。作品可以不是实体模型，也可以是 VR 场景、3D 空间截图、任务路线图、项目海报、答辩视频和学生设计说明。关键是每次课程结束后，学生要留下可以被保存、被展示、被复用的成果。这一点同时满足学生的成就感、学校的展示需求和我们新媒体组的内容需求。</w:t>
      </w:r>
    </w:p>
    <w:p w14:paraId="4ECE0503">
      <w:r>
        <w:rPr>
          <w:rFonts w:ascii="Arial" w:hAnsi="Arial" w:eastAsia="微软雅黑"/>
        </w:rPr>
        <w:t>Makeblock 这类项目也有一个我们要警惕的问题：如果只强调套件、零件和制作，很容易变成“照说明书做一个东西”。我们的项目不能只让学生照着模板拼出一个月球基地，而要加入问题分析和方案解释。学生必须回答为什么这样设计，解决了什么问题，AI 给了什么建议，VR 展示暴露了哪些不足，修改了什么。这样才能从创客活动升级成 PBL 课程</w:t>
      </w:r>
    </w:p>
    <w:p w14:paraId="3E3188AD">
      <w:pPr>
        <w:spacing w:before="0" w:after="100"/>
      </w:pPr>
      <w:r>
        <w:rPr>
          <w:rFonts w:ascii="Arial" w:hAnsi="Arial" w:eastAsia="微软雅黑"/>
          <w:color w:val="555555"/>
          <w:sz w:val="18"/>
        </w:rPr>
        <w:t>参考链接：</w:t>
      </w:r>
      <w:r>
        <w:fldChar w:fldCharType="begin"/>
      </w:r>
      <w:r>
        <w:instrText xml:space="preserve"> HYPERLINK "https://support.makeblock.com/hc/en-us/articles/25465713524759-Makerspace-2-0-STEAM-Education-Primary-Solution" \h </w:instrText>
      </w:r>
      <w:r>
        <w:fldChar w:fldCharType="separate"/>
      </w:r>
      <w:r>
        <w:rPr>
          <w:color w:val="1155CC"/>
          <w:u w:val="single"/>
        </w:rPr>
        <w:t>Makeblock Makerspace 2.0 说明</w:t>
      </w:r>
      <w:r>
        <w:rPr>
          <w:color w:val="1155CC"/>
          <w:u w:val="single"/>
        </w:rPr>
        <w:fldChar w:fldCharType="end"/>
      </w:r>
    </w:p>
    <w:p w14:paraId="6B17A0D6">
      <w:pPr>
        <w:spacing w:before="0" w:after="100"/>
      </w:pPr>
      <w:r>
        <w:rPr>
          <w:rFonts w:ascii="Arial" w:hAnsi="Arial" w:eastAsia="微软雅黑"/>
          <w:color w:val="555555"/>
          <w:sz w:val="18"/>
        </w:rPr>
        <w:t>参考链接：</w:t>
      </w:r>
      <w:r>
        <w:fldChar w:fldCharType="begin"/>
      </w:r>
      <w:r>
        <w:instrText xml:space="preserve"> HYPERLINK "https://www.makeblock.com/pages/steam-education" \h </w:instrText>
      </w:r>
      <w:r>
        <w:fldChar w:fldCharType="separate"/>
      </w:r>
      <w:r>
        <w:rPr>
          <w:color w:val="1155CC"/>
          <w:u w:val="single"/>
        </w:rPr>
        <w:t>Makeblock STEAM Education 官方页</w:t>
      </w:r>
      <w:r>
        <w:rPr>
          <w:color w:val="1155CC"/>
          <w:u w:val="single"/>
        </w:rPr>
        <w:fldChar w:fldCharType="end"/>
      </w:r>
    </w:p>
    <w:p w14:paraId="18FA4B0D">
      <w:pPr>
        <w:pStyle w:val="4"/>
      </w:pPr>
      <w:r>
        <w:rPr>
          <w:rFonts w:ascii="Arial" w:hAnsi="Arial" w:eastAsia="微软雅黑"/>
        </w:rPr>
        <w:t>案例六：未来太空车 STEAM 课程</w:t>
      </w:r>
    </w:p>
    <w:p w14:paraId="68D46F84">
      <w:r>
        <w:rPr>
          <w:rFonts w:ascii="Arial" w:hAnsi="Arial" w:eastAsia="微软雅黑"/>
        </w:rPr>
        <w:t>国内“未来太空车”是一个和我们方向非常接近的具体案例，适合小学高年级、初中，以及具备一定工程基础的高中学生做不同难度版本。《实验教学与仪器》刊发的 STEAM 项目式学习课程案例，把“未来太空车”分成项目背景、STEAM 理念下的教学分析和项目实施方案，形成课堂导入、创意构思、模型制作、技术试验、展示分享五个环节。这套流程很适合我们参考，因为它本身就是航天主题，又强调跨学科和项目式实施。</w:t>
      </w:r>
    </w:p>
    <w:p w14:paraId="12787B66">
      <w:r>
        <w:rPr>
          <w:rFonts w:ascii="Arial" w:hAnsi="Arial" w:eastAsia="微软雅黑"/>
        </w:rPr>
        <w:t>它的成功点在于主题选择非常好。太空车天然包含航天背景、工程设计、运动结构、越障能力、材料选择、团队协作和展示表达，学生容易产生兴趣，也容易形成可见成果。对小学高年级来说，它可以是“设计一辆能在月球上行动的小车”；对初中生来说，可以加入路径、结构、材料和测试；对高中生来说，可以进一步加入力学、控制、传感和任务约束。这种分层设计正好回应了我们“小初高可能都会涉及”的现实。</w:t>
      </w:r>
    </w:p>
    <w:p w14:paraId="284BB6C9">
      <w:r>
        <w:rPr>
          <w:rFonts w:ascii="Arial" w:hAnsi="Arial" w:eastAsia="微软雅黑"/>
        </w:rPr>
        <w:t>对我们的直接启发是：航空航天主题不能停留在宏大叙事，要落成一个可操作的工程挑战。比如月球基地太大，可以先拆成月面车越障、基地能源分配、舱室布局、应急救援、通信中继等小任务。学生通过一个小任务进入项目，比一开始面对整个航天系统更容易完成。我们也可以把 VR 加进去，让学生先在 VR/3D 环境中观察月面地形或任务场景，再设计太空车路线、基地布局或救援方案。</w:t>
      </w:r>
    </w:p>
    <w:p w14:paraId="50438E6B">
      <w:r>
        <w:rPr>
          <w:rFonts w:ascii="Arial" w:hAnsi="Arial" w:eastAsia="微软雅黑"/>
        </w:rPr>
        <w:t>它的</w:t>
      </w:r>
      <w:r>
        <w:rPr>
          <w:rFonts w:hint="eastAsia"/>
          <w:lang w:val="en-US" w:eastAsia="zh-CN"/>
        </w:rPr>
        <w:t>不足则是</w:t>
      </w:r>
      <w:r>
        <w:rPr>
          <w:rFonts w:ascii="Arial" w:hAnsi="Arial" w:eastAsia="微软雅黑"/>
        </w:rPr>
        <w:t>很多太空车课程容易偏向模型制作和比赛性能，最后看谁的车跑得远、越障强，但对学生的调研过程、方案论证和反思记录关注不够。我们如果借鉴这个主题，必须补上 PBL 的过程档案和评价标准。模型是否成功只是结果之一，学生是否理解月球环境、是否提出合理约束、是否根据测试修改设计、是否能解释失败原因，同样应该被评价。</w:t>
      </w:r>
    </w:p>
    <w:p w14:paraId="241FE523">
      <w:pPr>
        <w:spacing w:before="0" w:after="100"/>
      </w:pPr>
      <w:r>
        <w:rPr>
          <w:rFonts w:ascii="Arial" w:hAnsi="Arial" w:eastAsia="微软雅黑"/>
          <w:color w:val="555555"/>
          <w:sz w:val="18"/>
        </w:rPr>
        <w:t>参考链接：</w:t>
      </w:r>
      <w:r>
        <w:fldChar w:fldCharType="begin"/>
      </w:r>
      <w:r>
        <w:instrText xml:space="preserve"> HYPERLINK "https://syjx.csust.edu.cn/syjxyyq/article/abstract/20241015?st=search" \h </w:instrText>
      </w:r>
      <w:r>
        <w:fldChar w:fldCharType="separate"/>
      </w:r>
      <w:r>
        <w:rPr>
          <w:color w:val="1155CC"/>
          <w:u w:val="single"/>
        </w:rPr>
        <w:t>STEAM 项目式学习课程案例：未来太空车</w:t>
      </w:r>
      <w:r>
        <w:rPr>
          <w:color w:val="1155CC"/>
          <w:u w:val="single"/>
        </w:rPr>
        <w:fldChar w:fldCharType="end"/>
      </w:r>
    </w:p>
    <w:p w14:paraId="1F2FAE84">
      <w:pPr>
        <w:spacing w:before="0" w:after="100"/>
      </w:pPr>
      <w:r>
        <w:rPr>
          <w:rFonts w:ascii="Arial" w:hAnsi="Arial" w:eastAsia="微软雅黑"/>
          <w:color w:val="555555"/>
          <w:sz w:val="18"/>
        </w:rPr>
        <w:t>参考链接：</w:t>
      </w:r>
      <w:r>
        <w:fldChar w:fldCharType="begin"/>
      </w:r>
      <w:r>
        <w:instrText xml:space="preserve"> HYPERLINK "https://hlj.people.com.cn/n2/2022/0308/c220005-35165451.html" \h </w:instrText>
      </w:r>
      <w:r>
        <w:fldChar w:fldCharType="separate"/>
      </w:r>
      <w:r>
        <w:rPr>
          <w:color w:val="1155CC"/>
          <w:u w:val="single"/>
        </w:rPr>
        <w:t>全国青年科普创新实验暨作品大赛“未来太空车”命题解读</w:t>
      </w:r>
      <w:r>
        <w:rPr>
          <w:color w:val="1155CC"/>
          <w:u w:val="single"/>
        </w:rPr>
        <w:fldChar w:fldCharType="end"/>
      </w:r>
    </w:p>
    <w:p w14:paraId="4B9D9B53">
      <w:pPr>
        <w:pStyle w:val="4"/>
      </w:pPr>
      <w:r>
        <w:rPr>
          <w:rFonts w:ascii="Arial" w:hAnsi="Arial" w:eastAsia="微软雅黑"/>
        </w:rPr>
        <w:t>案例七：NASA 与 LEGO Education 的 Build to Launch</w:t>
      </w:r>
    </w:p>
    <w:p w14:paraId="7F2B5515">
      <w:pPr>
        <w:rPr>
          <w:rFonts w:hint="default" w:eastAsia="微软雅黑"/>
          <w:lang w:val="en-US" w:eastAsia="zh-CN"/>
        </w:rPr>
      </w:pPr>
      <w:r>
        <w:rPr>
          <w:rFonts w:ascii="Arial" w:hAnsi="Arial" w:eastAsia="微软雅黑"/>
        </w:rPr>
        <w:t>NASA 与 LEGO Education 合作的 Build to Launch 是一个航天 STEAM 案例，适合我们参考其任务叙事和角色设计。它围绕 Artemis I 登月任务，把学生放进 NASA 工程师、科学家和宇航员的角色中，通过 10 周互动学习，让学生探索登月任务背后的技术、STEAM 概念和职业角色。</w:t>
      </w:r>
    </w:p>
    <w:p w14:paraId="4C387DAF">
      <w:r>
        <w:rPr>
          <w:rFonts w:ascii="Arial" w:hAnsi="Arial" w:eastAsia="微软雅黑"/>
        </w:rPr>
        <w:t>结合我们的用户画像，这种设计同时服务学生和学校。学生需要故事感和身份感，学校需要有特色、可展示、能体现高校资源的课程。Build to Launch 的做法启发我们：航空航天课程最好有一条任务叙事线，比如“我们要为未来月球科研站完成一次建设任务”，学生每一节课都在推进这个任务，而不是每节课换一个知识点。课程中也可以设计职业角色，让学生不只是普通学习者，而是任务规划员、结构设计师、环境分析师、VR 展示师、AI 资料员、答辩发言人。这样 PBL 的团队分工会更自然，也更容易让学生进入状态。</w:t>
      </w:r>
    </w:p>
    <w:p w14:paraId="4721FBE6">
      <w:r>
        <w:rPr>
          <w:rFonts w:ascii="Arial" w:hAnsi="Arial" w:eastAsia="微软雅黑"/>
        </w:rPr>
        <w:t>它不能照搬的地方也很明显：NASA 和 LEGO 的品牌、课程资源、内容制作能力都很强，我们早期不可能做成 10 周完整系列，也不适合承诺过大的课程周期。但我们可以学习它的“任务主线 + 角色分工 + 系列化课程”思路，先做一个 2-4 次课的小型版本，再根据试点反馈扩展。</w:t>
      </w:r>
    </w:p>
    <w:p w14:paraId="44C4734F">
      <w:pPr>
        <w:spacing w:before="0" w:after="100"/>
      </w:pPr>
      <w:r>
        <w:rPr>
          <w:rFonts w:ascii="Arial" w:hAnsi="Arial" w:eastAsia="微软雅黑"/>
          <w:color w:val="555555"/>
          <w:sz w:val="18"/>
        </w:rPr>
        <w:t>参考链接：</w:t>
      </w:r>
      <w:r>
        <w:fldChar w:fldCharType="begin"/>
      </w:r>
      <w:r>
        <w:instrText xml:space="preserve"> HYPERLINK "https://www.nasa.gov/stem-content/build-to-launch-with-lego-education-and-artemis-i/" \h </w:instrText>
      </w:r>
      <w:r>
        <w:fldChar w:fldCharType="separate"/>
      </w:r>
      <w:r>
        <w:rPr>
          <w:color w:val="1155CC"/>
          <w:u w:val="single"/>
        </w:rPr>
        <w:t>NASA Build to Launch with LEGO Education and Artemis I</w:t>
      </w:r>
      <w:r>
        <w:rPr>
          <w:color w:val="1155CC"/>
          <w:u w:val="single"/>
        </w:rPr>
        <w:fldChar w:fldCharType="end"/>
      </w:r>
    </w:p>
    <w:p w14:paraId="359A62A0">
      <w:pPr>
        <w:pStyle w:val="3"/>
      </w:pPr>
      <w:r>
        <w:rPr>
          <w:rFonts w:ascii="Arial" w:hAnsi="Arial" w:eastAsia="微软雅黑"/>
        </w:rPr>
        <w:t>3. 经验与我们应该采取的做法</w:t>
      </w:r>
    </w:p>
    <w:p w14:paraId="4D17E97C">
      <w:pPr>
        <w:pStyle w:val="16"/>
      </w:pPr>
      <w:r>
        <w:rPr>
          <w:rFonts w:ascii="Arial" w:hAnsi="Arial" w:eastAsia="微软雅黑"/>
          <w:b/>
        </w:rPr>
        <w:t>不同学段的 PBL 重点不同。</w:t>
      </w:r>
      <w:r>
        <w:rPr>
          <w:rFonts w:ascii="Arial" w:hAnsi="Arial" w:eastAsia="微软雅黑"/>
        </w:rPr>
        <w:t>小学低年级偏角色理解和表达，小学中高年级偏具体任务和作品展示，初中偏完整项目流程，高中偏工程论证和专家反馈。我们应该先选一个首轮 MVP 学段，再为同一航空航天主题预留基础版、进阶版和挑战版。</w:t>
      </w:r>
    </w:p>
    <w:p w14:paraId="30606541">
      <w:pPr>
        <w:pStyle w:val="16"/>
      </w:pPr>
      <w:r>
        <w:rPr>
          <w:rFonts w:ascii="Arial" w:hAnsi="Arial" w:eastAsia="微软雅黑"/>
          <w:b/>
        </w:rPr>
        <w:t>项目要从驱动问题开始。</w:t>
      </w:r>
      <w:r>
        <w:rPr>
          <w:rFonts w:ascii="Arial" w:hAnsi="Arial" w:eastAsia="微软雅黑"/>
        </w:rPr>
        <w:t>我们不应该从“介绍 VR”或“讲航空航天知识”开始，而应该从学生能理解的问题开始，例如如何设计月球生活空间、如何规划无人机应急任务、如何改进未来机场动线。</w:t>
      </w:r>
    </w:p>
    <w:p w14:paraId="36D13BEE">
      <w:pPr>
        <w:pStyle w:val="16"/>
      </w:pPr>
      <w:r>
        <w:rPr>
          <w:rFonts w:ascii="Arial" w:hAnsi="Arial" w:eastAsia="微软雅黑"/>
          <w:b/>
        </w:rPr>
        <w:t>学生需要真实角色和真实对象。</w:t>
      </w:r>
      <w:r>
        <w:rPr>
          <w:rFonts w:ascii="Arial" w:hAnsi="Arial" w:eastAsia="微软雅黑"/>
        </w:rPr>
        <w:t>我们应该让学生以任务规划员、结构设计师、AI 资料员、VR 展示师、答辩发言人等身份参与项目，并明确服务对象，例如宇航员、科研人员、学校使用者或未来旅客。</w:t>
      </w:r>
    </w:p>
    <w:p w14:paraId="4A3D3E61">
      <w:pPr>
        <w:pStyle w:val="16"/>
      </w:pPr>
      <w:r>
        <w:rPr>
          <w:rFonts w:ascii="Arial" w:hAnsi="Arial" w:eastAsia="微软雅黑"/>
          <w:b/>
        </w:rPr>
        <w:t>教师需要完整支持。</w:t>
      </w:r>
      <w:r>
        <w:rPr>
          <w:rFonts w:ascii="Arial" w:hAnsi="Arial" w:eastAsia="微软雅黑"/>
        </w:rPr>
        <w:t>我们应该把课程做成可交付的课程包，包括教师教案、学生任务书、课堂时间表、设备准备清单、AI 使用说明、VR 替代方案、常见问题和评价表。</w:t>
      </w:r>
    </w:p>
    <w:p w14:paraId="17184EB1">
      <w:pPr>
        <w:pStyle w:val="16"/>
      </w:pPr>
      <w:r>
        <w:rPr>
          <w:rFonts w:hint="eastAsia"/>
          <w:b/>
          <w:bCs/>
          <w:lang w:eastAsia="zh-CN"/>
        </w:rPr>
        <w:t>成果要引入外部反馈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lang w:eastAsia="zh-CN"/>
        </w:rPr>
        <w:t>不要只在老师和学生之间打交道，要从外面拉一些专家之类的人给出评审，否则会像传统的作业。</w:t>
      </w:r>
    </w:p>
    <w:p w14:paraId="78C734C1">
      <w:pPr>
        <w:pStyle w:val="16"/>
      </w:pPr>
      <w:r>
        <w:rPr>
          <w:rFonts w:ascii="Arial" w:hAnsi="Arial" w:eastAsia="微软雅黑"/>
          <w:b/>
        </w:rPr>
        <w:t>成果要公开展示。</w:t>
      </w:r>
      <w:r>
        <w:rPr>
          <w:rFonts w:ascii="Arial" w:hAnsi="Arial" w:eastAsia="微软雅黑"/>
        </w:rPr>
        <w:t>我们应该把学生作品设计成可以进入校内科技节、实验室开放日、公众号推文、短视频合集和比赛材料的形式，让新媒体从一开始参与成果设计。</w:t>
      </w:r>
    </w:p>
    <w:p w14:paraId="0F859109">
      <w:pPr>
        <w:pStyle w:val="16"/>
        <w:rPr>
          <w:b/>
          <w:bCs/>
        </w:rPr>
      </w:pPr>
      <w:r>
        <w:rPr>
          <w:rFonts w:hint="eastAsia"/>
          <w:b/>
          <w:bCs/>
          <w:lang w:eastAsia="zh-CN"/>
        </w:rPr>
        <w:t>要分步设置</w:t>
      </w:r>
      <w:r>
        <w:rPr>
          <w:rFonts w:hint="eastAsia"/>
          <w:b/>
          <w:bCs/>
          <w:lang w:val="en-US" w:eastAsia="zh-CN"/>
        </w:rPr>
        <w:t>成果</w:t>
      </w:r>
      <w:r>
        <w:rPr>
          <w:rFonts w:hint="eastAsia"/>
          <w:b/>
          <w:bCs/>
          <w:lang w:eastAsia="zh-CN"/>
        </w:rPr>
        <w:t>，确保</w:t>
      </w:r>
      <w:r>
        <w:rPr>
          <w:rFonts w:hint="eastAsia"/>
          <w:b/>
          <w:bCs/>
          <w:lang w:val="en-US" w:eastAsia="zh-CN"/>
        </w:rPr>
        <w:t xml:space="preserve">寸进寸喜 </w:t>
      </w:r>
      <w:r>
        <w:rPr>
          <w:rFonts w:hint="eastAsia"/>
          <w:b w:val="0"/>
          <w:bCs w:val="0"/>
          <w:lang w:val="en-US" w:eastAsia="zh-CN"/>
        </w:rPr>
        <w:t>不要上来弄一个太复杂的目标，应该先分布后整体，不然（特别是低年龄段的）学生注意力很难集中。另一方面，这也是在说，你最后做出来的这个东西上手成本不要太高。比方说，如果要有很强的工程能力做基础，那就不好做。</w:t>
      </w:r>
      <w:bookmarkStart w:id="0" w:name="_GoBack"/>
      <w:bookmarkEnd w:id="0"/>
    </w:p>
    <w:p w14:paraId="48128AD7">
      <w:pPr>
        <w:pStyle w:val="16"/>
        <w:rPr>
          <w:b/>
          <w:bCs/>
        </w:rPr>
      </w:pPr>
      <w:r>
        <w:rPr>
          <w:rFonts w:hint="eastAsia"/>
          <w:b/>
          <w:bCs/>
          <w:lang w:val="en-US" w:eastAsia="zh-CN"/>
        </w:rPr>
        <w:t>成果要可视可感</w:t>
      </w:r>
      <w:r>
        <w:rPr>
          <w:rFonts w:hint="eastAsia"/>
          <w:b w:val="0"/>
          <w:bCs w:val="0"/>
          <w:lang w:val="en-US" w:eastAsia="zh-CN"/>
        </w:rPr>
        <w:t xml:space="preserve">  这个东西能拿在手上玩，或者分享给别人看，才会起到激发动力的作用</w:t>
      </w:r>
    </w:p>
    <w:p w14:paraId="4A0332AD">
      <w:pPr>
        <w:pStyle w:val="16"/>
      </w:pPr>
      <w:r>
        <w:rPr>
          <w:rFonts w:ascii="Arial" w:hAnsi="Arial" w:eastAsia="微软雅黑"/>
          <w:b/>
        </w:rPr>
        <w:t>复用先从课程包开始。</w:t>
      </w:r>
      <w:r>
        <w:rPr>
          <w:rFonts w:ascii="Arial" w:hAnsi="Arial" w:eastAsia="微软雅黑"/>
        </w:rPr>
        <w:t>我们不应该一开始就做大平台，而应该先通过 1-3 套课程包和一次真实试点，验证课程能否运行，再把反馈、作品和素材整理成可复用版本。</w:t>
      </w:r>
    </w:p>
    <w:sectPr>
      <w:pgSz w:w="11909" w:h="16834"/>
      <w:pgMar w:top="1224" w:right="1296" w:bottom="1224" w:left="1296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3" w:lineRule="auto"/>
      </w:pPr>
      <w:r>
        <w:separator/>
      </w:r>
    </w:p>
  </w:footnote>
  <w:footnote w:type="continuationSeparator" w:id="1">
    <w:p>
      <w:pPr>
        <w:spacing w:before="0" w:after="0" w:line="283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47F2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40" w:line="283" w:lineRule="auto"/>
      <w:ind w:firstLine="0"/>
    </w:pPr>
    <w:rPr>
      <w:rFonts w:ascii="Arial" w:hAnsi="Arial" w:eastAsia="微软雅黑" w:cstheme="minorBidi"/>
      <w:color w:val="00000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20" w:after="120"/>
      <w:outlineLvl w:val="0"/>
    </w:pPr>
    <w:rPr>
      <w:rFonts w:asciiTheme="majorHAnsi" w:hAnsiTheme="majorHAnsi" w:eastAsiaTheme="majorEastAsia" w:cstheme="majorBidi"/>
      <w:b/>
      <w:bCs/>
      <w:color w:val="000000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80"/>
      <w:outlineLvl w:val="1"/>
    </w:pPr>
    <w:rPr>
      <w:rFonts w:asciiTheme="majorHAnsi" w:hAnsiTheme="majorHAnsi" w:eastAsiaTheme="majorEastAsia" w:cstheme="majorBidi"/>
      <w:b/>
      <w:bCs/>
      <w:color w:val="282828"/>
      <w:sz w:val="2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spacing w:after="100"/>
      <w:ind w:left="403"/>
      <w:contextualSpacing/>
    </w:pPr>
    <w:rPr>
      <w:rFonts w:ascii="Arial" w:hAnsi="Arial" w:eastAsia="微软雅黑"/>
      <w:sz w:val="22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before="0" w:after="80" w:line="240" w:lineRule="auto"/>
      <w:contextualSpacing/>
    </w:pPr>
    <w:rPr>
      <w:rFonts w:asciiTheme="majorHAnsi" w:hAnsiTheme="majorHAnsi" w:eastAsiaTheme="majorEastAsia" w:cstheme="majorBidi"/>
      <w:color w:val="000000"/>
      <w:spacing w:val="5"/>
      <w:kern w:val="28"/>
      <w:sz w:val="4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6437</Words>
  <Characters>7121</Characters>
  <Lines>0</Lines>
  <Paragraphs>0</Paragraphs>
  <TotalTime>65</TotalTime>
  <ScaleCrop>false</ScaleCrop>
  <LinksUpToDate>false</LinksUpToDate>
  <CharactersWithSpaces>7356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宋浩然</cp:lastModifiedBy>
  <dcterms:modified xsi:type="dcterms:W3CDTF">2026-07-26T13:50:47Z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eyJoZGlkIjoiYzk1ZjkxNDJmOGMwZjlkNjIzZjAxOTk1MmU1MjU2NTAiLCJ1c2VySWQiOiIxNzI1OTc5ODY5In0=</vt:lpwstr>
  </property>
  <property fmtid="{D5CDD505-2E9C-101B-9397-08002B2CF9AE}" pid="3" name="KSOProductBuildVer">
    <vt:lpwstr>2052-12.1.0.26895</vt:lpwstr>
  </property>
  <property fmtid="{D5CDD505-2E9C-101B-9397-08002B2CF9AE}" pid="4" name="ICV">
    <vt:lpwstr>F2F83E3F40DD4A1EB122B0ABC7B2A7CF_12</vt:lpwstr>
  </property>
</Properties>
</file>