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tblCellMar>
          <w:left w:w="0" w:type="dxa"/>
          <w:right w:w="0" w:type="dxa"/>
        </w:tblCellMar>
        <w:tblLook w:val="04A0" w:firstRow="1" w:lastRow="0" w:firstColumn="1" w:lastColumn="0" w:noHBand="0" w:noVBand="1"/>
      </w:tblPr>
      <w:tblGrid>
        <w:gridCol w:w="2220"/>
        <w:gridCol w:w="7059"/>
        <w:gridCol w:w="30"/>
        <w:gridCol w:w="51"/>
      </w:tblGrid>
      <w:tr w:rsidR="00B2276E" w14:paraId="2CF484B6" w14:textId="77777777" w:rsidTr="0034755F">
        <w:trPr>
          <w:gridAfter w:val="2"/>
          <w:tblCellSpacing w:w="15" w:type="dxa"/>
        </w:trPr>
        <w:tc>
          <w:tcPr>
            <w:tcW w:w="2175" w:type="dxa"/>
            <w:tcMar>
              <w:top w:w="120" w:type="dxa"/>
              <w:left w:w="75" w:type="dxa"/>
              <w:bottom w:w="75" w:type="dxa"/>
              <w:right w:w="75" w:type="dxa"/>
            </w:tcMar>
            <w:vAlign w:val="center"/>
            <w:hideMark/>
          </w:tcPr>
          <w:p w14:paraId="24992478" w14:textId="77777777" w:rsidR="00B2276E" w:rsidRDefault="00B2276E" w:rsidP="0034755F">
            <w:pPr>
              <w:rPr>
                <w:rFonts w:ascii="Calibri" w:eastAsia="Times New Roman" w:hAnsi="Calibri" w:cs="Calibri"/>
                <w:color w:val="333333"/>
                <w:sz w:val="23"/>
                <w:szCs w:val="23"/>
              </w:rPr>
            </w:pPr>
            <w:r>
              <w:rPr>
                <w:rFonts w:ascii="Calibri" w:eastAsia="Times New Roman" w:hAnsi="Calibri" w:cs="Calibri"/>
                <w:color w:val="333333"/>
                <w:sz w:val="23"/>
                <w:szCs w:val="23"/>
              </w:rPr>
              <w:t>Course Prefix</w:t>
            </w:r>
          </w:p>
        </w:tc>
        <w:tc>
          <w:tcPr>
            <w:tcW w:w="0" w:type="auto"/>
            <w:tcMar>
              <w:top w:w="75" w:type="dxa"/>
              <w:left w:w="75" w:type="dxa"/>
              <w:bottom w:w="75" w:type="dxa"/>
              <w:right w:w="75" w:type="dxa"/>
            </w:tcMar>
            <w:vAlign w:val="center"/>
            <w:hideMark/>
          </w:tcPr>
          <w:p w14:paraId="2218D01C" w14:textId="77777777" w:rsidR="00B2276E" w:rsidRDefault="00B2276E" w:rsidP="0034755F">
            <w:pPr>
              <w:rPr>
                <w:rFonts w:ascii="Calibri" w:eastAsia="Times New Roman" w:hAnsi="Calibri" w:cs="Calibri"/>
                <w:color w:val="333333"/>
                <w:sz w:val="21"/>
                <w:szCs w:val="21"/>
              </w:rPr>
            </w:pPr>
            <w:r>
              <w:rPr>
                <w:rFonts w:ascii="Calibri" w:eastAsia="Times New Roman" w:hAnsi="Calibri" w:cs="Calibri"/>
                <w:color w:val="333333"/>
                <w:sz w:val="21"/>
                <w:szCs w:val="21"/>
              </w:rPr>
              <w:t xml:space="preserve">Computer Information Systems (CIS) </w:t>
            </w:r>
            <w:r>
              <w:rPr>
                <w:rStyle w:val="hidden1"/>
                <w:rFonts w:ascii="Calibri" w:eastAsia="Times New Roman" w:hAnsi="Calibri" w:cs="Calibri"/>
                <w:color w:val="333333"/>
                <w:sz w:val="21"/>
                <w:szCs w:val="21"/>
              </w:rPr>
              <w:t>CIS</w:t>
            </w:r>
            <w:r>
              <w:rPr>
                <w:rFonts w:ascii="Calibri" w:eastAsia="Times New Roman" w:hAnsi="Calibri" w:cs="Calibri"/>
                <w:color w:val="333333"/>
                <w:sz w:val="21"/>
                <w:szCs w:val="21"/>
              </w:rPr>
              <w:t xml:space="preserve"> </w:t>
            </w:r>
          </w:p>
        </w:tc>
      </w:tr>
      <w:tr w:rsidR="00B2276E" w14:paraId="099A309A" w14:textId="77777777" w:rsidTr="0034755F">
        <w:trPr>
          <w:gridAfter w:val="2"/>
          <w:tblCellSpacing w:w="15" w:type="dxa"/>
        </w:trPr>
        <w:tc>
          <w:tcPr>
            <w:tcW w:w="2175" w:type="dxa"/>
            <w:tcMar>
              <w:top w:w="120" w:type="dxa"/>
              <w:left w:w="75" w:type="dxa"/>
              <w:bottom w:w="75" w:type="dxa"/>
              <w:right w:w="75" w:type="dxa"/>
            </w:tcMar>
            <w:vAlign w:val="center"/>
            <w:hideMark/>
          </w:tcPr>
          <w:p w14:paraId="3B93F8FC" w14:textId="77777777" w:rsidR="00B2276E" w:rsidRDefault="00B2276E" w:rsidP="0034755F">
            <w:pPr>
              <w:rPr>
                <w:rFonts w:ascii="Calibri" w:eastAsia="Times New Roman" w:hAnsi="Calibri" w:cs="Calibri"/>
                <w:color w:val="333333"/>
                <w:sz w:val="23"/>
                <w:szCs w:val="23"/>
              </w:rPr>
            </w:pPr>
            <w:r>
              <w:rPr>
                <w:rFonts w:ascii="Calibri" w:eastAsia="Times New Roman" w:hAnsi="Calibri" w:cs="Calibri"/>
                <w:color w:val="333333"/>
                <w:sz w:val="23"/>
                <w:szCs w:val="23"/>
              </w:rPr>
              <w:t>Course Number</w:t>
            </w:r>
          </w:p>
        </w:tc>
        <w:tc>
          <w:tcPr>
            <w:tcW w:w="0" w:type="auto"/>
            <w:tcMar>
              <w:top w:w="75" w:type="dxa"/>
              <w:left w:w="75" w:type="dxa"/>
              <w:bottom w:w="75" w:type="dxa"/>
              <w:right w:w="75" w:type="dxa"/>
            </w:tcMar>
            <w:vAlign w:val="center"/>
            <w:hideMark/>
          </w:tcPr>
          <w:p w14:paraId="36C39E3C" w14:textId="77777777" w:rsidR="00B2276E" w:rsidRDefault="00B2276E" w:rsidP="0034755F">
            <w:pPr>
              <w:rPr>
                <w:rFonts w:ascii="Calibri" w:eastAsia="Times New Roman" w:hAnsi="Calibri" w:cs="Calibri"/>
                <w:color w:val="333333"/>
                <w:sz w:val="21"/>
                <w:szCs w:val="21"/>
              </w:rPr>
            </w:pPr>
            <w:r>
              <w:rPr>
                <w:rFonts w:ascii="Calibri" w:eastAsia="Times New Roman" w:hAnsi="Calibri" w:cs="Calibri"/>
                <w:color w:val="333333"/>
                <w:sz w:val="21"/>
                <w:szCs w:val="21"/>
              </w:rPr>
              <w:t xml:space="preserve">134 </w:t>
            </w:r>
            <w:r>
              <w:rPr>
                <w:rStyle w:val="hidden1"/>
                <w:rFonts w:ascii="Calibri" w:eastAsia="Times New Roman" w:hAnsi="Calibri" w:cs="Calibri"/>
                <w:color w:val="333333"/>
                <w:sz w:val="21"/>
                <w:szCs w:val="21"/>
              </w:rPr>
              <w:t>134</w:t>
            </w:r>
            <w:r>
              <w:rPr>
                <w:rFonts w:ascii="Calibri" w:eastAsia="Times New Roman" w:hAnsi="Calibri" w:cs="Calibri"/>
                <w:color w:val="333333"/>
                <w:sz w:val="21"/>
                <w:szCs w:val="21"/>
              </w:rPr>
              <w:t xml:space="preserve"> </w:t>
            </w:r>
          </w:p>
        </w:tc>
      </w:tr>
      <w:tr w:rsidR="00B2276E" w14:paraId="39D24494" w14:textId="77777777" w:rsidTr="0034755F">
        <w:trPr>
          <w:gridAfter w:val="2"/>
          <w:tblCellSpacing w:w="15" w:type="dxa"/>
        </w:trPr>
        <w:tc>
          <w:tcPr>
            <w:tcW w:w="2175" w:type="dxa"/>
            <w:tcMar>
              <w:top w:w="120" w:type="dxa"/>
              <w:left w:w="75" w:type="dxa"/>
              <w:bottom w:w="75" w:type="dxa"/>
              <w:right w:w="75" w:type="dxa"/>
            </w:tcMar>
            <w:vAlign w:val="center"/>
            <w:hideMark/>
          </w:tcPr>
          <w:p w14:paraId="7B473E63" w14:textId="77777777" w:rsidR="00B2276E" w:rsidRDefault="00B2276E" w:rsidP="0034755F">
            <w:pPr>
              <w:rPr>
                <w:rFonts w:ascii="Calibri" w:eastAsia="Times New Roman" w:hAnsi="Calibri" w:cs="Calibri"/>
                <w:color w:val="333333"/>
                <w:sz w:val="23"/>
                <w:szCs w:val="23"/>
              </w:rPr>
            </w:pPr>
            <w:r>
              <w:rPr>
                <w:rFonts w:ascii="Calibri" w:eastAsia="Times New Roman" w:hAnsi="Calibri" w:cs="Calibri"/>
                <w:color w:val="333333"/>
                <w:sz w:val="23"/>
                <w:szCs w:val="23"/>
              </w:rPr>
              <w:t>Course Type</w:t>
            </w:r>
          </w:p>
        </w:tc>
        <w:tc>
          <w:tcPr>
            <w:tcW w:w="0" w:type="auto"/>
            <w:tcMar>
              <w:top w:w="75" w:type="dxa"/>
              <w:left w:w="75" w:type="dxa"/>
              <w:bottom w:w="75" w:type="dxa"/>
              <w:right w:w="75" w:type="dxa"/>
            </w:tcMar>
            <w:vAlign w:val="center"/>
            <w:hideMark/>
          </w:tcPr>
          <w:p w14:paraId="77314FE0" w14:textId="77777777" w:rsidR="00B2276E" w:rsidRDefault="00B2276E" w:rsidP="0034755F">
            <w:pPr>
              <w:rPr>
                <w:rFonts w:ascii="Calibri" w:eastAsia="Times New Roman" w:hAnsi="Calibri" w:cs="Calibri"/>
                <w:color w:val="333333"/>
                <w:sz w:val="21"/>
                <w:szCs w:val="21"/>
              </w:rPr>
            </w:pPr>
            <w:r>
              <w:rPr>
                <w:rFonts w:ascii="Calibri" w:eastAsia="Times New Roman" w:hAnsi="Calibri" w:cs="Calibri"/>
                <w:color w:val="333333"/>
                <w:sz w:val="21"/>
                <w:szCs w:val="21"/>
              </w:rPr>
              <w:t xml:space="preserve">Career Technical Education </w:t>
            </w:r>
          </w:p>
        </w:tc>
      </w:tr>
      <w:tr w:rsidR="00B2276E" w14:paraId="211E9C62" w14:textId="77777777" w:rsidTr="0034755F">
        <w:trPr>
          <w:tblCellSpacing w:w="15" w:type="dxa"/>
        </w:trPr>
        <w:tc>
          <w:tcPr>
            <w:tcW w:w="2175" w:type="dxa"/>
            <w:tcMar>
              <w:top w:w="120" w:type="dxa"/>
              <w:left w:w="75" w:type="dxa"/>
              <w:bottom w:w="75" w:type="dxa"/>
              <w:right w:w="75" w:type="dxa"/>
            </w:tcMar>
            <w:vAlign w:val="center"/>
            <w:hideMark/>
          </w:tcPr>
          <w:p w14:paraId="529DB383" w14:textId="77777777" w:rsidR="00B2276E" w:rsidRDefault="00B2276E" w:rsidP="0034755F">
            <w:pPr>
              <w:rPr>
                <w:rFonts w:ascii="Calibri" w:eastAsia="Times New Roman" w:hAnsi="Calibri" w:cs="Calibri"/>
                <w:color w:val="333333"/>
                <w:sz w:val="23"/>
                <w:szCs w:val="23"/>
              </w:rPr>
            </w:pPr>
            <w:r>
              <w:rPr>
                <w:rFonts w:ascii="Calibri" w:eastAsia="Times New Roman" w:hAnsi="Calibri" w:cs="Calibri"/>
                <w:color w:val="333333"/>
                <w:sz w:val="23"/>
                <w:szCs w:val="23"/>
              </w:rPr>
              <w:t>Course Title</w:t>
            </w:r>
          </w:p>
        </w:tc>
        <w:tc>
          <w:tcPr>
            <w:tcW w:w="0" w:type="auto"/>
            <w:gridSpan w:val="3"/>
            <w:tcMar>
              <w:top w:w="75" w:type="dxa"/>
              <w:left w:w="75" w:type="dxa"/>
              <w:bottom w:w="75" w:type="dxa"/>
              <w:right w:w="75" w:type="dxa"/>
            </w:tcMar>
            <w:vAlign w:val="center"/>
            <w:hideMark/>
          </w:tcPr>
          <w:p w14:paraId="06FC88F4" w14:textId="77777777" w:rsidR="00B2276E" w:rsidRDefault="00B2276E" w:rsidP="0034755F">
            <w:pPr>
              <w:rPr>
                <w:rFonts w:ascii="Calibri" w:eastAsia="Times New Roman" w:hAnsi="Calibri" w:cs="Calibri"/>
                <w:color w:val="333333"/>
                <w:sz w:val="21"/>
                <w:szCs w:val="21"/>
              </w:rPr>
            </w:pPr>
            <w:r>
              <w:rPr>
                <w:rFonts w:ascii="Calibri" w:eastAsia="Times New Roman" w:hAnsi="Calibri" w:cs="Calibri"/>
                <w:color w:val="333333"/>
                <w:sz w:val="21"/>
                <w:szCs w:val="21"/>
              </w:rPr>
              <w:t xml:space="preserve">UI/UX Design </w:t>
            </w:r>
            <w:r>
              <w:rPr>
                <w:rStyle w:val="hidden1"/>
                <w:rFonts w:ascii="Calibri" w:eastAsia="Times New Roman" w:hAnsi="Calibri" w:cs="Calibri"/>
                <w:color w:val="333333"/>
                <w:sz w:val="21"/>
                <w:szCs w:val="21"/>
              </w:rPr>
              <w:t>UI/UX Design</w:t>
            </w:r>
            <w:r>
              <w:rPr>
                <w:rFonts w:ascii="Calibri" w:eastAsia="Times New Roman" w:hAnsi="Calibri" w:cs="Calibri"/>
                <w:color w:val="333333"/>
                <w:sz w:val="21"/>
                <w:szCs w:val="21"/>
              </w:rPr>
              <w:t xml:space="preserve"> </w:t>
            </w:r>
          </w:p>
        </w:tc>
      </w:tr>
      <w:tr w:rsidR="00B2276E" w14:paraId="746E39B3" w14:textId="77777777" w:rsidTr="0034755F">
        <w:trPr>
          <w:tblCellSpacing w:w="15" w:type="dxa"/>
        </w:trPr>
        <w:tc>
          <w:tcPr>
            <w:tcW w:w="2175" w:type="dxa"/>
            <w:tcMar>
              <w:top w:w="120" w:type="dxa"/>
              <w:left w:w="75" w:type="dxa"/>
              <w:bottom w:w="75" w:type="dxa"/>
              <w:right w:w="75" w:type="dxa"/>
            </w:tcMar>
            <w:hideMark/>
          </w:tcPr>
          <w:p w14:paraId="2E6227BB" w14:textId="77777777" w:rsidR="00B2276E" w:rsidRDefault="00B2276E" w:rsidP="0034755F">
            <w:pPr>
              <w:rPr>
                <w:rFonts w:ascii="Calibri" w:eastAsia="Times New Roman" w:hAnsi="Calibri" w:cs="Calibri"/>
                <w:color w:val="333333"/>
                <w:sz w:val="23"/>
                <w:szCs w:val="23"/>
              </w:rPr>
            </w:pPr>
            <w:r>
              <w:rPr>
                <w:rFonts w:ascii="Calibri" w:eastAsia="Times New Roman" w:hAnsi="Calibri" w:cs="Calibri"/>
                <w:color w:val="333333"/>
                <w:sz w:val="23"/>
                <w:szCs w:val="23"/>
              </w:rPr>
              <w:t>Course Description</w:t>
            </w:r>
          </w:p>
        </w:tc>
        <w:tc>
          <w:tcPr>
            <w:tcW w:w="0" w:type="auto"/>
            <w:gridSpan w:val="2"/>
            <w:tcMar>
              <w:top w:w="75" w:type="dxa"/>
              <w:left w:w="75" w:type="dxa"/>
              <w:bottom w:w="75" w:type="dxa"/>
              <w:right w:w="75" w:type="dxa"/>
            </w:tcMar>
            <w:vAlign w:val="center"/>
            <w:hideMark/>
          </w:tcPr>
          <w:p w14:paraId="069AF965" w14:textId="77777777" w:rsidR="00B2276E" w:rsidRDefault="00B2276E" w:rsidP="0034755F">
            <w:pPr>
              <w:rPr>
                <w:rFonts w:ascii="Calibri" w:eastAsia="Times New Roman" w:hAnsi="Calibri" w:cs="Calibri"/>
                <w:color w:val="333333"/>
                <w:sz w:val="21"/>
                <w:szCs w:val="21"/>
              </w:rPr>
            </w:pPr>
            <w:r>
              <w:rPr>
                <w:rFonts w:ascii="Calibri" w:eastAsia="Times New Roman" w:hAnsi="Calibri" w:cs="Calibri"/>
                <w:color w:val="333333"/>
                <w:sz w:val="21"/>
                <w:szCs w:val="21"/>
              </w:rPr>
              <w:t>Introduces user interface (UI) and user experience (UX) design. Covers gathering requirements, research, project management and user-centric design concepts to produce application interfaces. Includes the creation of user personas, content inventories, mood boards, and wireframes. Covers standards for color management, design principles, and usability best practices. Audit available.</w:t>
            </w:r>
            <w:r>
              <w:rPr>
                <w:rStyle w:val="hidden1"/>
                <w:rFonts w:ascii="Calibri" w:eastAsia="Times New Roman" w:hAnsi="Calibri" w:cs="Calibri"/>
                <w:color w:val="333333"/>
                <w:sz w:val="21"/>
                <w:szCs w:val="21"/>
              </w:rPr>
              <w:t>Introduces user interface (UI) and user experience (UX) design. Covers gathering requirements, research, project management and user-centric design concepts to produce application interfaces. Includes the creation of user personas, content inventories, mood boards, and wireframes. Covers standards for color management, design principles, and usability best practices. Audit available.</w:t>
            </w:r>
          </w:p>
        </w:tc>
        <w:tc>
          <w:tcPr>
            <w:tcW w:w="0" w:type="auto"/>
            <w:vAlign w:val="center"/>
            <w:hideMark/>
          </w:tcPr>
          <w:p w14:paraId="025E3D9C" w14:textId="77777777" w:rsidR="00B2276E" w:rsidRDefault="00B2276E" w:rsidP="0034755F">
            <w:pPr>
              <w:rPr>
                <w:rFonts w:eastAsia="Times New Roman"/>
                <w:sz w:val="20"/>
                <w:szCs w:val="20"/>
              </w:rPr>
            </w:pPr>
          </w:p>
        </w:tc>
      </w:tr>
      <w:tr w:rsidR="00B2276E" w14:paraId="15601B99" w14:textId="77777777" w:rsidTr="0034755F">
        <w:trPr>
          <w:tblCellSpacing w:w="15" w:type="dxa"/>
        </w:trPr>
        <w:tc>
          <w:tcPr>
            <w:tcW w:w="2175" w:type="dxa"/>
            <w:tcMar>
              <w:top w:w="120" w:type="dxa"/>
              <w:left w:w="75" w:type="dxa"/>
              <w:bottom w:w="75" w:type="dxa"/>
              <w:right w:w="75" w:type="dxa"/>
            </w:tcMar>
            <w:hideMark/>
          </w:tcPr>
          <w:p w14:paraId="43A8726E" w14:textId="77777777" w:rsidR="00B2276E" w:rsidRDefault="00B2276E" w:rsidP="0034755F">
            <w:pPr>
              <w:rPr>
                <w:rFonts w:ascii="Calibri" w:eastAsia="Times New Roman" w:hAnsi="Calibri" w:cs="Calibri"/>
                <w:color w:val="333333"/>
                <w:sz w:val="23"/>
                <w:szCs w:val="23"/>
              </w:rPr>
            </w:pPr>
            <w:r>
              <w:rPr>
                <w:rFonts w:ascii="Calibri" w:eastAsia="Times New Roman" w:hAnsi="Calibri" w:cs="Calibri"/>
                <w:color w:val="333333"/>
                <w:sz w:val="23"/>
                <w:szCs w:val="23"/>
              </w:rPr>
              <w:t>Outcomes</w:t>
            </w:r>
          </w:p>
        </w:tc>
        <w:tc>
          <w:tcPr>
            <w:tcW w:w="0" w:type="auto"/>
            <w:gridSpan w:val="3"/>
            <w:tcMar>
              <w:top w:w="75" w:type="dxa"/>
              <w:left w:w="75" w:type="dxa"/>
              <w:bottom w:w="75" w:type="dxa"/>
              <w:right w:w="75" w:type="dxa"/>
            </w:tcMar>
            <w:vAlign w:val="center"/>
            <w:hideMark/>
          </w:tcPr>
          <w:p w14:paraId="303AADD2" w14:textId="77777777" w:rsidR="00B2276E" w:rsidRDefault="00B2276E" w:rsidP="0034755F">
            <w:pPr>
              <w:spacing w:after="100" w:afterAutospacing="1"/>
              <w:rPr>
                <w:rFonts w:ascii="Calibri" w:hAnsi="Calibri" w:cs="Calibri"/>
                <w:vanish/>
                <w:color w:val="333333"/>
                <w:sz w:val="21"/>
                <w:szCs w:val="21"/>
              </w:rPr>
            </w:pPr>
            <w:r>
              <w:rPr>
                <w:rStyle w:val="Strong"/>
                <w:rFonts w:ascii="Calibri" w:hAnsi="Calibri" w:cs="Calibri"/>
                <w:vanish/>
                <w:color w:val="333333"/>
                <w:sz w:val="21"/>
                <w:szCs w:val="21"/>
              </w:rPr>
              <w:t>Integrative Learning</w:t>
            </w:r>
            <w:r>
              <w:rPr>
                <w:rFonts w:ascii="Calibri" w:hAnsi="Calibri" w:cs="Calibri"/>
                <w:vanish/>
                <w:color w:val="333333"/>
                <w:sz w:val="21"/>
                <w:szCs w:val="21"/>
              </w:rPr>
              <w:t>: Students completing an associate degree will be able to reflectively make connections among concepts and experiences so that knowledge and skills can be applied to issues and/or challenges of lived experience.</w:t>
            </w:r>
          </w:p>
          <w:p w14:paraId="562B0C2F" w14:textId="77777777" w:rsidR="00B2276E" w:rsidRDefault="00B2276E" w:rsidP="0034755F">
            <w:pPr>
              <w:spacing w:after="100" w:afterAutospacing="1"/>
              <w:rPr>
                <w:rFonts w:ascii="Calibri" w:hAnsi="Calibri" w:cs="Calibri"/>
                <w:vanish/>
                <w:color w:val="333333"/>
                <w:sz w:val="21"/>
                <w:szCs w:val="21"/>
              </w:rPr>
            </w:pPr>
            <w:r>
              <w:rPr>
                <w:rStyle w:val="Strong"/>
                <w:rFonts w:ascii="Calibri" w:hAnsi="Calibri" w:cs="Calibri"/>
                <w:vanish/>
                <w:color w:val="333333"/>
                <w:sz w:val="21"/>
                <w:szCs w:val="21"/>
              </w:rPr>
              <w:t>Social Analysis and Inquiry</w:t>
            </w:r>
            <w:r>
              <w:rPr>
                <w:rFonts w:ascii="Calibri" w:hAnsi="Calibri" w:cs="Calibri"/>
                <w:vanish/>
                <w:color w:val="333333"/>
                <w:sz w:val="21"/>
                <w:szCs w:val="21"/>
              </w:rPr>
              <w:t xml:space="preserve">: Students completing an associate degree will be able to apply social contexts and the diversity of human experience to the analysis of practical problems and theoretical issues. </w:t>
            </w:r>
          </w:p>
          <w:p w14:paraId="4C7F3812" w14:textId="77777777" w:rsidR="00B2276E" w:rsidRDefault="00B2276E" w:rsidP="0034755F">
            <w:pPr>
              <w:spacing w:after="100" w:afterAutospacing="1"/>
              <w:rPr>
                <w:rFonts w:ascii="Calibri" w:hAnsi="Calibri" w:cs="Calibri"/>
                <w:vanish/>
                <w:color w:val="333333"/>
                <w:sz w:val="21"/>
                <w:szCs w:val="21"/>
              </w:rPr>
            </w:pPr>
            <w:r>
              <w:rPr>
                <w:rStyle w:val="Strong"/>
                <w:rFonts w:ascii="Calibri" w:hAnsi="Calibri" w:cs="Calibri"/>
                <w:vanish/>
                <w:color w:val="333333"/>
                <w:sz w:val="21"/>
                <w:szCs w:val="21"/>
              </w:rPr>
              <w:t>Quantitative Reasoning</w:t>
            </w:r>
            <w:r>
              <w:rPr>
                <w:rFonts w:ascii="Calibri" w:hAnsi="Calibri" w:cs="Calibri"/>
                <w:vanish/>
                <w:color w:val="333333"/>
                <w:sz w:val="21"/>
                <w:szCs w:val="21"/>
              </w:rPr>
              <w:t xml:space="preserve">: Students completing an associate degree will be able to effectively analyze problems that impact the community and/or environment using quantitative information. </w:t>
            </w:r>
          </w:p>
          <w:p w14:paraId="4796F1F1" w14:textId="77777777" w:rsidR="00B2276E" w:rsidRDefault="00B2276E" w:rsidP="0034755F">
            <w:pPr>
              <w:spacing w:after="100" w:afterAutospacing="1"/>
              <w:rPr>
                <w:rFonts w:ascii="Calibri" w:hAnsi="Calibri" w:cs="Calibri"/>
                <w:vanish/>
                <w:color w:val="333333"/>
                <w:sz w:val="21"/>
                <w:szCs w:val="21"/>
              </w:rPr>
            </w:pPr>
            <w:r>
              <w:rPr>
                <w:rStyle w:val="Strong"/>
                <w:rFonts w:ascii="Calibri" w:hAnsi="Calibri" w:cs="Calibri"/>
                <w:vanish/>
                <w:color w:val="333333"/>
                <w:sz w:val="21"/>
                <w:szCs w:val="21"/>
              </w:rPr>
              <w:t>Social Justice</w:t>
            </w:r>
            <w:r>
              <w:rPr>
                <w:rFonts w:ascii="Calibri" w:hAnsi="Calibri" w:cs="Calibri"/>
                <w:vanish/>
                <w:color w:val="333333"/>
                <w:sz w:val="21"/>
                <w:szCs w:val="21"/>
              </w:rPr>
              <w:t>: Students completing an associate degree at Portland Community College will be able to develop capacity to create social change through analysis of institutions, culture, and systems of power.</w:t>
            </w:r>
          </w:p>
          <w:p w14:paraId="04CC7782" w14:textId="77777777" w:rsidR="00B2276E" w:rsidRDefault="00B2276E" w:rsidP="0034755F">
            <w:pPr>
              <w:spacing w:after="100" w:afterAutospacing="1"/>
              <w:rPr>
                <w:rFonts w:ascii="Calibri" w:hAnsi="Calibri" w:cs="Calibri"/>
                <w:color w:val="333333"/>
                <w:sz w:val="21"/>
                <w:szCs w:val="21"/>
              </w:rPr>
            </w:pPr>
            <w:r>
              <w:rPr>
                <w:rFonts w:ascii="Calibri" w:hAnsi="Calibri" w:cs="Calibri"/>
                <w:color w:val="333333"/>
                <w:sz w:val="21"/>
                <w:szCs w:val="21"/>
              </w:rPr>
              <w:t>Upon completion of the course students will be able to:</w:t>
            </w:r>
          </w:p>
          <w:p w14:paraId="3311583F" w14:textId="77777777" w:rsidR="00B2276E" w:rsidRDefault="00B2276E" w:rsidP="0034755F">
            <w:pPr>
              <w:spacing w:after="100" w:afterAutospacing="1"/>
              <w:rPr>
                <w:rFonts w:ascii="Calibri" w:hAnsi="Calibri" w:cs="Calibri"/>
                <w:color w:val="333333"/>
                <w:sz w:val="21"/>
                <w:szCs w:val="21"/>
              </w:rPr>
            </w:pPr>
            <w:r>
              <w:rPr>
                <w:rFonts w:ascii="Calibri" w:hAnsi="Calibri" w:cs="Calibri"/>
                <w:color w:val="333333"/>
                <w:sz w:val="21"/>
                <w:szCs w:val="21"/>
              </w:rPr>
              <w:t>1. Create an application prototype using industry standard design principles.</w:t>
            </w:r>
          </w:p>
          <w:p w14:paraId="3B732E32" w14:textId="77777777" w:rsidR="00B2276E" w:rsidRDefault="00B2276E" w:rsidP="0034755F">
            <w:pPr>
              <w:spacing w:after="100" w:afterAutospacing="1"/>
              <w:rPr>
                <w:rFonts w:ascii="Calibri" w:hAnsi="Calibri" w:cs="Calibri"/>
                <w:color w:val="333333"/>
                <w:sz w:val="21"/>
                <w:szCs w:val="21"/>
              </w:rPr>
            </w:pPr>
            <w:r>
              <w:rPr>
                <w:rFonts w:ascii="Calibri" w:hAnsi="Calibri" w:cs="Calibri"/>
                <w:color w:val="333333"/>
                <w:sz w:val="21"/>
                <w:szCs w:val="21"/>
              </w:rPr>
              <w:t>2. Identify stakeholders and create user personas to create an audience-appropriate user experience.</w:t>
            </w:r>
          </w:p>
          <w:p w14:paraId="4CC00EAD" w14:textId="77777777" w:rsidR="00B2276E" w:rsidRDefault="00B2276E" w:rsidP="0034755F">
            <w:pPr>
              <w:spacing w:after="100" w:afterAutospacing="1"/>
              <w:rPr>
                <w:rFonts w:ascii="Calibri" w:hAnsi="Calibri" w:cs="Calibri"/>
                <w:color w:val="333333"/>
                <w:sz w:val="21"/>
                <w:szCs w:val="21"/>
              </w:rPr>
            </w:pPr>
            <w:r>
              <w:rPr>
                <w:rFonts w:ascii="Calibri" w:hAnsi="Calibri" w:cs="Calibri"/>
                <w:color w:val="333333"/>
                <w:sz w:val="21"/>
                <w:szCs w:val="21"/>
              </w:rPr>
              <w:t>3. Integrate best practices of color management, principles of design, and usability in designing user interfaces.</w:t>
            </w:r>
          </w:p>
          <w:p w14:paraId="7EFFECDE" w14:textId="77777777" w:rsidR="00B2276E" w:rsidRDefault="00B2276E" w:rsidP="0034755F">
            <w:pPr>
              <w:spacing w:after="100" w:afterAutospacing="1"/>
              <w:rPr>
                <w:rFonts w:ascii="Calibri" w:hAnsi="Calibri" w:cs="Calibri"/>
                <w:color w:val="333333"/>
                <w:sz w:val="21"/>
                <w:szCs w:val="21"/>
              </w:rPr>
            </w:pPr>
            <w:r>
              <w:rPr>
                <w:rFonts w:ascii="Calibri" w:hAnsi="Calibri" w:cs="Calibri"/>
                <w:color w:val="333333"/>
                <w:sz w:val="21"/>
                <w:szCs w:val="21"/>
              </w:rPr>
              <w:t>4. Gather client and end user requirements for an applications desired functionality and write/execute lists of acceptance criteria based on those requirements.</w:t>
            </w:r>
          </w:p>
          <w:p w14:paraId="3B2F01AD" w14:textId="77777777" w:rsidR="00B2276E" w:rsidRDefault="00B2276E" w:rsidP="0034755F">
            <w:pPr>
              <w:spacing w:after="100" w:afterAutospacing="1"/>
              <w:rPr>
                <w:rFonts w:ascii="Calibri" w:hAnsi="Calibri" w:cs="Calibri"/>
                <w:color w:val="333333"/>
                <w:sz w:val="21"/>
                <w:szCs w:val="21"/>
              </w:rPr>
            </w:pPr>
            <w:r>
              <w:rPr>
                <w:rFonts w:ascii="Calibri" w:hAnsi="Calibri" w:cs="Calibri"/>
                <w:color w:val="333333"/>
                <w:sz w:val="21"/>
                <w:szCs w:val="21"/>
              </w:rPr>
              <w:t>5. Use feedback to revise user interface designs.</w:t>
            </w:r>
          </w:p>
        </w:tc>
      </w:tr>
    </w:tbl>
    <w:p w14:paraId="5F16BCB1" w14:textId="77777777" w:rsidR="001E54C7" w:rsidRDefault="001E54C7"/>
    <w:sectPr w:rsidR="001E5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6E"/>
    <w:rsid w:val="001E54C7"/>
    <w:rsid w:val="00AF1891"/>
    <w:rsid w:val="00B22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2D1F"/>
  <w15:chartTrackingRefBased/>
  <w15:docId w15:val="{755C4B67-68EE-4E42-B160-19D439CD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76E"/>
    <w:pPr>
      <w:spacing w:after="0" w:line="240" w:lineRule="auto"/>
    </w:pPr>
    <w:rPr>
      <w:rFonts w:ascii="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dden1">
    <w:name w:val="hidden1"/>
    <w:basedOn w:val="DefaultParagraphFont"/>
    <w:rsid w:val="00B2276E"/>
    <w:rPr>
      <w:vanish/>
      <w:webHidden w:val="0"/>
      <w:specVanish w:val="0"/>
    </w:rPr>
  </w:style>
  <w:style w:type="character" w:styleId="Strong">
    <w:name w:val="Strong"/>
    <w:basedOn w:val="DefaultParagraphFont"/>
    <w:uiPriority w:val="22"/>
    <w:qFormat/>
    <w:rsid w:val="00B22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Goodman</dc:creator>
  <cp:keywords/>
  <dc:description/>
  <cp:lastModifiedBy>Marc Goodman</cp:lastModifiedBy>
  <cp:revision>1</cp:revision>
  <dcterms:created xsi:type="dcterms:W3CDTF">2023-10-13T06:24:00Z</dcterms:created>
  <dcterms:modified xsi:type="dcterms:W3CDTF">2023-10-13T06:25:00Z</dcterms:modified>
</cp:coreProperties>
</file>