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CellSpacing w:w="15" w:type="dxa"/>
        <w:tblCellMar>
          <w:left w:w="0" w:type="dxa"/>
          <w:right w:w="0" w:type="dxa"/>
        </w:tblCellMar>
        <w:tblLook w:val="04A0" w:firstRow="1" w:lastRow="0" w:firstColumn="1" w:lastColumn="0" w:noHBand="0" w:noVBand="1"/>
      </w:tblPr>
      <w:tblGrid>
        <w:gridCol w:w="2220"/>
        <w:gridCol w:w="7065"/>
        <w:gridCol w:w="30"/>
        <w:gridCol w:w="45"/>
      </w:tblGrid>
      <w:tr w:rsidR="001D212D" w14:paraId="6FCBD730" w14:textId="77777777" w:rsidTr="00C4212F">
        <w:trPr>
          <w:gridAfter w:val="2"/>
          <w:tblCellSpacing w:w="15" w:type="dxa"/>
        </w:trPr>
        <w:tc>
          <w:tcPr>
            <w:tcW w:w="2175" w:type="dxa"/>
            <w:tcMar>
              <w:top w:w="120" w:type="dxa"/>
              <w:left w:w="75" w:type="dxa"/>
              <w:bottom w:w="75" w:type="dxa"/>
              <w:right w:w="75" w:type="dxa"/>
            </w:tcMar>
            <w:vAlign w:val="center"/>
            <w:hideMark/>
          </w:tcPr>
          <w:p w14:paraId="0C48E4F7" w14:textId="77777777" w:rsidR="001D212D" w:rsidRDefault="001D212D" w:rsidP="00C4212F">
            <w:pPr>
              <w:rPr>
                <w:rFonts w:ascii="Calibri" w:eastAsia="Times New Roman" w:hAnsi="Calibri" w:cs="Calibri"/>
                <w:color w:val="333333"/>
                <w:sz w:val="23"/>
                <w:szCs w:val="23"/>
              </w:rPr>
            </w:pPr>
            <w:r>
              <w:rPr>
                <w:rFonts w:ascii="Calibri" w:eastAsia="Times New Roman" w:hAnsi="Calibri" w:cs="Calibri"/>
                <w:color w:val="333333"/>
                <w:sz w:val="23"/>
                <w:szCs w:val="23"/>
              </w:rPr>
              <w:t>Course Prefix</w:t>
            </w:r>
          </w:p>
        </w:tc>
        <w:tc>
          <w:tcPr>
            <w:tcW w:w="0" w:type="auto"/>
            <w:tcMar>
              <w:top w:w="75" w:type="dxa"/>
              <w:left w:w="75" w:type="dxa"/>
              <w:bottom w:w="75" w:type="dxa"/>
              <w:right w:w="75" w:type="dxa"/>
            </w:tcMar>
            <w:vAlign w:val="center"/>
            <w:hideMark/>
          </w:tcPr>
          <w:p w14:paraId="6384916C" w14:textId="77777777" w:rsidR="001D212D" w:rsidRDefault="001D212D" w:rsidP="00C4212F">
            <w:pPr>
              <w:rPr>
                <w:rFonts w:ascii="Calibri" w:eastAsia="Times New Roman" w:hAnsi="Calibri" w:cs="Calibri"/>
                <w:color w:val="333333"/>
                <w:sz w:val="21"/>
                <w:szCs w:val="21"/>
              </w:rPr>
            </w:pPr>
            <w:r>
              <w:rPr>
                <w:rFonts w:ascii="Calibri" w:eastAsia="Times New Roman" w:hAnsi="Calibri" w:cs="Calibri"/>
                <w:color w:val="333333"/>
                <w:sz w:val="21"/>
                <w:szCs w:val="21"/>
              </w:rPr>
              <w:t xml:space="preserve">Computer Information Systems (CIS) </w:t>
            </w:r>
            <w:r>
              <w:rPr>
                <w:rStyle w:val="hidden1"/>
                <w:rFonts w:ascii="Calibri" w:eastAsia="Times New Roman" w:hAnsi="Calibri" w:cs="Calibri"/>
                <w:color w:val="333333"/>
                <w:sz w:val="21"/>
                <w:szCs w:val="21"/>
              </w:rPr>
              <w:t>CIS</w:t>
            </w:r>
            <w:r>
              <w:rPr>
                <w:rFonts w:ascii="Calibri" w:eastAsia="Times New Roman" w:hAnsi="Calibri" w:cs="Calibri"/>
                <w:color w:val="333333"/>
                <w:sz w:val="21"/>
                <w:szCs w:val="21"/>
              </w:rPr>
              <w:t xml:space="preserve"> </w:t>
            </w:r>
          </w:p>
        </w:tc>
      </w:tr>
      <w:tr w:rsidR="001D212D" w14:paraId="52D21BAB" w14:textId="77777777" w:rsidTr="00C4212F">
        <w:trPr>
          <w:gridAfter w:val="2"/>
          <w:tblCellSpacing w:w="15" w:type="dxa"/>
        </w:trPr>
        <w:tc>
          <w:tcPr>
            <w:tcW w:w="2175" w:type="dxa"/>
            <w:tcMar>
              <w:top w:w="120" w:type="dxa"/>
              <w:left w:w="75" w:type="dxa"/>
              <w:bottom w:w="75" w:type="dxa"/>
              <w:right w:w="75" w:type="dxa"/>
            </w:tcMar>
            <w:vAlign w:val="center"/>
            <w:hideMark/>
          </w:tcPr>
          <w:p w14:paraId="7A0B4F69" w14:textId="77777777" w:rsidR="001D212D" w:rsidRDefault="001D212D" w:rsidP="00C4212F">
            <w:pPr>
              <w:rPr>
                <w:rFonts w:ascii="Calibri" w:eastAsia="Times New Roman" w:hAnsi="Calibri" w:cs="Calibri"/>
                <w:color w:val="333333"/>
                <w:sz w:val="23"/>
                <w:szCs w:val="23"/>
              </w:rPr>
            </w:pPr>
            <w:r>
              <w:rPr>
                <w:rFonts w:ascii="Calibri" w:eastAsia="Times New Roman" w:hAnsi="Calibri" w:cs="Calibri"/>
                <w:color w:val="333333"/>
                <w:sz w:val="23"/>
                <w:szCs w:val="23"/>
              </w:rPr>
              <w:t>Course Number</w:t>
            </w:r>
          </w:p>
        </w:tc>
        <w:tc>
          <w:tcPr>
            <w:tcW w:w="0" w:type="auto"/>
            <w:tcMar>
              <w:top w:w="75" w:type="dxa"/>
              <w:left w:w="75" w:type="dxa"/>
              <w:bottom w:w="75" w:type="dxa"/>
              <w:right w:w="75" w:type="dxa"/>
            </w:tcMar>
            <w:vAlign w:val="center"/>
            <w:hideMark/>
          </w:tcPr>
          <w:p w14:paraId="1EF25C78" w14:textId="77777777" w:rsidR="001D212D" w:rsidRDefault="001D212D" w:rsidP="00C4212F">
            <w:pPr>
              <w:rPr>
                <w:rFonts w:ascii="Calibri" w:eastAsia="Times New Roman" w:hAnsi="Calibri" w:cs="Calibri"/>
                <w:color w:val="333333"/>
                <w:sz w:val="21"/>
                <w:szCs w:val="21"/>
              </w:rPr>
            </w:pPr>
            <w:r>
              <w:rPr>
                <w:rFonts w:ascii="Calibri" w:eastAsia="Times New Roman" w:hAnsi="Calibri" w:cs="Calibri"/>
                <w:color w:val="333333"/>
                <w:sz w:val="21"/>
                <w:szCs w:val="21"/>
              </w:rPr>
              <w:t xml:space="preserve">182 </w:t>
            </w:r>
            <w:r>
              <w:rPr>
                <w:rStyle w:val="hidden1"/>
                <w:rFonts w:ascii="Calibri" w:eastAsia="Times New Roman" w:hAnsi="Calibri" w:cs="Calibri"/>
                <w:color w:val="333333"/>
                <w:sz w:val="21"/>
                <w:szCs w:val="21"/>
              </w:rPr>
              <w:t>182</w:t>
            </w:r>
            <w:r>
              <w:rPr>
                <w:rFonts w:ascii="Calibri" w:eastAsia="Times New Roman" w:hAnsi="Calibri" w:cs="Calibri"/>
                <w:color w:val="333333"/>
                <w:sz w:val="21"/>
                <w:szCs w:val="21"/>
              </w:rPr>
              <w:t xml:space="preserve"> </w:t>
            </w:r>
          </w:p>
        </w:tc>
      </w:tr>
      <w:tr w:rsidR="001D212D" w14:paraId="5BA65493" w14:textId="77777777" w:rsidTr="00C4212F">
        <w:trPr>
          <w:tblCellSpacing w:w="15" w:type="dxa"/>
        </w:trPr>
        <w:tc>
          <w:tcPr>
            <w:tcW w:w="2175" w:type="dxa"/>
            <w:tcMar>
              <w:top w:w="120" w:type="dxa"/>
              <w:left w:w="75" w:type="dxa"/>
              <w:bottom w:w="75" w:type="dxa"/>
              <w:right w:w="75" w:type="dxa"/>
            </w:tcMar>
            <w:vAlign w:val="center"/>
            <w:hideMark/>
          </w:tcPr>
          <w:p w14:paraId="617C522D" w14:textId="77777777" w:rsidR="001D212D" w:rsidRDefault="001D212D" w:rsidP="00C4212F">
            <w:pPr>
              <w:rPr>
                <w:rFonts w:ascii="Calibri" w:eastAsia="Times New Roman" w:hAnsi="Calibri" w:cs="Calibri"/>
                <w:color w:val="333333"/>
                <w:sz w:val="23"/>
                <w:szCs w:val="23"/>
              </w:rPr>
            </w:pPr>
            <w:r>
              <w:rPr>
                <w:rFonts w:ascii="Calibri" w:eastAsia="Times New Roman" w:hAnsi="Calibri" w:cs="Calibri"/>
                <w:color w:val="333333"/>
                <w:sz w:val="23"/>
                <w:szCs w:val="23"/>
              </w:rPr>
              <w:t>Course Title</w:t>
            </w:r>
          </w:p>
        </w:tc>
        <w:tc>
          <w:tcPr>
            <w:tcW w:w="0" w:type="auto"/>
            <w:gridSpan w:val="3"/>
            <w:tcMar>
              <w:top w:w="75" w:type="dxa"/>
              <w:left w:w="75" w:type="dxa"/>
              <w:bottom w:w="75" w:type="dxa"/>
              <w:right w:w="75" w:type="dxa"/>
            </w:tcMar>
            <w:vAlign w:val="center"/>
            <w:hideMark/>
          </w:tcPr>
          <w:p w14:paraId="79696721" w14:textId="77777777" w:rsidR="001D212D" w:rsidRDefault="001D212D" w:rsidP="00C4212F">
            <w:pPr>
              <w:rPr>
                <w:rFonts w:ascii="Calibri" w:eastAsia="Times New Roman" w:hAnsi="Calibri" w:cs="Calibri"/>
                <w:color w:val="333333"/>
                <w:sz w:val="21"/>
                <w:szCs w:val="21"/>
              </w:rPr>
            </w:pPr>
            <w:r>
              <w:rPr>
                <w:rFonts w:ascii="Calibri" w:eastAsia="Times New Roman" w:hAnsi="Calibri" w:cs="Calibri"/>
                <w:color w:val="333333"/>
                <w:sz w:val="21"/>
                <w:szCs w:val="21"/>
              </w:rPr>
              <w:t xml:space="preserve">Introduction to Cloud Computing </w:t>
            </w:r>
            <w:r>
              <w:rPr>
                <w:rStyle w:val="hidden1"/>
                <w:rFonts w:ascii="Calibri" w:eastAsia="Times New Roman" w:hAnsi="Calibri" w:cs="Calibri"/>
                <w:color w:val="333333"/>
                <w:sz w:val="21"/>
                <w:szCs w:val="21"/>
              </w:rPr>
              <w:t>Introduction to Cloud Computing</w:t>
            </w:r>
            <w:r>
              <w:rPr>
                <w:rFonts w:ascii="Calibri" w:eastAsia="Times New Roman" w:hAnsi="Calibri" w:cs="Calibri"/>
                <w:color w:val="333333"/>
                <w:sz w:val="21"/>
                <w:szCs w:val="21"/>
              </w:rPr>
              <w:t xml:space="preserve"> </w:t>
            </w:r>
          </w:p>
        </w:tc>
      </w:tr>
      <w:tr w:rsidR="001D212D" w14:paraId="39564E3D" w14:textId="77777777" w:rsidTr="00C4212F">
        <w:trPr>
          <w:gridAfter w:val="1"/>
          <w:tblCellSpacing w:w="15" w:type="dxa"/>
        </w:trPr>
        <w:tc>
          <w:tcPr>
            <w:tcW w:w="2175" w:type="dxa"/>
            <w:tcMar>
              <w:top w:w="120" w:type="dxa"/>
              <w:left w:w="75" w:type="dxa"/>
              <w:bottom w:w="75" w:type="dxa"/>
              <w:right w:w="75" w:type="dxa"/>
            </w:tcMar>
            <w:hideMark/>
          </w:tcPr>
          <w:p w14:paraId="17076159" w14:textId="77777777" w:rsidR="001D212D" w:rsidRDefault="001D212D" w:rsidP="00C4212F">
            <w:pPr>
              <w:rPr>
                <w:rFonts w:ascii="Calibri" w:eastAsia="Times New Roman" w:hAnsi="Calibri" w:cs="Calibri"/>
                <w:color w:val="333333"/>
                <w:sz w:val="23"/>
                <w:szCs w:val="23"/>
              </w:rPr>
            </w:pPr>
            <w:r>
              <w:rPr>
                <w:rFonts w:ascii="Calibri" w:eastAsia="Times New Roman" w:hAnsi="Calibri" w:cs="Calibri"/>
                <w:color w:val="333333"/>
                <w:sz w:val="23"/>
                <w:szCs w:val="23"/>
              </w:rPr>
              <w:t>Course Description</w:t>
            </w:r>
          </w:p>
        </w:tc>
        <w:tc>
          <w:tcPr>
            <w:tcW w:w="0" w:type="auto"/>
            <w:gridSpan w:val="2"/>
            <w:tcMar>
              <w:top w:w="75" w:type="dxa"/>
              <w:left w:w="75" w:type="dxa"/>
              <w:bottom w:w="75" w:type="dxa"/>
              <w:right w:w="75" w:type="dxa"/>
            </w:tcMar>
            <w:vAlign w:val="center"/>
            <w:hideMark/>
          </w:tcPr>
          <w:p w14:paraId="112E53EC" w14:textId="77777777" w:rsidR="001D212D" w:rsidRDefault="001D212D" w:rsidP="00C4212F">
            <w:pPr>
              <w:rPr>
                <w:rFonts w:ascii="Calibri" w:eastAsia="Times New Roman" w:hAnsi="Calibri" w:cs="Calibri"/>
                <w:color w:val="333333"/>
                <w:sz w:val="21"/>
                <w:szCs w:val="21"/>
              </w:rPr>
            </w:pPr>
            <w:r>
              <w:rPr>
                <w:rFonts w:ascii="Calibri" w:eastAsia="Times New Roman" w:hAnsi="Calibri" w:cs="Calibri"/>
                <w:color w:val="333333"/>
                <w:sz w:val="21"/>
                <w:szCs w:val="21"/>
              </w:rPr>
              <w:t xml:space="preserve">Provides a strong foundation in the principles, planning, and design of cloud computing infrastructures, with an emphasis on security. Discusses deployment of cloud services, storage, networking, cloud operations, </w:t>
            </w:r>
            <w:proofErr w:type="gramStart"/>
            <w:r>
              <w:rPr>
                <w:rFonts w:ascii="Calibri" w:eastAsia="Times New Roman" w:hAnsi="Calibri" w:cs="Calibri"/>
                <w:color w:val="333333"/>
                <w:sz w:val="21"/>
                <w:szCs w:val="21"/>
              </w:rPr>
              <w:t>support</w:t>
            </w:r>
            <w:proofErr w:type="gramEnd"/>
            <w:r>
              <w:rPr>
                <w:rFonts w:ascii="Calibri" w:eastAsia="Times New Roman" w:hAnsi="Calibri" w:cs="Calibri"/>
                <w:color w:val="333333"/>
                <w:sz w:val="21"/>
                <w:szCs w:val="21"/>
              </w:rPr>
              <w:t xml:space="preserve"> and troubleshooting. Discusses and compares cloud providers. Recommended: CIS 121. Audit available.</w:t>
            </w:r>
            <w:r>
              <w:rPr>
                <w:rStyle w:val="hidden1"/>
                <w:rFonts w:ascii="Calibri" w:eastAsia="Times New Roman" w:hAnsi="Calibri" w:cs="Calibri"/>
                <w:color w:val="333333"/>
                <w:sz w:val="21"/>
                <w:szCs w:val="21"/>
              </w:rPr>
              <w:t>Provides a strong foundation in the principles, planning, and design of cloud computing infrastructures, with an emphasis on security. Discusses deployment of cloud services, storage, networking, cloud operations, support and troubleshooting. Discusses and compares cloud providers. Recommended: CIS 121. Audit available.</w:t>
            </w:r>
          </w:p>
        </w:tc>
      </w:tr>
      <w:tr w:rsidR="001D212D" w14:paraId="4F157B7E" w14:textId="77777777" w:rsidTr="00C4212F">
        <w:trPr>
          <w:tblCellSpacing w:w="15" w:type="dxa"/>
        </w:trPr>
        <w:tc>
          <w:tcPr>
            <w:tcW w:w="2175" w:type="dxa"/>
            <w:tcMar>
              <w:top w:w="120" w:type="dxa"/>
              <w:left w:w="75" w:type="dxa"/>
              <w:bottom w:w="75" w:type="dxa"/>
              <w:right w:w="75" w:type="dxa"/>
            </w:tcMar>
            <w:hideMark/>
          </w:tcPr>
          <w:p w14:paraId="3F045B45" w14:textId="77777777" w:rsidR="001D212D" w:rsidRDefault="001D212D" w:rsidP="00C4212F">
            <w:pPr>
              <w:rPr>
                <w:rFonts w:ascii="Calibri" w:eastAsia="Times New Roman" w:hAnsi="Calibri" w:cs="Calibri"/>
                <w:color w:val="333333"/>
                <w:sz w:val="23"/>
                <w:szCs w:val="23"/>
              </w:rPr>
            </w:pPr>
            <w:r>
              <w:rPr>
                <w:rFonts w:ascii="Calibri" w:eastAsia="Times New Roman" w:hAnsi="Calibri" w:cs="Calibri"/>
                <w:color w:val="333333"/>
                <w:sz w:val="23"/>
                <w:szCs w:val="23"/>
              </w:rPr>
              <w:t>Outcomes</w:t>
            </w:r>
          </w:p>
        </w:tc>
        <w:tc>
          <w:tcPr>
            <w:tcW w:w="0" w:type="auto"/>
            <w:gridSpan w:val="3"/>
            <w:tcMar>
              <w:top w:w="75" w:type="dxa"/>
              <w:left w:w="75" w:type="dxa"/>
              <w:bottom w:w="75" w:type="dxa"/>
              <w:right w:w="75" w:type="dxa"/>
            </w:tcMar>
            <w:vAlign w:val="center"/>
            <w:hideMark/>
          </w:tcPr>
          <w:p w14:paraId="252E2921" w14:textId="77777777" w:rsidR="001D212D" w:rsidRDefault="001D212D" w:rsidP="00C4212F">
            <w:pPr>
              <w:spacing w:after="100" w:afterAutospacing="1"/>
              <w:rPr>
                <w:rFonts w:ascii="Calibri" w:hAnsi="Calibri" w:cs="Calibri"/>
                <w:vanish/>
                <w:color w:val="333333"/>
                <w:sz w:val="21"/>
                <w:szCs w:val="21"/>
              </w:rPr>
            </w:pPr>
            <w:r>
              <w:rPr>
                <w:rStyle w:val="Strong"/>
                <w:rFonts w:ascii="Calibri" w:hAnsi="Calibri" w:cs="Calibri"/>
                <w:vanish/>
                <w:color w:val="333333"/>
                <w:sz w:val="21"/>
                <w:szCs w:val="21"/>
              </w:rPr>
              <w:t>Integrative Learning</w:t>
            </w:r>
            <w:r>
              <w:rPr>
                <w:rFonts w:ascii="Calibri" w:hAnsi="Calibri" w:cs="Calibri"/>
                <w:vanish/>
                <w:color w:val="333333"/>
                <w:sz w:val="21"/>
                <w:szCs w:val="21"/>
              </w:rPr>
              <w:t>: Students completing an associate degree will be able to reflectively make connections among concepts and experiences so that knowledge and skills can be applied to issues and/or challenges of lived experience.</w:t>
            </w:r>
          </w:p>
          <w:p w14:paraId="76ECA044" w14:textId="77777777" w:rsidR="001D212D" w:rsidRDefault="001D212D" w:rsidP="00C4212F">
            <w:pPr>
              <w:spacing w:after="100" w:afterAutospacing="1"/>
              <w:rPr>
                <w:rFonts w:ascii="Calibri" w:hAnsi="Calibri" w:cs="Calibri"/>
                <w:vanish/>
                <w:color w:val="333333"/>
                <w:sz w:val="21"/>
                <w:szCs w:val="21"/>
              </w:rPr>
            </w:pPr>
            <w:r>
              <w:rPr>
                <w:rStyle w:val="Strong"/>
                <w:rFonts w:ascii="Calibri" w:hAnsi="Calibri" w:cs="Calibri"/>
                <w:vanish/>
                <w:color w:val="333333"/>
                <w:sz w:val="21"/>
                <w:szCs w:val="21"/>
              </w:rPr>
              <w:t>Social Analysis and Inquiry</w:t>
            </w:r>
            <w:r>
              <w:rPr>
                <w:rFonts w:ascii="Calibri" w:hAnsi="Calibri" w:cs="Calibri"/>
                <w:vanish/>
                <w:color w:val="333333"/>
                <w:sz w:val="21"/>
                <w:szCs w:val="21"/>
              </w:rPr>
              <w:t xml:space="preserve">: Students completing an associate degree will be able to apply social contexts and the diversity of human experience to the analysis of practical problems and theoretical issues. </w:t>
            </w:r>
          </w:p>
          <w:p w14:paraId="6ECD4344" w14:textId="77777777" w:rsidR="001D212D" w:rsidRDefault="001D212D" w:rsidP="00C4212F">
            <w:pPr>
              <w:spacing w:after="100" w:afterAutospacing="1"/>
              <w:rPr>
                <w:rFonts w:ascii="Calibri" w:hAnsi="Calibri" w:cs="Calibri"/>
                <w:vanish/>
                <w:color w:val="333333"/>
                <w:sz w:val="21"/>
                <w:szCs w:val="21"/>
              </w:rPr>
            </w:pPr>
            <w:r>
              <w:rPr>
                <w:rStyle w:val="Strong"/>
                <w:rFonts w:ascii="Calibri" w:hAnsi="Calibri" w:cs="Calibri"/>
                <w:vanish/>
                <w:color w:val="333333"/>
                <w:sz w:val="21"/>
                <w:szCs w:val="21"/>
              </w:rPr>
              <w:t>Quantitative Reasoning</w:t>
            </w:r>
            <w:r>
              <w:rPr>
                <w:rFonts w:ascii="Calibri" w:hAnsi="Calibri" w:cs="Calibri"/>
                <w:vanish/>
                <w:color w:val="333333"/>
                <w:sz w:val="21"/>
                <w:szCs w:val="21"/>
              </w:rPr>
              <w:t xml:space="preserve">: Students completing an associate degree will be able to effectively analyze problems that impact the community and/or environment using quantitative information. </w:t>
            </w:r>
          </w:p>
          <w:p w14:paraId="539A7D91" w14:textId="77777777" w:rsidR="001D212D" w:rsidRDefault="001D212D" w:rsidP="00C4212F">
            <w:pPr>
              <w:spacing w:after="100" w:afterAutospacing="1"/>
              <w:rPr>
                <w:rFonts w:ascii="Calibri" w:hAnsi="Calibri" w:cs="Calibri"/>
                <w:vanish/>
                <w:color w:val="333333"/>
                <w:sz w:val="21"/>
                <w:szCs w:val="21"/>
              </w:rPr>
            </w:pPr>
            <w:r>
              <w:rPr>
                <w:rStyle w:val="Strong"/>
                <w:rFonts w:ascii="Calibri" w:hAnsi="Calibri" w:cs="Calibri"/>
                <w:vanish/>
                <w:color w:val="333333"/>
                <w:sz w:val="21"/>
                <w:szCs w:val="21"/>
              </w:rPr>
              <w:t>Social Justice</w:t>
            </w:r>
            <w:r>
              <w:rPr>
                <w:rFonts w:ascii="Calibri" w:hAnsi="Calibri" w:cs="Calibri"/>
                <w:vanish/>
                <w:color w:val="333333"/>
                <w:sz w:val="21"/>
                <w:szCs w:val="21"/>
              </w:rPr>
              <w:t>: Students completing an associate degree at Portland Community College will be able to develop capacity to create social change through analysis of institutions, culture, and systems of power.</w:t>
            </w:r>
          </w:p>
          <w:p w14:paraId="68CFF2DF" w14:textId="77777777" w:rsidR="001D212D" w:rsidRDefault="001D212D" w:rsidP="00C4212F">
            <w:pPr>
              <w:spacing w:after="100" w:afterAutospacing="1"/>
              <w:rPr>
                <w:rFonts w:ascii="Calibri" w:hAnsi="Calibri" w:cs="Calibri"/>
                <w:color w:val="333333"/>
                <w:sz w:val="21"/>
                <w:szCs w:val="21"/>
              </w:rPr>
            </w:pPr>
            <w:r>
              <w:rPr>
                <w:rFonts w:ascii="Calibri" w:hAnsi="Calibri" w:cs="Calibri"/>
                <w:color w:val="333333"/>
                <w:sz w:val="21"/>
                <w:szCs w:val="21"/>
              </w:rPr>
              <w:t>Upon completion of the course students should be able to:</w:t>
            </w:r>
          </w:p>
          <w:p w14:paraId="0CA554FE" w14:textId="77777777" w:rsidR="001D212D" w:rsidRDefault="001D212D" w:rsidP="001D212D">
            <w:pPr>
              <w:numPr>
                <w:ilvl w:val="0"/>
                <w:numId w:val="1"/>
              </w:numPr>
              <w:spacing w:before="100" w:beforeAutospacing="1" w:after="100" w:afterAutospacing="1"/>
              <w:rPr>
                <w:rFonts w:ascii="Calibri" w:eastAsia="Times New Roman" w:hAnsi="Calibri" w:cs="Calibri"/>
                <w:color w:val="333333"/>
                <w:sz w:val="21"/>
                <w:szCs w:val="21"/>
              </w:rPr>
            </w:pPr>
            <w:r>
              <w:rPr>
                <w:rFonts w:ascii="Calibri" w:eastAsia="Times New Roman" w:hAnsi="Calibri" w:cs="Calibri"/>
                <w:color w:val="333333"/>
                <w:sz w:val="21"/>
                <w:szCs w:val="21"/>
              </w:rPr>
              <w:t>Describe fundamental concepts of cloud computing using industry standard terminology.</w:t>
            </w:r>
          </w:p>
          <w:p w14:paraId="3DBA510A" w14:textId="77777777" w:rsidR="001D212D" w:rsidRDefault="001D212D" w:rsidP="001D212D">
            <w:pPr>
              <w:numPr>
                <w:ilvl w:val="0"/>
                <w:numId w:val="1"/>
              </w:numPr>
              <w:spacing w:before="100" w:beforeAutospacing="1" w:after="100" w:afterAutospacing="1"/>
              <w:rPr>
                <w:rFonts w:ascii="Calibri" w:eastAsia="Times New Roman" w:hAnsi="Calibri" w:cs="Calibri"/>
                <w:color w:val="333333"/>
                <w:sz w:val="21"/>
                <w:szCs w:val="21"/>
              </w:rPr>
            </w:pPr>
            <w:r>
              <w:rPr>
                <w:rFonts w:ascii="Calibri" w:eastAsia="Times New Roman" w:hAnsi="Calibri" w:cs="Calibri"/>
                <w:color w:val="333333"/>
                <w:sz w:val="21"/>
                <w:szCs w:val="21"/>
              </w:rPr>
              <w:t>Discuss security concerns related to cloud computing.</w:t>
            </w:r>
          </w:p>
          <w:p w14:paraId="2FC3D263" w14:textId="77777777" w:rsidR="001D212D" w:rsidRDefault="001D212D" w:rsidP="001D212D">
            <w:pPr>
              <w:numPr>
                <w:ilvl w:val="0"/>
                <w:numId w:val="1"/>
              </w:numPr>
              <w:spacing w:before="100" w:beforeAutospacing="1" w:after="100" w:afterAutospacing="1"/>
              <w:rPr>
                <w:rFonts w:ascii="Calibri" w:eastAsia="Times New Roman" w:hAnsi="Calibri" w:cs="Calibri"/>
                <w:color w:val="333333"/>
                <w:sz w:val="21"/>
                <w:szCs w:val="21"/>
              </w:rPr>
            </w:pPr>
            <w:r>
              <w:rPr>
                <w:rFonts w:ascii="Calibri" w:eastAsia="Times New Roman" w:hAnsi="Calibri" w:cs="Calibri"/>
                <w:color w:val="333333"/>
                <w:sz w:val="21"/>
                <w:szCs w:val="21"/>
              </w:rPr>
              <w:t>Compare and contrast providers for cloud computing.</w:t>
            </w:r>
          </w:p>
          <w:p w14:paraId="066AED12" w14:textId="77777777" w:rsidR="001D212D" w:rsidRDefault="001D212D" w:rsidP="001D212D">
            <w:pPr>
              <w:numPr>
                <w:ilvl w:val="0"/>
                <w:numId w:val="1"/>
              </w:numPr>
              <w:spacing w:before="100" w:beforeAutospacing="1" w:after="100" w:afterAutospacing="1"/>
              <w:rPr>
                <w:rFonts w:ascii="Calibri" w:eastAsia="Times New Roman" w:hAnsi="Calibri" w:cs="Calibri"/>
                <w:color w:val="333333"/>
                <w:sz w:val="21"/>
                <w:szCs w:val="21"/>
              </w:rPr>
            </w:pPr>
            <w:r>
              <w:rPr>
                <w:rFonts w:ascii="Calibri" w:eastAsia="Times New Roman" w:hAnsi="Calibri" w:cs="Calibri"/>
                <w:color w:val="333333"/>
                <w:sz w:val="21"/>
                <w:szCs w:val="21"/>
              </w:rPr>
              <w:t>Perform basic tasks using a cloud computing platform.</w:t>
            </w:r>
          </w:p>
        </w:tc>
      </w:tr>
    </w:tbl>
    <w:p w14:paraId="635ACF52" w14:textId="77777777" w:rsidR="001E54C7" w:rsidRDefault="001E54C7"/>
    <w:sectPr w:rsidR="001E54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D4642A"/>
    <w:multiLevelType w:val="multilevel"/>
    <w:tmpl w:val="E34EC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02737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12D"/>
    <w:rsid w:val="001D212D"/>
    <w:rsid w:val="001E54C7"/>
    <w:rsid w:val="00AF18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AC36A"/>
  <w15:chartTrackingRefBased/>
  <w15:docId w15:val="{C01D2B7F-DDEA-47C9-BCFC-19797F027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212D"/>
    <w:pPr>
      <w:spacing w:after="0" w:line="240" w:lineRule="auto"/>
    </w:pPr>
    <w:rPr>
      <w:rFonts w:ascii="Times New Roman" w:hAnsi="Times New Roman" w:cs="Times New Roman"/>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idden1">
    <w:name w:val="hidden1"/>
    <w:basedOn w:val="DefaultParagraphFont"/>
    <w:rsid w:val="001D212D"/>
    <w:rPr>
      <w:vanish/>
      <w:webHidden w:val="0"/>
      <w:specVanish w:val="0"/>
    </w:rPr>
  </w:style>
  <w:style w:type="character" w:styleId="Strong">
    <w:name w:val="Strong"/>
    <w:basedOn w:val="DefaultParagraphFont"/>
    <w:uiPriority w:val="22"/>
    <w:qFormat/>
    <w:rsid w:val="001D212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294</Words>
  <Characters>1677</Characters>
  <Application>Microsoft Office Word</Application>
  <DocSecurity>0</DocSecurity>
  <Lines>13</Lines>
  <Paragraphs>3</Paragraphs>
  <ScaleCrop>false</ScaleCrop>
  <Company/>
  <LinksUpToDate>false</LinksUpToDate>
  <CharactersWithSpaces>1968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Goodman</dc:creator>
  <cp:keywords/>
  <dc:description/>
  <cp:lastModifiedBy>Marc Goodman</cp:lastModifiedBy>
  <cp:revision>1</cp:revision>
  <dcterms:created xsi:type="dcterms:W3CDTF">2023-10-13T06:31:00Z</dcterms:created>
  <dcterms:modified xsi:type="dcterms:W3CDTF">2023-10-13T06:31:00Z</dcterms:modified>
</cp:coreProperties>
</file>