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z w:val="36"/>
          <w:highlight w:val="none"/>
          <w:rtl w:val="0"/>
        </w:rPr>
        <w:t xml:space="preserve">Oregon State University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z w:val="36"/>
          <w:highlight w:val="none"/>
          <w:rtl w:val="0"/>
        </w:rPr>
        <w:t xml:space="preserve">2012 URC</w:t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sz w:val="36"/>
          <w:highlight w:val="none"/>
          <w:rtl w:val="0"/>
        </w:rPr>
        <w:t xml:space="preserve">RF Communication Systems &amp; FCC Licensing Overview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Still Image Transmission System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Communications standard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IEEE 802.15.4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Operating bandwidth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2.4000GHz - 2.4835GHz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RF transmission in specified bandwidth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YES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RF reception in specified bandwidth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YES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Transmission power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+17.8dBm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Vehicle ERP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+23.8dBm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Base station ERP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+29.8dBm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Duty cycle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Intermittent transmission during operation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Inactive on demand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bandwidth allocation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ISM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licensing requirements</w:t>
      </w:r>
    </w:p>
    <w:p w:rsidDel="00000000" w:rsidRDefault="00000000" w:rsidR="00000000" w:rsidRPr="00000000" w:rsidP="00000000">
      <w:pPr>
        <w:numPr>
          <w:ilvl w:val="1"/>
          <w:numId w:val="3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None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Video Transmission System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Communications standard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Analog FM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Operating bandwidth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980MHz - 1040MHz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RF transmission in specified bandwidth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YES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RF reception in specified bandwidth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NO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Transmission power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+37dBm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Vehicle ERP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+43dBm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Duty cycle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Always transmitting during operation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Inactive on demand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bandwidth allocation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Aeronautical radionavigation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licensing requirements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Technician's license required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License holder: Matt Shuman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Control &amp; Telemetry Transmission System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Communication standard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Proprietary FHSS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Operating bandwidth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2.4000GHz - 2.4835GHz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Transmission power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+30dBm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Vehicle ERP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+36dBm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Base station ERP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+42dBm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Duty cycle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Intermittent transmission during operation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Inactive on demand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bandwidth allocation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ISM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FCC licensing requirements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sz w:val="20"/>
          <w:highlight w:val="none"/>
          <w:rtl w:val="0"/>
        </w:rPr>
        <w:t xml:space="preserve">None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FCC overview.docx</dc:title>
</cp:coreProperties>
</file>