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08CF4CC6" w:rsidR="0003309E" w:rsidRPr="00711C16" w:rsidRDefault="00EA39CC" w:rsidP="00585A13">
            <w:pPr>
              <w:jc w:val="both"/>
              <w:rPr>
                <w:rFonts w:ascii="Calibri" w:hAnsi="Calibri" w:cs="Arial"/>
                <w:i/>
                <w:color w:val="548DD4"/>
                <w:sz w:val="20"/>
                <w:szCs w:val="20"/>
                <w:lang w:eastAsia="es-CL"/>
              </w:rPr>
            </w:pPr>
            <w:r w:rsidRPr="00EA39CC">
              <w:rPr>
                <w:rFonts w:ascii="Calibri" w:hAnsi="Calibri" w:cs="Arial"/>
                <w:i/>
                <w:color w:val="548DD4"/>
                <w:sz w:val="20"/>
                <w:szCs w:val="20"/>
                <w:lang w:eastAsia="es-CL"/>
              </w:rPr>
              <w:t>Durante esta fase del Proyecto APT se han cumplido la mayoría de las actividades planificadas dentro de los tiempos estimados. La implementación base del backend de AkiraFlex, el diseño de arquitectura multi-tenant y la estructura de datos fueron completados sin retrasos significativos.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61"/>
        <w:gridCol w:w="992"/>
        <w:gridCol w:w="992"/>
        <w:gridCol w:w="567"/>
        <w:gridCol w:w="2410"/>
        <w:gridCol w:w="1276"/>
        <w:gridCol w:w="1417"/>
      </w:tblGrid>
      <w:tr w:rsidR="00FD5149" w:rsidRPr="006E3B0D" w14:paraId="66FA4353" w14:textId="77777777" w:rsidTr="00EA39CC">
        <w:trPr>
          <w:trHeight w:val="415"/>
        </w:trPr>
        <w:tc>
          <w:tcPr>
            <w:tcW w:w="10343"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C73C61">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61"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992"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567"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241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76"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417"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C73C61">
        <w:trPr>
          <w:trHeight w:val="1666"/>
        </w:trPr>
        <w:tc>
          <w:tcPr>
            <w:tcW w:w="1328" w:type="dxa"/>
          </w:tcPr>
          <w:p w14:paraId="29F01B29" w14:textId="0E6DC3D0" w:rsidR="00FD5149" w:rsidRPr="006E3B0D" w:rsidRDefault="00EA39CC" w:rsidP="00FD5149">
            <w:pPr>
              <w:jc w:val="both"/>
              <w:rPr>
                <w:b/>
                <w:sz w:val="18"/>
                <w:szCs w:val="24"/>
              </w:rPr>
            </w:pPr>
            <w:r w:rsidRPr="00EA39CC">
              <w:rPr>
                <w:rFonts w:ascii="Calibri" w:hAnsi="Calibri" w:cs="Arial"/>
                <w:i/>
                <w:color w:val="548DD4"/>
                <w:sz w:val="18"/>
                <w:szCs w:val="20"/>
                <w:lang w:eastAsia="es-CL"/>
              </w:rPr>
              <w:t>Diseño de soluciones informáticas y modelado de datos</w:t>
            </w:r>
          </w:p>
        </w:tc>
        <w:tc>
          <w:tcPr>
            <w:tcW w:w="1361" w:type="dxa"/>
          </w:tcPr>
          <w:p w14:paraId="7B4EBE25" w14:textId="6A1B3819" w:rsidR="00FD5149" w:rsidRPr="006E3B0D"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Arquitectura multi-tenant y estructura de base de datos</w:t>
            </w:r>
          </w:p>
        </w:tc>
        <w:tc>
          <w:tcPr>
            <w:tcW w:w="992" w:type="dxa"/>
          </w:tcPr>
          <w:p w14:paraId="16E191DF" w14:textId="273A47C4" w:rsidR="00FD5149" w:rsidRPr="006E3B0D" w:rsidRDefault="00EA39CC" w:rsidP="00FD5149">
            <w:pPr>
              <w:jc w:val="both"/>
              <w:rPr>
                <w:b/>
                <w:sz w:val="18"/>
                <w:szCs w:val="24"/>
              </w:rPr>
            </w:pPr>
            <w:r w:rsidRPr="00EA39CC">
              <w:rPr>
                <w:rFonts w:ascii="Calibri" w:hAnsi="Calibri" w:cs="Arial"/>
                <w:i/>
                <w:color w:val="548DD4"/>
                <w:sz w:val="18"/>
                <w:szCs w:val="20"/>
                <w:lang w:eastAsia="es-CL"/>
              </w:rPr>
              <w:t>Diagramas, PostgreSQL, documentación técnica</w:t>
            </w:r>
          </w:p>
        </w:tc>
        <w:tc>
          <w:tcPr>
            <w:tcW w:w="992" w:type="dxa"/>
          </w:tcPr>
          <w:p w14:paraId="66A5D860" w14:textId="613FBB7E" w:rsidR="00FD5149" w:rsidRPr="006E3B0D" w:rsidRDefault="00EA39CC" w:rsidP="00FD5149">
            <w:pPr>
              <w:jc w:val="both"/>
              <w:rPr>
                <w:b/>
                <w:sz w:val="18"/>
                <w:szCs w:val="24"/>
              </w:rPr>
            </w:pPr>
            <w:r>
              <w:rPr>
                <w:rFonts w:ascii="Calibri" w:hAnsi="Calibri" w:cs="Arial"/>
                <w:i/>
                <w:color w:val="548DD4"/>
                <w:sz w:val="18"/>
                <w:szCs w:val="20"/>
                <w:lang w:eastAsia="es-CL"/>
              </w:rPr>
              <w:t xml:space="preserve">1 </w:t>
            </w:r>
            <w:r w:rsidR="00C73C61">
              <w:rPr>
                <w:rFonts w:ascii="Calibri" w:hAnsi="Calibri" w:cs="Arial"/>
                <w:i/>
                <w:color w:val="548DD4"/>
                <w:sz w:val="18"/>
                <w:szCs w:val="20"/>
                <w:lang w:eastAsia="es-CL"/>
              </w:rPr>
              <w:t>semana</w:t>
            </w:r>
          </w:p>
        </w:tc>
        <w:tc>
          <w:tcPr>
            <w:tcW w:w="567" w:type="dxa"/>
          </w:tcPr>
          <w:p w14:paraId="036AB5D8" w14:textId="1EBD8BED" w:rsidR="00FD5149" w:rsidRPr="006E3B0D" w:rsidRDefault="00EA39CC"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Orel</w:t>
            </w:r>
          </w:p>
        </w:tc>
        <w:tc>
          <w:tcPr>
            <w:tcW w:w="2410" w:type="dxa"/>
          </w:tcPr>
          <w:p w14:paraId="2FCEC037" w14:textId="2AB52DC6" w:rsidR="00FD5149" w:rsidRPr="006E3B0D"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Complejidad para asegurar aislamiento por cliente; se solucionó mediante iteraciones y revisión técnica</w:t>
            </w:r>
          </w:p>
        </w:tc>
        <w:tc>
          <w:tcPr>
            <w:tcW w:w="1276" w:type="dxa"/>
          </w:tcPr>
          <w:p w14:paraId="2163602D" w14:textId="2BAE786E" w:rsidR="00FD5149" w:rsidRPr="00E54467" w:rsidRDefault="00EA39CC"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p>
        </w:tc>
        <w:tc>
          <w:tcPr>
            <w:tcW w:w="1417" w:type="dxa"/>
          </w:tcPr>
          <w:p w14:paraId="7C6D6F31" w14:textId="2F151C5F" w:rsidR="00FD5149" w:rsidRPr="006E3B0D"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Ajuste: se extendió el análisis técnico sin afectar el cronograma</w:t>
            </w:r>
          </w:p>
        </w:tc>
      </w:tr>
      <w:tr w:rsidR="00EA39CC" w:rsidRPr="006E3B0D" w14:paraId="56FD5DF2" w14:textId="77777777" w:rsidTr="00C73C61">
        <w:trPr>
          <w:trHeight w:val="1690"/>
        </w:trPr>
        <w:tc>
          <w:tcPr>
            <w:tcW w:w="1328" w:type="dxa"/>
          </w:tcPr>
          <w:p w14:paraId="7B797C77" w14:textId="0C78EA09" w:rsidR="00EA39CC" w:rsidRP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Desarrollo e integración tecnológica</w:t>
            </w:r>
          </w:p>
        </w:tc>
        <w:tc>
          <w:tcPr>
            <w:tcW w:w="1361" w:type="dxa"/>
          </w:tcPr>
          <w:p w14:paraId="7EA8CAE0" w14:textId="1005F6EC" w:rsidR="00EA39CC" w:rsidRP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Implementación del backend (autenticación, usuarios y roles)</w:t>
            </w:r>
          </w:p>
        </w:tc>
        <w:tc>
          <w:tcPr>
            <w:tcW w:w="992" w:type="dxa"/>
          </w:tcPr>
          <w:p w14:paraId="2C7BF813" w14:textId="026C8D99" w:rsidR="00EA39CC" w:rsidRP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NestJS, Postman, repositorio Git</w:t>
            </w:r>
          </w:p>
        </w:tc>
        <w:tc>
          <w:tcPr>
            <w:tcW w:w="992" w:type="dxa"/>
          </w:tcPr>
          <w:p w14:paraId="2AE8BEC1" w14:textId="2AD9B832" w:rsid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1–2 semanas</w:t>
            </w:r>
          </w:p>
        </w:tc>
        <w:tc>
          <w:tcPr>
            <w:tcW w:w="567" w:type="dxa"/>
          </w:tcPr>
          <w:p w14:paraId="3DEAC163" w14:textId="661195A1" w:rsid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Orel</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A39CC" w:rsidRPr="00EA39CC" w14:paraId="1A063CB9" w14:textId="77777777">
              <w:trPr>
                <w:tblCellSpacing w:w="15" w:type="dxa"/>
              </w:trPr>
              <w:tc>
                <w:tcPr>
                  <w:tcW w:w="36" w:type="dxa"/>
                  <w:vAlign w:val="center"/>
                  <w:hideMark/>
                </w:tcPr>
                <w:p w14:paraId="55438305" w14:textId="77777777" w:rsidR="00EA39CC" w:rsidRPr="00EA39CC" w:rsidRDefault="00EA39CC" w:rsidP="00EA39CC">
                  <w:pPr>
                    <w:framePr w:hSpace="180" w:wrap="around" w:vAnchor="page" w:hAnchor="margin" w:xAlign="center" w:y="3517"/>
                    <w:jc w:val="both"/>
                    <w:rPr>
                      <w:rFonts w:ascii="Calibri" w:hAnsi="Calibri" w:cs="Arial"/>
                      <w:i/>
                      <w:color w:val="548DD4"/>
                      <w:sz w:val="18"/>
                      <w:szCs w:val="20"/>
                      <w:lang w:eastAsia="es-CL"/>
                    </w:rPr>
                  </w:pPr>
                </w:p>
              </w:tc>
            </w:tr>
          </w:tbl>
          <w:p w14:paraId="7C5439E1" w14:textId="11420D23" w:rsidR="00EA39CC" w:rsidRPr="00EA39CC" w:rsidRDefault="00EA39CC" w:rsidP="00EA39CC">
            <w:pPr>
              <w:jc w:val="both"/>
              <w:rPr>
                <w:rFonts w:ascii="Calibri" w:hAnsi="Calibri" w:cs="Arial"/>
                <w:i/>
                <w:vanish/>
                <w:color w:val="548DD4"/>
                <w:sz w:val="18"/>
                <w:szCs w:val="20"/>
                <w:lang w:eastAsia="es-CL"/>
              </w:rPr>
            </w:pPr>
            <w:r w:rsidRPr="00EA39CC">
              <w:rPr>
                <w:rFonts w:ascii="Calibri" w:hAnsi="Calibri" w:cs="Arial"/>
                <w:i/>
                <w:color w:val="548DD4"/>
                <w:sz w:val="18"/>
                <w:szCs w:val="20"/>
                <w:lang w:eastAsia="es-CL"/>
              </w:rPr>
              <w:t>Requiere pruebas adicionales; facilitó buen diseño modular y seguridad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8"/>
            </w:tblGrid>
            <w:tr w:rsidR="00EA39CC" w:rsidRPr="00EA39CC" w14:paraId="3BC5DFAD" w14:textId="77777777">
              <w:trPr>
                <w:tblCellSpacing w:w="15" w:type="dxa"/>
              </w:trPr>
              <w:tc>
                <w:tcPr>
                  <w:tcW w:w="8028" w:type="dxa"/>
                  <w:vAlign w:val="center"/>
                  <w:hideMark/>
                </w:tcPr>
                <w:p w14:paraId="463D612D" w14:textId="1106F3A4" w:rsidR="00EA39CC" w:rsidRPr="00EA39CC" w:rsidRDefault="00EA39CC" w:rsidP="00EA39CC">
                  <w:pPr>
                    <w:framePr w:hSpace="180" w:wrap="around" w:vAnchor="page" w:hAnchor="margin" w:xAlign="center" w:y="3517"/>
                    <w:jc w:val="both"/>
                    <w:rPr>
                      <w:rFonts w:ascii="Calibri" w:hAnsi="Calibri" w:cs="Arial"/>
                      <w:i/>
                      <w:color w:val="548DD4"/>
                      <w:sz w:val="18"/>
                      <w:szCs w:val="20"/>
                      <w:lang w:eastAsia="es-CL"/>
                    </w:rPr>
                  </w:pPr>
                </w:p>
              </w:tc>
            </w:tr>
          </w:tbl>
          <w:p w14:paraId="7209D38B" w14:textId="77777777" w:rsidR="00EA39CC" w:rsidRPr="00EA39CC" w:rsidRDefault="00EA39CC" w:rsidP="00FD5149">
            <w:pPr>
              <w:jc w:val="both"/>
              <w:rPr>
                <w:rFonts w:ascii="Calibri" w:hAnsi="Calibri" w:cs="Arial"/>
                <w:i/>
                <w:color w:val="548DD4"/>
                <w:sz w:val="18"/>
                <w:szCs w:val="20"/>
                <w:lang w:eastAsia="es-CL"/>
              </w:rPr>
            </w:pPr>
          </w:p>
        </w:tc>
        <w:tc>
          <w:tcPr>
            <w:tcW w:w="1276" w:type="dxa"/>
          </w:tcPr>
          <w:p w14:paraId="7E0580DD" w14:textId="31AFE8EA" w:rsid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En curso</w:t>
            </w:r>
          </w:p>
        </w:tc>
        <w:tc>
          <w:tcPr>
            <w:tcW w:w="1417" w:type="dxa"/>
          </w:tcPr>
          <w:p w14:paraId="342DAAC7" w14:textId="0F08A793" w:rsidR="00EA39CC" w:rsidRP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Ajuste menor: se incorporarán pruebas adicionales antes del cierre</w:t>
            </w:r>
          </w:p>
        </w:tc>
      </w:tr>
      <w:tr w:rsidR="00EA39CC" w:rsidRPr="006E3B0D" w14:paraId="240BACAD" w14:textId="77777777" w:rsidTr="00C73C61">
        <w:trPr>
          <w:trHeight w:val="2410"/>
        </w:trPr>
        <w:tc>
          <w:tcPr>
            <w:tcW w:w="1328" w:type="dxa"/>
          </w:tcPr>
          <w:p w14:paraId="506CD18B" w14:textId="6B46B21A" w:rsidR="00EA39CC" w:rsidRP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UI y experiencia de usuario</w:t>
            </w:r>
          </w:p>
        </w:tc>
        <w:tc>
          <w:tcPr>
            <w:tcW w:w="1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A39CC" w:rsidRPr="00EA39CC" w14:paraId="1FCD8803" w14:textId="77777777">
              <w:trPr>
                <w:tblCellSpacing w:w="15" w:type="dxa"/>
              </w:trPr>
              <w:tc>
                <w:tcPr>
                  <w:tcW w:w="36" w:type="dxa"/>
                  <w:vAlign w:val="center"/>
                  <w:hideMark/>
                </w:tcPr>
                <w:p w14:paraId="7264CB06" w14:textId="77777777" w:rsidR="00EA39CC" w:rsidRPr="00EA39CC" w:rsidRDefault="00EA39CC" w:rsidP="00EA39CC">
                  <w:pPr>
                    <w:framePr w:hSpace="180" w:wrap="around" w:vAnchor="page" w:hAnchor="margin" w:xAlign="center" w:y="3517"/>
                    <w:jc w:val="both"/>
                    <w:rPr>
                      <w:rFonts w:ascii="Calibri" w:hAnsi="Calibri" w:cs="Arial"/>
                      <w:i/>
                      <w:color w:val="548DD4"/>
                      <w:sz w:val="18"/>
                      <w:szCs w:val="20"/>
                      <w:lang w:eastAsia="es-CL"/>
                    </w:rPr>
                  </w:pPr>
                </w:p>
              </w:tc>
            </w:tr>
          </w:tbl>
          <w:p w14:paraId="2AE7A50C" w14:textId="77777777" w:rsidR="00EA39CC" w:rsidRPr="00EA39CC" w:rsidRDefault="00EA39CC" w:rsidP="00EA39CC">
            <w:pPr>
              <w:jc w:val="both"/>
              <w:rPr>
                <w:rFonts w:ascii="Calibri" w:hAnsi="Calibri" w:cs="Arial"/>
                <w:i/>
                <w:vanish/>
                <w:color w:val="548DD4"/>
                <w:sz w:val="18"/>
                <w:szCs w:val="20"/>
                <w:lang w:eastAsia="es-CL"/>
              </w:rPr>
            </w:pPr>
          </w:p>
          <w:p w14:paraId="79AF981C" w14:textId="7D6BB00D" w:rsidR="00EA39CC" w:rsidRPr="00EA39CC" w:rsidRDefault="00EA39CC" w:rsidP="00FD5149">
            <w:pPr>
              <w:jc w:val="both"/>
              <w:rPr>
                <w:rFonts w:ascii="Calibri" w:hAnsi="Calibri" w:cs="Arial"/>
                <w:i/>
                <w:color w:val="548DD4"/>
                <w:sz w:val="18"/>
                <w:szCs w:val="20"/>
                <w:lang w:eastAsia="es-CL"/>
              </w:rPr>
            </w:pPr>
            <w:r w:rsidRPr="00EA39CC">
              <w:rPr>
                <w:rFonts w:ascii="Calibri" w:hAnsi="Calibri" w:cs="Arial"/>
                <w:i/>
                <w:color w:val="548DD4"/>
                <w:sz w:val="18"/>
                <w:szCs w:val="20"/>
                <w:lang w:eastAsia="es-CL"/>
              </w:rPr>
              <w:t>Desarrollo mínimo del frontend para login y navegación</w:t>
            </w:r>
          </w:p>
        </w:tc>
        <w:tc>
          <w:tcPr>
            <w:tcW w:w="992" w:type="dxa"/>
          </w:tcPr>
          <w:p w14:paraId="606B6979" w14:textId="23AB623C" w:rsidR="00EA39CC" w:rsidRPr="00EA39CC"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Angular, librerías UI, Figma</w:t>
            </w:r>
          </w:p>
        </w:tc>
        <w:tc>
          <w:tcPr>
            <w:tcW w:w="992" w:type="dxa"/>
          </w:tcPr>
          <w:p w14:paraId="13BA382D" w14:textId="5B8FE02D" w:rsidR="00EA39CC" w:rsidRPr="00EA39CC"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1 semana</w:t>
            </w:r>
          </w:p>
        </w:tc>
        <w:tc>
          <w:tcPr>
            <w:tcW w:w="567" w:type="dxa"/>
          </w:tcPr>
          <w:p w14:paraId="6A09DB6E" w14:textId="7B7C5567" w:rsidR="00EA39CC" w:rsidRPr="00EA39CC"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Orel</w:t>
            </w:r>
          </w:p>
        </w:tc>
        <w:tc>
          <w:tcPr>
            <w:tcW w:w="2410" w:type="dxa"/>
          </w:tcPr>
          <w:p w14:paraId="1733F6EF" w14:textId="460B79A2" w:rsidR="00EA39CC" w:rsidRPr="00EA39CC" w:rsidRDefault="00C73C61" w:rsidP="00EA39CC">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Interfaz adaptable sin bloqueos técnicos; no hay retrasos relevantes</w:t>
            </w:r>
          </w:p>
        </w:tc>
        <w:tc>
          <w:tcPr>
            <w:tcW w:w="1276" w:type="dxa"/>
          </w:tcPr>
          <w:p w14:paraId="3F94FED9" w14:textId="344AEA53" w:rsidR="00EA39CC" w:rsidRPr="00EA39CC"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En curso</w:t>
            </w:r>
          </w:p>
        </w:tc>
        <w:tc>
          <w:tcPr>
            <w:tcW w:w="1417" w:type="dxa"/>
          </w:tcPr>
          <w:p w14:paraId="5201A45F" w14:textId="60DD771D" w:rsidR="00EA39CC" w:rsidRPr="00EA39CC"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Ajuste: se mejorará visual para consolidar experiencia del usuario</w:t>
            </w:r>
          </w:p>
        </w:tc>
      </w:tr>
      <w:tr w:rsidR="00C73C61" w:rsidRPr="006E3B0D" w14:paraId="62EB4F77" w14:textId="77777777" w:rsidTr="00C73C61">
        <w:trPr>
          <w:trHeight w:val="1409"/>
        </w:trPr>
        <w:tc>
          <w:tcPr>
            <w:tcW w:w="1328" w:type="dxa"/>
          </w:tcPr>
          <w:p w14:paraId="25CD9AA8" w14:textId="42E84F80" w:rsidR="00C73C61" w:rsidRPr="00EA39CC"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Aseguramiento de calidad y documentación</w:t>
            </w:r>
          </w:p>
        </w:tc>
        <w:tc>
          <w:tcPr>
            <w:tcW w:w="1361" w:type="dxa"/>
          </w:tcPr>
          <w:p w14:paraId="5BB2F533" w14:textId="2E743289" w:rsidR="00C73C61" w:rsidRPr="00EA39CC" w:rsidRDefault="00C73C61" w:rsidP="00EA39CC">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Testing funcional inicial y documentación técnica</w:t>
            </w:r>
          </w:p>
        </w:tc>
        <w:tc>
          <w:tcPr>
            <w:tcW w:w="992" w:type="dxa"/>
          </w:tcPr>
          <w:p w14:paraId="7B757B04" w14:textId="5BDF6FB1" w:rsidR="00C73C61" w:rsidRPr="00C73C61"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Postman, testing manual, editor de documentación</w:t>
            </w:r>
          </w:p>
        </w:tc>
        <w:tc>
          <w:tcPr>
            <w:tcW w:w="992" w:type="dxa"/>
          </w:tcPr>
          <w:p w14:paraId="64FD5252" w14:textId="723D5175" w:rsidR="00C73C61" w:rsidRPr="00C73C61"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3–4 días</w:t>
            </w:r>
          </w:p>
        </w:tc>
        <w:tc>
          <w:tcPr>
            <w:tcW w:w="567" w:type="dxa"/>
          </w:tcPr>
          <w:p w14:paraId="654BF605" w14:textId="45BC61EE" w:rsidR="00C73C61" w:rsidRPr="00C73C61" w:rsidRDefault="00C73C61"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Orel</w:t>
            </w:r>
          </w:p>
        </w:tc>
        <w:tc>
          <w:tcPr>
            <w:tcW w:w="2410" w:type="dxa"/>
          </w:tcPr>
          <w:p w14:paraId="2E29FCAD" w14:textId="34064F66" w:rsidR="00C73C61" w:rsidRPr="00C73C61" w:rsidRDefault="00C73C61" w:rsidP="00EA39CC">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Depende</w:t>
            </w:r>
            <w:r>
              <w:rPr>
                <w:rFonts w:ascii="Calibri" w:hAnsi="Calibri" w:cs="Arial"/>
                <w:i/>
                <w:color w:val="548DD4"/>
                <w:sz w:val="18"/>
                <w:szCs w:val="20"/>
                <w:lang w:eastAsia="es-CL"/>
              </w:rPr>
              <w:t xml:space="preserve"> </w:t>
            </w:r>
            <w:r w:rsidRPr="00C73C61">
              <w:rPr>
                <w:rFonts w:ascii="Calibri" w:hAnsi="Calibri" w:cs="Arial"/>
                <w:i/>
                <w:color w:val="548DD4"/>
                <w:sz w:val="18"/>
                <w:szCs w:val="20"/>
                <w:lang w:eastAsia="es-CL"/>
              </w:rPr>
              <w:t>de consolidación del backend; se prevén correcciones menores</w:t>
            </w:r>
          </w:p>
        </w:tc>
        <w:tc>
          <w:tcPr>
            <w:tcW w:w="1276" w:type="dxa"/>
          </w:tcPr>
          <w:p w14:paraId="1BCF510A" w14:textId="3FDE880E" w:rsidR="00C73C61" w:rsidRPr="00C73C61"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No iniciado</w:t>
            </w:r>
          </w:p>
        </w:tc>
        <w:tc>
          <w:tcPr>
            <w:tcW w:w="1417" w:type="dxa"/>
          </w:tcPr>
          <w:p w14:paraId="7B64BE74" w14:textId="61D315AA" w:rsidR="00C73C61" w:rsidRPr="00C73C61" w:rsidRDefault="00C73C61" w:rsidP="00FD5149">
            <w:pPr>
              <w:jc w:val="both"/>
              <w:rPr>
                <w:rFonts w:ascii="Calibri" w:hAnsi="Calibri" w:cs="Arial"/>
                <w:i/>
                <w:color w:val="548DD4"/>
                <w:sz w:val="18"/>
                <w:szCs w:val="20"/>
                <w:lang w:eastAsia="es-CL"/>
              </w:rPr>
            </w:pPr>
            <w:r w:rsidRPr="00C73C61">
              <w:rPr>
                <w:rFonts w:ascii="Calibri" w:hAnsi="Calibri" w:cs="Arial"/>
                <w:i/>
                <w:color w:val="548DD4"/>
                <w:sz w:val="18"/>
                <w:szCs w:val="20"/>
                <w:lang w:eastAsia="es-CL"/>
              </w:rPr>
              <w:t>Sin ajustes, se realizará al finalizar integración backend + UI</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lastRenderedPageBreak/>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769454E" w14:textId="1AC79C4C" w:rsidR="00C73C61" w:rsidRPr="00C73C61" w:rsidRDefault="0003309E" w:rsidP="00C73C61">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C73C61" w:rsidRPr="00C73C61">
              <w:rPr>
                <w:rFonts w:ascii="Times New Roman" w:eastAsia="Times New Roman" w:hAnsi="Times New Roman" w:cs="Times New Roman"/>
                <w:sz w:val="24"/>
                <w:szCs w:val="24"/>
                <w:lang w:eastAsia="es-CL"/>
              </w:rPr>
              <w:t xml:space="preserve"> </w:t>
            </w:r>
            <w:r w:rsidR="00C73C61" w:rsidRPr="00C73C61">
              <w:rPr>
                <w:rFonts w:ascii="Calibri" w:hAnsi="Calibri" w:cs="Arial"/>
                <w:i/>
                <w:iCs/>
                <w:color w:val="548DD4"/>
                <w:sz w:val="20"/>
                <w:szCs w:val="20"/>
                <w:lang w:eastAsia="es-CL"/>
              </w:rPr>
              <w:t>El desarrollo del proyecto se ha visto facilitado por una buena planificación inicial, el uso de tecnologías conocidas (NestJS, Angular, PostgreSQL) y la claridad del alcance funcional. Esto permitió avanzar de forma incremental sin pérdidas de tiempo y con control sobre cada fase. También fue clave la disponibilidad de documentación técnica y el trabajo autónomo continuo, que ayudaron a cumplir las actividades en los plazos estimados.</w:t>
            </w:r>
          </w:p>
          <w:p w14:paraId="55313032" w14:textId="168ABDFE" w:rsidR="0003309E" w:rsidRPr="00C73C61" w:rsidRDefault="00C73C61" w:rsidP="00C5122E">
            <w:pPr>
              <w:jc w:val="both"/>
              <w:rPr>
                <w:rFonts w:ascii="Calibri" w:hAnsi="Calibri" w:cs="Arial"/>
                <w:i/>
                <w:iCs/>
                <w:color w:val="548DD4"/>
                <w:sz w:val="20"/>
                <w:szCs w:val="20"/>
                <w:lang w:eastAsia="es-CL"/>
              </w:rPr>
            </w:pPr>
            <w:r w:rsidRPr="00C73C61">
              <w:rPr>
                <w:rFonts w:ascii="Calibri" w:hAnsi="Calibri" w:cs="Arial"/>
                <w:i/>
                <w:iCs/>
                <w:color w:val="548DD4"/>
                <w:sz w:val="20"/>
                <w:szCs w:val="20"/>
                <w:lang w:eastAsia="es-CL"/>
              </w:rPr>
              <w:t xml:space="preserve">Como principal dificultad surgió el diseño del modelo </w:t>
            </w:r>
            <w:r w:rsidRPr="00C73C61">
              <w:rPr>
                <w:rFonts w:ascii="Calibri" w:hAnsi="Calibri" w:cs="Arial"/>
                <w:b/>
                <w:bCs/>
                <w:i/>
                <w:iCs/>
                <w:color w:val="548DD4"/>
                <w:sz w:val="20"/>
                <w:szCs w:val="20"/>
                <w:lang w:eastAsia="es-CL"/>
              </w:rPr>
              <w:t>multi-tenant</w:t>
            </w:r>
            <w:r w:rsidRPr="00C73C61">
              <w:rPr>
                <w:rFonts w:ascii="Calibri" w:hAnsi="Calibri" w:cs="Arial"/>
                <w:i/>
                <w:iCs/>
                <w:color w:val="548DD4"/>
                <w:sz w:val="20"/>
                <w:szCs w:val="20"/>
                <w:lang w:eastAsia="es-CL"/>
              </w:rPr>
              <w:t>, debido a la necesidad de asegurar aislamiento de datos, seguridad y rendimiento. Para solucionarlo, realicé varias iteraciones arquitectónicas, comparé enfoques, revisé documentación y ajusté micro-tareas sin modificar el cronograma general. Las dificultades técnicas se convirtieron en una oportunidad de aprendizaje, ya que fortalecieron el entendimiento del sistema y evitaron errores futuros. En caso de nuevos problemas, continuaré aplicando la misma estrategia incremental: pruebas tempranas, revisión técnica, validación de decisiones y ajustes controlados.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838B436" w14:textId="6DE06785" w:rsidR="00C73C61" w:rsidRPr="00C73C61" w:rsidRDefault="0003309E" w:rsidP="00C73C61">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C73C61" w:rsidRPr="00C73C61">
              <w:rPr>
                <w:rFonts w:ascii="Times New Roman" w:eastAsia="Times New Roman" w:hAnsi="Times New Roman" w:cs="Times New Roman"/>
                <w:sz w:val="24"/>
                <w:szCs w:val="24"/>
                <w:lang w:eastAsia="es-CL"/>
              </w:rPr>
              <w:t xml:space="preserve"> </w:t>
            </w:r>
            <w:r w:rsidR="00C73C61" w:rsidRPr="00C73C61">
              <w:rPr>
                <w:rFonts w:ascii="Calibri" w:hAnsi="Calibri" w:cs="Arial"/>
                <w:i/>
                <w:color w:val="548DD4"/>
                <w:sz w:val="20"/>
                <w:szCs w:val="20"/>
                <w:lang w:eastAsia="es-CL"/>
              </w:rPr>
              <w:t xml:space="preserve">El plan de trabajo no requirió eliminación de actividades, ya que todas fueron necesarias para avanzar de manera incremental en el desarrollo del sistema AkiraFlex. Sin embargo, se realizó un </w:t>
            </w:r>
            <w:r w:rsidR="00C73C61" w:rsidRPr="00C73C61">
              <w:rPr>
                <w:rFonts w:ascii="Calibri" w:hAnsi="Calibri" w:cs="Arial"/>
                <w:b/>
                <w:bCs/>
                <w:i/>
                <w:color w:val="548DD4"/>
                <w:sz w:val="20"/>
                <w:szCs w:val="20"/>
                <w:lang w:eastAsia="es-CL"/>
              </w:rPr>
              <w:t>ajuste en la duración de la tarea de diseño arquitectónico y modelo multi-tenant</w:t>
            </w:r>
            <w:r w:rsidR="00C73C61" w:rsidRPr="00C73C61">
              <w:rPr>
                <w:rFonts w:ascii="Calibri" w:hAnsi="Calibri" w:cs="Arial"/>
                <w:i/>
                <w:color w:val="548DD4"/>
                <w:sz w:val="20"/>
                <w:szCs w:val="20"/>
                <w:lang w:eastAsia="es-CL"/>
              </w:rPr>
              <w:t>, debido a que la definición del aislamiento por cliente y la validación de consultas requirieron mayor análisis del previsto.</w:t>
            </w:r>
          </w:p>
          <w:p w14:paraId="3B4EBD17" w14:textId="7B435617" w:rsidR="0003309E" w:rsidRPr="00711C16" w:rsidRDefault="00C73C61" w:rsidP="00C73C61">
            <w:pPr>
              <w:jc w:val="both"/>
              <w:rPr>
                <w:rFonts w:ascii="Calibri" w:hAnsi="Calibri" w:cs="Arial"/>
                <w:i/>
                <w:color w:val="548DD4"/>
                <w:sz w:val="20"/>
                <w:szCs w:val="20"/>
                <w:lang w:eastAsia="es-CL"/>
              </w:rPr>
            </w:pPr>
            <w:r w:rsidRPr="00C73C61">
              <w:rPr>
                <w:rFonts w:ascii="Calibri" w:hAnsi="Calibri" w:cs="Arial"/>
                <w:i/>
                <w:color w:val="548DD4"/>
                <w:sz w:val="20"/>
                <w:szCs w:val="20"/>
                <w:lang w:eastAsia="es-CL"/>
              </w:rPr>
              <w:t>Este ajuste no afectó el cronograma ni el alcance del proyecto porque se compensó con trabajo autónomo, documentación previa y planificación flexible. Los facilitadores que permitieron mantener el plan original fueron: claridad del alcance, uso de tecnologías conocidas, dedicación constante y una metodología incremental que permitió absorber el tiempo adicional sin retrasos en los entregables</w:t>
            </w:r>
            <w:r>
              <w:rPr>
                <w:rFonts w:ascii="Calibri" w:hAnsi="Calibri" w:cs="Arial"/>
                <w:i/>
                <w:color w:val="548DD4"/>
                <w:sz w:val="20"/>
                <w:szCs w:val="20"/>
                <w:lang w:eastAsia="es-CL"/>
              </w:rPr>
              <w:t>.</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DB15133" w14:textId="30856A51" w:rsidR="00C73C61" w:rsidRPr="00C73C61" w:rsidRDefault="0003309E" w:rsidP="00C73C61">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sidR="00C73C61" w:rsidRPr="00C73C61">
              <w:rPr>
                <w:rFonts w:ascii="Times New Roman" w:eastAsia="Times New Roman" w:hAnsi="Times New Roman" w:cs="Times New Roman"/>
                <w:sz w:val="24"/>
                <w:szCs w:val="24"/>
                <w:lang w:eastAsia="es-CL"/>
              </w:rPr>
              <w:t xml:space="preserve"> </w:t>
            </w:r>
            <w:r w:rsidR="00C73C61" w:rsidRPr="00C73C61">
              <w:rPr>
                <w:rFonts w:ascii="Calibri" w:hAnsi="Calibri" w:cs="Arial"/>
                <w:i/>
                <w:color w:val="548DD4"/>
                <w:sz w:val="20"/>
                <w:szCs w:val="20"/>
                <w:lang w:eastAsia="es-CL"/>
              </w:rPr>
              <w:t>No se identifican actividades pendientes ni retrasadas respecto a la planificación inicial del proyecto. Aunque algunas tareas, como el análisis arquitectónico multi-tenant, requirieron mayor tiempo de revisión técnica, el ajuste fue absorbido dentro del mismo período sin afectar el cronograma general ni los entregables planificados.</w:t>
            </w:r>
          </w:p>
          <w:p w14:paraId="47ABBD27" w14:textId="7828FADD" w:rsidR="0003309E" w:rsidRPr="00711C16" w:rsidRDefault="00C73C61" w:rsidP="00585A13">
            <w:pPr>
              <w:jc w:val="both"/>
              <w:rPr>
                <w:rFonts w:ascii="Calibri" w:hAnsi="Calibri" w:cs="Arial"/>
                <w:i/>
                <w:color w:val="548DD4"/>
                <w:sz w:val="20"/>
                <w:szCs w:val="20"/>
                <w:lang w:eastAsia="es-CL"/>
              </w:rPr>
            </w:pPr>
            <w:r w:rsidRPr="00C73C61">
              <w:rPr>
                <w:rFonts w:ascii="Calibri" w:hAnsi="Calibri" w:cs="Arial"/>
                <w:i/>
                <w:color w:val="548DD4"/>
                <w:sz w:val="20"/>
                <w:szCs w:val="20"/>
                <w:lang w:eastAsia="es-CL"/>
              </w:rPr>
              <w:t>El cumplimiento efectivo se logró gracias a una planificación flexible, priorización incremental, trabajo autónomo constante y disponibilidad de recursos técnicos. Si alguna actividad futura presentara riesgo de retraso, se aplicará la misma estrategia utilizada anteriormente: dividir el problema en tareas más pequeñas, validar alternativas técnicas con anticipación y ajustar los micro-plazos sin modificar el alcance total del proyecto.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EA85" w14:textId="77777777" w:rsidR="00A53255" w:rsidRDefault="00A53255" w:rsidP="0003309E">
      <w:pPr>
        <w:spacing w:after="0" w:line="240" w:lineRule="auto"/>
      </w:pPr>
      <w:r>
        <w:separator/>
      </w:r>
    </w:p>
  </w:endnote>
  <w:endnote w:type="continuationSeparator" w:id="0">
    <w:p w14:paraId="6909E358" w14:textId="77777777" w:rsidR="00A53255" w:rsidRDefault="00A5325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81C6" w14:textId="77777777" w:rsidR="00A53255" w:rsidRDefault="00A53255" w:rsidP="0003309E">
      <w:pPr>
        <w:spacing w:after="0" w:line="240" w:lineRule="auto"/>
      </w:pPr>
      <w:r>
        <w:separator/>
      </w:r>
    </w:p>
  </w:footnote>
  <w:footnote w:type="continuationSeparator" w:id="0">
    <w:p w14:paraId="22680A12" w14:textId="77777777" w:rsidR="00A53255" w:rsidRDefault="00A53255"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7945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6F1F72"/>
    <w:rsid w:val="00806DE0"/>
    <w:rsid w:val="0081536B"/>
    <w:rsid w:val="008479F5"/>
    <w:rsid w:val="0085275A"/>
    <w:rsid w:val="008F621F"/>
    <w:rsid w:val="009378F7"/>
    <w:rsid w:val="009552E5"/>
    <w:rsid w:val="00976ABB"/>
    <w:rsid w:val="009E52DF"/>
    <w:rsid w:val="00A53255"/>
    <w:rsid w:val="00B31361"/>
    <w:rsid w:val="00B4258F"/>
    <w:rsid w:val="00B8164D"/>
    <w:rsid w:val="00BE1024"/>
    <w:rsid w:val="00C20F3D"/>
    <w:rsid w:val="00C44557"/>
    <w:rsid w:val="00C5122E"/>
    <w:rsid w:val="00C73C61"/>
    <w:rsid w:val="00CE0AA8"/>
    <w:rsid w:val="00D67975"/>
    <w:rsid w:val="00D714E2"/>
    <w:rsid w:val="00DF3386"/>
    <w:rsid w:val="00E50368"/>
    <w:rsid w:val="00EA0C09"/>
    <w:rsid w:val="00EA39CC"/>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C73C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886</Words>
  <Characters>4877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Constanza Gaete</cp:lastModifiedBy>
  <cp:revision>5</cp:revision>
  <dcterms:created xsi:type="dcterms:W3CDTF">2022-08-24T18:14:00Z</dcterms:created>
  <dcterms:modified xsi:type="dcterms:W3CDTF">2025-12-06T03:00:00Z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