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2C0D7" w14:textId="77777777" w:rsidR="00DE163C" w:rsidRPr="00DE163C" w:rsidRDefault="00DE163C" w:rsidP="00DE163C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BO"/>
        </w:rPr>
      </w:pPr>
      <w:r w:rsidRPr="00DE163C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s-BO"/>
        </w:rPr>
        <w:t>PARCIAL 1 — DETECCIONES SOLID</w:t>
      </w:r>
    </w:p>
    <w:p w14:paraId="024CF10B" w14:textId="77777777" w:rsidR="00DE163C" w:rsidRPr="00DE163C" w:rsidRDefault="00DE163C" w:rsidP="00DE163C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</w:pPr>
      <w:r w:rsidRPr="00DE163C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Ferretería "El Tornillo"</w:t>
      </w:r>
    </w:p>
    <w:p w14:paraId="5CC7ECEA" w14:textId="77777777" w:rsidR="00DE163C" w:rsidRPr="00DE163C" w:rsidRDefault="00DE163C" w:rsidP="00DE163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s-BO"/>
        </w:rPr>
      </w:pPr>
      <w:r w:rsidRPr="00DE163C">
        <w:rPr>
          <w:rFonts w:ascii="Verdana" w:eastAsia="Times New Roman" w:hAnsi="Verdana" w:cs="Times New Roman"/>
          <w:b/>
          <w:bCs/>
          <w:sz w:val="24"/>
          <w:szCs w:val="24"/>
          <w:lang w:eastAsia="es-BO"/>
        </w:rPr>
        <w:t>Nombre:</w:t>
      </w:r>
      <w:r w:rsidRPr="00DE163C">
        <w:rPr>
          <w:rFonts w:ascii="Verdana" w:eastAsia="Times New Roman" w:hAnsi="Verdana" w:cs="Times New Roman"/>
          <w:sz w:val="24"/>
          <w:szCs w:val="24"/>
          <w:lang w:eastAsia="es-BO"/>
        </w:rPr>
        <w:t xml:space="preserve"> Juvenal Orellana Almendras</w:t>
      </w:r>
    </w:p>
    <w:tbl>
      <w:tblPr>
        <w:tblStyle w:val="Tablaconcuadrcula"/>
        <w:tblW w:w="9923" w:type="dxa"/>
        <w:tblInd w:w="-289" w:type="dxa"/>
        <w:tblLook w:val="04A0" w:firstRow="1" w:lastRow="0" w:firstColumn="1" w:lastColumn="0" w:noHBand="0" w:noVBand="1"/>
      </w:tblPr>
      <w:tblGrid>
        <w:gridCol w:w="557"/>
        <w:gridCol w:w="2246"/>
        <w:gridCol w:w="4400"/>
        <w:gridCol w:w="2720"/>
      </w:tblGrid>
      <w:tr w:rsidR="00DE163C" w:rsidRPr="00DE163C" w14:paraId="1256AB03" w14:textId="77777777" w:rsidTr="00DE163C">
        <w:tc>
          <w:tcPr>
            <w:tcW w:w="714" w:type="dxa"/>
            <w:shd w:val="clear" w:color="auto" w:fill="4472C4" w:themeFill="accent1"/>
            <w:hideMark/>
          </w:tcPr>
          <w:p w14:paraId="7CD8B681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#</w:t>
            </w:r>
          </w:p>
        </w:tc>
        <w:tc>
          <w:tcPr>
            <w:tcW w:w="2689" w:type="dxa"/>
            <w:shd w:val="clear" w:color="auto" w:fill="4472C4" w:themeFill="accent1"/>
            <w:hideMark/>
          </w:tcPr>
          <w:p w14:paraId="20DE807B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Principio</w:t>
            </w:r>
          </w:p>
        </w:tc>
        <w:tc>
          <w:tcPr>
            <w:tcW w:w="3584" w:type="dxa"/>
            <w:shd w:val="clear" w:color="auto" w:fill="4472C4" w:themeFill="accent1"/>
            <w:hideMark/>
          </w:tcPr>
          <w:p w14:paraId="12F3ADDA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Clase y método</w:t>
            </w:r>
          </w:p>
        </w:tc>
        <w:tc>
          <w:tcPr>
            <w:tcW w:w="2936" w:type="dxa"/>
            <w:shd w:val="clear" w:color="auto" w:fill="4472C4" w:themeFill="accent1"/>
            <w:hideMark/>
          </w:tcPr>
          <w:p w14:paraId="29613C65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es-BO"/>
              </w:rPr>
              <w:t>¿Por qué es una violación?</w:t>
            </w:r>
          </w:p>
        </w:tc>
      </w:tr>
      <w:tr w:rsidR="00DE163C" w:rsidRPr="00DE163C" w14:paraId="7A0481C5" w14:textId="77777777" w:rsidTr="00DE163C">
        <w:tc>
          <w:tcPr>
            <w:tcW w:w="714" w:type="dxa"/>
            <w:shd w:val="clear" w:color="auto" w:fill="4472C4" w:themeFill="accent1"/>
            <w:hideMark/>
          </w:tcPr>
          <w:p w14:paraId="21EB4E09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2689" w:type="dxa"/>
            <w:hideMark/>
          </w:tcPr>
          <w:p w14:paraId="5B1D6EBC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S — Single </w:t>
            </w:r>
            <w:proofErr w:type="spellStart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Responsibility</w:t>
            </w:r>
            <w:proofErr w:type="spellEnd"/>
          </w:p>
        </w:tc>
        <w:tc>
          <w:tcPr>
            <w:tcW w:w="3584" w:type="dxa"/>
            <w:hideMark/>
          </w:tcPr>
          <w:p w14:paraId="132DF65F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proofErr w:type="spellStart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GestorDePedidos.ProcesarPedido</w:t>
            </w:r>
            <w:proofErr w:type="spellEnd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()</w:t>
            </w:r>
          </w:p>
        </w:tc>
        <w:tc>
          <w:tcPr>
            <w:tcW w:w="2936" w:type="dxa"/>
            <w:hideMark/>
          </w:tcPr>
          <w:p w14:paraId="65514658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El método realiza varias responsabilidades diferentes: calcula descuentos, guarda información en la base de datos, genera el comprobante y envía correos.</w:t>
            </w:r>
          </w:p>
        </w:tc>
      </w:tr>
      <w:tr w:rsidR="00DE163C" w:rsidRPr="00DE163C" w14:paraId="3999F667" w14:textId="77777777" w:rsidTr="00DE163C">
        <w:tc>
          <w:tcPr>
            <w:tcW w:w="714" w:type="dxa"/>
            <w:shd w:val="clear" w:color="auto" w:fill="4472C4" w:themeFill="accent1"/>
            <w:hideMark/>
          </w:tcPr>
          <w:p w14:paraId="19F360AC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2689" w:type="dxa"/>
            <w:hideMark/>
          </w:tcPr>
          <w:p w14:paraId="28D074F0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O — Open/</w:t>
            </w:r>
            <w:proofErr w:type="spellStart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Closed</w:t>
            </w:r>
            <w:proofErr w:type="spellEnd"/>
          </w:p>
        </w:tc>
        <w:tc>
          <w:tcPr>
            <w:tcW w:w="3584" w:type="dxa"/>
            <w:hideMark/>
          </w:tcPr>
          <w:p w14:paraId="6022D57B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proofErr w:type="spellStart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GestorDePedidos.ProcesarPedido</w:t>
            </w:r>
            <w:proofErr w:type="spellEnd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()</w:t>
            </w:r>
          </w:p>
        </w:tc>
        <w:tc>
          <w:tcPr>
            <w:tcW w:w="2936" w:type="dxa"/>
            <w:hideMark/>
          </w:tcPr>
          <w:p w14:paraId="3364B5A9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El descuento depende de un </w:t>
            </w:r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switch</w:t>
            </w: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 con tipos de cliente. Si aparece un nuevo tipo de cliente, es necesario modificar este método existente.</w:t>
            </w:r>
          </w:p>
        </w:tc>
      </w:tr>
      <w:tr w:rsidR="00DE163C" w:rsidRPr="00DE163C" w14:paraId="38240F5B" w14:textId="77777777" w:rsidTr="00DE163C">
        <w:tc>
          <w:tcPr>
            <w:tcW w:w="714" w:type="dxa"/>
            <w:shd w:val="clear" w:color="auto" w:fill="4472C4" w:themeFill="accent1"/>
            <w:hideMark/>
          </w:tcPr>
          <w:p w14:paraId="628E975F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2689" w:type="dxa"/>
            <w:hideMark/>
          </w:tcPr>
          <w:p w14:paraId="1351FC12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I — Interface </w:t>
            </w:r>
            <w:proofErr w:type="spellStart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Segregation</w:t>
            </w:r>
            <w:proofErr w:type="spellEnd"/>
          </w:p>
        </w:tc>
        <w:tc>
          <w:tcPr>
            <w:tcW w:w="3584" w:type="dxa"/>
            <w:hideMark/>
          </w:tcPr>
          <w:p w14:paraId="4B3FE8E0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proofErr w:type="spellStart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IEmpleadoDeFerreteria</w:t>
            </w:r>
            <w:proofErr w:type="spellEnd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 / </w:t>
            </w:r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Vendedor</w:t>
            </w:r>
          </w:p>
        </w:tc>
        <w:tc>
          <w:tcPr>
            <w:tcW w:w="2936" w:type="dxa"/>
            <w:hideMark/>
          </w:tcPr>
          <w:p w14:paraId="6DD5A4E6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La interfaz obliga al vendedor a implementar operaciones que no necesita, como autorizar ventas al por mayor, ajustar precios y ver reportes.</w:t>
            </w:r>
          </w:p>
        </w:tc>
      </w:tr>
      <w:tr w:rsidR="00DE163C" w:rsidRPr="00DE163C" w14:paraId="2906B27C" w14:textId="77777777" w:rsidTr="00DE163C">
        <w:tc>
          <w:tcPr>
            <w:tcW w:w="714" w:type="dxa"/>
            <w:shd w:val="clear" w:color="auto" w:fill="4472C4" w:themeFill="accent1"/>
            <w:hideMark/>
          </w:tcPr>
          <w:p w14:paraId="5A6DDD04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2689" w:type="dxa"/>
            <w:hideMark/>
          </w:tcPr>
          <w:p w14:paraId="43C4BCD1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D — </w:t>
            </w:r>
            <w:proofErr w:type="spellStart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Dependency</w:t>
            </w:r>
            <w:proofErr w:type="spellEnd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 </w:t>
            </w:r>
            <w:proofErr w:type="spellStart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Inversion</w:t>
            </w:r>
            <w:proofErr w:type="spellEnd"/>
          </w:p>
        </w:tc>
        <w:tc>
          <w:tcPr>
            <w:tcW w:w="3584" w:type="dxa"/>
            <w:hideMark/>
          </w:tcPr>
          <w:p w14:paraId="6D8C7A03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proofErr w:type="spellStart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GestorDePedidos.ProcesarPedido</w:t>
            </w:r>
            <w:proofErr w:type="spellEnd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()</w:t>
            </w:r>
          </w:p>
        </w:tc>
        <w:tc>
          <w:tcPr>
            <w:tcW w:w="2936" w:type="dxa"/>
            <w:hideMark/>
          </w:tcPr>
          <w:p w14:paraId="4131A7FF" w14:textId="77777777" w:rsidR="00DE163C" w:rsidRPr="00DE163C" w:rsidRDefault="00DE163C" w:rsidP="00DE163C">
            <w:pPr>
              <w:spacing w:after="480"/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</w:pPr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El gestor crea directamente </w:t>
            </w:r>
            <w:proofErr w:type="spellStart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BaseDeDatosMySql</w:t>
            </w:r>
            <w:proofErr w:type="spellEnd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 xml:space="preserve"> y </w:t>
            </w:r>
            <w:proofErr w:type="spellStart"/>
            <w:r w:rsidRPr="00DE163C">
              <w:rPr>
                <w:rFonts w:ascii="Verdana" w:eastAsia="Times New Roman" w:hAnsi="Verdana" w:cs="Courier New"/>
                <w:sz w:val="24"/>
                <w:szCs w:val="24"/>
                <w:lang w:eastAsia="es-BO"/>
              </w:rPr>
              <w:t>CorreoSmtp</w:t>
            </w:r>
            <w:proofErr w:type="spellEnd"/>
            <w:r w:rsidRPr="00DE163C">
              <w:rPr>
                <w:rFonts w:ascii="Verdana" w:eastAsia="Times New Roman" w:hAnsi="Verdana" w:cs="Times New Roman"/>
                <w:sz w:val="24"/>
                <w:szCs w:val="24"/>
                <w:lang w:eastAsia="es-BO"/>
              </w:rPr>
              <w:t>, por lo que depende de implementaciones concretas en lugar de contratos o interfaces.</w:t>
            </w:r>
          </w:p>
        </w:tc>
      </w:tr>
    </w:tbl>
    <w:p w14:paraId="671A4E5F" w14:textId="337109D0" w:rsidR="00DE163C" w:rsidRPr="00DE163C" w:rsidRDefault="00DE163C" w:rsidP="00DE163C">
      <w:pPr>
        <w:rPr>
          <w:rFonts w:ascii="Verdana" w:hAnsi="Verdana"/>
          <w:sz w:val="24"/>
          <w:szCs w:val="24"/>
        </w:rPr>
      </w:pPr>
    </w:p>
    <w:sectPr w:rsidR="00DE163C" w:rsidRPr="00DE163C" w:rsidSect="00DE16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3C"/>
    <w:rsid w:val="00DE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60EE"/>
  <w15:chartTrackingRefBased/>
  <w15:docId w15:val="{CA86B4D8-642A-4E65-87D2-269E3A58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1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DE1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63C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DE163C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DE1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DE163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E163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E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814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 orellana</dc:creator>
  <cp:keywords/>
  <dc:description/>
  <cp:lastModifiedBy>juve orellana</cp:lastModifiedBy>
  <cp:revision>1</cp:revision>
  <dcterms:created xsi:type="dcterms:W3CDTF">2026-09-07T23:39:00Z</dcterms:created>
  <dcterms:modified xsi:type="dcterms:W3CDTF">2026-09-07T23:44:00Z</dcterms:modified>
</cp:coreProperties>
</file>