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1591" w14:textId="77777777" w:rsidR="003E68A8" w:rsidRDefault="003E68A8" w:rsidP="003E68A8">
      <w:pPr>
        <w:pStyle w:val="whitespace-pre-wrap"/>
      </w:pPr>
      <w:r>
        <w:t>Oren Moreno</w:t>
      </w:r>
    </w:p>
    <w:p w14:paraId="70544326" w14:textId="77777777" w:rsidR="003E68A8" w:rsidRDefault="003E68A8" w:rsidP="003E68A8">
      <w:pPr>
        <w:pStyle w:val="whitespace-pre-wrap"/>
      </w:pPr>
      <w:r>
        <w:t>ITAI 3377</w:t>
      </w:r>
    </w:p>
    <w:p w14:paraId="6BA10316" w14:textId="355B26F2" w:rsidR="003E68A8" w:rsidRDefault="003E68A8" w:rsidP="003E68A8">
      <w:pPr>
        <w:pStyle w:val="whitespace-pre-wrap"/>
      </w:pPr>
      <w:r>
        <w:t>April 7</w:t>
      </w:r>
      <w:r>
        <w:t>, 2025</w:t>
      </w:r>
    </w:p>
    <w:p w14:paraId="1B004D9E" w14:textId="77777777" w:rsidR="003E68A8" w:rsidRDefault="003E68A8" w:rsidP="003E68A8">
      <w:pPr>
        <w:pStyle w:val="whitespace-pre-wrap"/>
      </w:pPr>
      <w:r>
        <w:t>Professor Patricia McManus</w:t>
      </w:r>
    </w:p>
    <w:p w14:paraId="366E6EAC" w14:textId="77777777" w:rsidR="003E68A8" w:rsidRPr="003E68A8" w:rsidRDefault="003E68A8" w:rsidP="003E68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A09 </w:t>
      </w:r>
      <w:r w:rsidRPr="003E68A8">
        <w:rPr>
          <w:rFonts w:ascii="Times New Roman" w:hAnsi="Times New Roman" w:cs="Times New Roman"/>
        </w:rPr>
        <w:t>Case Study Analysis on Autonomous Agents in Industry 4.0</w:t>
      </w:r>
    </w:p>
    <w:p w14:paraId="1EB9C35C" w14:textId="45ADEE54" w:rsidR="003E68A8" w:rsidRDefault="003E68A8" w:rsidP="003E68A8">
      <w:pPr>
        <w:pStyle w:val="Heading2"/>
      </w:pPr>
      <w:r>
        <w:t>Analysis</w:t>
      </w:r>
    </w:p>
    <w:p w14:paraId="50E5B8BC" w14:textId="2FBDC84B" w:rsidR="003E68A8" w:rsidRPr="003E68A8" w:rsidRDefault="003E68A8" w:rsidP="003E68A8">
      <w:pPr>
        <w:rPr>
          <w:rFonts w:ascii="Times New Roman" w:hAnsi="Times New Roman" w:cs="Times New Roman"/>
          <w:b/>
          <w:bCs/>
        </w:rPr>
      </w:pPr>
      <w:r w:rsidRPr="003E68A8">
        <w:rPr>
          <w:rFonts w:ascii="Times New Roman" w:hAnsi="Times New Roman" w:cs="Times New Roman"/>
          <w:b/>
          <w:bCs/>
        </w:rPr>
        <w:t>Introduction</w:t>
      </w:r>
    </w:p>
    <w:p w14:paraId="17ECF298" w14:textId="157538AE" w:rsidR="003E68A8" w:rsidRPr="003E68A8" w:rsidRDefault="003E68A8" w:rsidP="00405C36">
      <w:pPr>
        <w:ind w:firstLine="720"/>
        <w:rPr>
          <w:rFonts w:ascii="Times New Roman" w:hAnsi="Times New Roman" w:cs="Times New Roman"/>
        </w:rPr>
      </w:pPr>
      <w:r w:rsidRPr="003E68A8">
        <w:rPr>
          <w:rFonts w:ascii="Times New Roman" w:hAnsi="Times New Roman" w:cs="Times New Roman"/>
        </w:rPr>
        <w:t xml:space="preserve">Autonomous agents, </w:t>
      </w:r>
      <w:r w:rsidR="00405C36">
        <w:rPr>
          <w:rFonts w:ascii="Times New Roman" w:hAnsi="Times New Roman" w:cs="Times New Roman"/>
        </w:rPr>
        <w:t>such as</w:t>
      </w:r>
      <w:r w:rsidRPr="003E68A8">
        <w:rPr>
          <w:rFonts w:ascii="Times New Roman" w:hAnsi="Times New Roman" w:cs="Times New Roman"/>
        </w:rPr>
        <w:t xml:space="preserve"> automated guided vehicles (AGVs), serve as vital components in the unfolding </w:t>
      </w:r>
      <w:r w:rsidR="00405C36">
        <w:rPr>
          <w:rFonts w:ascii="Times New Roman" w:hAnsi="Times New Roman" w:cs="Times New Roman"/>
        </w:rPr>
        <w:t>environments</w:t>
      </w:r>
      <w:r w:rsidRPr="003E68A8">
        <w:rPr>
          <w:rFonts w:ascii="Times New Roman" w:hAnsi="Times New Roman" w:cs="Times New Roman"/>
        </w:rPr>
        <w:t xml:space="preserve"> of Industry 4.0</w:t>
      </w:r>
      <w:r w:rsidR="00405C36">
        <w:rPr>
          <w:rFonts w:ascii="Times New Roman" w:hAnsi="Times New Roman" w:cs="Times New Roman"/>
        </w:rPr>
        <w:t>. Industry 4.0 is a term used to describe</w:t>
      </w:r>
      <w:r w:rsidRPr="003E68A8">
        <w:rPr>
          <w:rFonts w:ascii="Times New Roman" w:hAnsi="Times New Roman" w:cs="Times New Roman"/>
        </w:rPr>
        <w:t xml:space="preserve"> </w:t>
      </w:r>
      <w:r w:rsidR="00405C36">
        <w:rPr>
          <w:rFonts w:ascii="Times New Roman" w:hAnsi="Times New Roman" w:cs="Times New Roman"/>
        </w:rPr>
        <w:t>the</w:t>
      </w:r>
      <w:r w:rsidRPr="003E68A8">
        <w:rPr>
          <w:rFonts w:ascii="Times New Roman" w:hAnsi="Times New Roman" w:cs="Times New Roman"/>
        </w:rPr>
        <w:t xml:space="preserve"> transformative era defined by smart automation and interconnected systems (</w:t>
      </w:r>
      <w:proofErr w:type="spellStart"/>
      <w:r w:rsidRPr="003E68A8">
        <w:rPr>
          <w:rFonts w:ascii="Times New Roman" w:hAnsi="Times New Roman" w:cs="Times New Roman"/>
        </w:rPr>
        <w:t>Hjulström</w:t>
      </w:r>
      <w:proofErr w:type="spellEnd"/>
      <w:r w:rsidRPr="003E68A8">
        <w:rPr>
          <w:rFonts w:ascii="Times New Roman" w:hAnsi="Times New Roman" w:cs="Times New Roman"/>
        </w:rPr>
        <w:t xml:space="preserve">, 2022). These agents harness cutting-edge tools like artificial intelligence (AI) and reinforcement learning (RL) to boost operational efficiency and adaptability within industrial settings. In Leo </w:t>
      </w:r>
      <w:proofErr w:type="spellStart"/>
      <w:r w:rsidRPr="003E68A8">
        <w:rPr>
          <w:rFonts w:ascii="Times New Roman" w:hAnsi="Times New Roman" w:cs="Times New Roman"/>
        </w:rPr>
        <w:t>Hjulström’s</w:t>
      </w:r>
      <w:proofErr w:type="spellEnd"/>
      <w:r w:rsidRPr="003E68A8">
        <w:rPr>
          <w:rFonts w:ascii="Times New Roman" w:hAnsi="Times New Roman" w:cs="Times New Roman"/>
        </w:rPr>
        <w:t xml:space="preserve"> study, "Autonomous agents in Industry 4.0," the spotlight falls on crafting a self-optimizing Multi-Agent System (MAS) for AGVs tasked with transporting objects in a simulated warehouse. This endeavor encapsulates Industry 4.0’s vision of decentralized, intelligent production, promising a leap forward in how factories function.</w:t>
      </w:r>
    </w:p>
    <w:p w14:paraId="78237314" w14:textId="77777777" w:rsidR="003E68A8" w:rsidRPr="003E68A8" w:rsidRDefault="003E68A8" w:rsidP="003E68A8">
      <w:pPr>
        <w:rPr>
          <w:rFonts w:ascii="Times New Roman" w:hAnsi="Times New Roman" w:cs="Times New Roman"/>
          <w:b/>
          <w:bCs/>
        </w:rPr>
      </w:pPr>
      <w:r w:rsidRPr="003E68A8">
        <w:rPr>
          <w:rFonts w:ascii="Times New Roman" w:hAnsi="Times New Roman" w:cs="Times New Roman"/>
          <w:b/>
          <w:bCs/>
        </w:rPr>
        <w:t>Implementation</w:t>
      </w:r>
    </w:p>
    <w:p w14:paraId="0302B982" w14:textId="72C8E682" w:rsidR="003E68A8" w:rsidRPr="003E68A8" w:rsidRDefault="003E68A8" w:rsidP="00405C36">
      <w:pPr>
        <w:ind w:firstLine="720"/>
        <w:rPr>
          <w:rFonts w:ascii="Times New Roman" w:hAnsi="Times New Roman" w:cs="Times New Roman"/>
        </w:rPr>
      </w:pPr>
      <w:proofErr w:type="spellStart"/>
      <w:r w:rsidRPr="003E68A8">
        <w:rPr>
          <w:rFonts w:ascii="Times New Roman" w:hAnsi="Times New Roman" w:cs="Times New Roman"/>
        </w:rPr>
        <w:t>Hjulström’s</w:t>
      </w:r>
      <w:proofErr w:type="spellEnd"/>
      <w:r w:rsidRPr="003E68A8">
        <w:rPr>
          <w:rFonts w:ascii="Times New Roman" w:hAnsi="Times New Roman" w:cs="Times New Roman"/>
        </w:rPr>
        <w:t xml:space="preserve"> research deploys RL, specifically the Double Deep Q-Network (DDQN) algorithm, to guide three AGVs within a 10x10 grid world mimicking an Industry 4.0 warehouse (</w:t>
      </w:r>
      <w:proofErr w:type="spellStart"/>
      <w:r w:rsidRPr="003E68A8">
        <w:rPr>
          <w:rFonts w:ascii="Times New Roman" w:hAnsi="Times New Roman" w:cs="Times New Roman"/>
        </w:rPr>
        <w:t>Hjulström</w:t>
      </w:r>
      <w:proofErr w:type="spellEnd"/>
      <w:r w:rsidRPr="003E68A8">
        <w:rPr>
          <w:rFonts w:ascii="Times New Roman" w:hAnsi="Times New Roman" w:cs="Times New Roman"/>
        </w:rPr>
        <w:t>, 2022). Coded in Python using TensorFlow and TF-Agents, the system e</w:t>
      </w:r>
      <w:r w:rsidR="00405C36">
        <w:rPr>
          <w:rFonts w:ascii="Times New Roman" w:hAnsi="Times New Roman" w:cs="Times New Roman"/>
        </w:rPr>
        <w:t>nables</w:t>
      </w:r>
      <w:r w:rsidRPr="003E68A8">
        <w:rPr>
          <w:rFonts w:ascii="Times New Roman" w:hAnsi="Times New Roman" w:cs="Times New Roman"/>
        </w:rPr>
        <w:t xml:space="preserve"> agents to navigate dynamically, shuttling objects between designated task squares while monitoring battery levels via charging stations. The agents learn through trial-and-error, earning rewards of +100 for task completion </w:t>
      </w:r>
      <w:r w:rsidR="00405C36">
        <w:rPr>
          <w:rFonts w:ascii="Times New Roman" w:hAnsi="Times New Roman" w:cs="Times New Roman"/>
        </w:rPr>
        <w:t>and</w:t>
      </w:r>
      <w:r w:rsidRPr="003E68A8">
        <w:rPr>
          <w:rFonts w:ascii="Times New Roman" w:hAnsi="Times New Roman" w:cs="Times New Roman"/>
        </w:rPr>
        <w:t xml:space="preserve"> facing penalties of -70 for collisions and -100 for battery depletion. This setup reflects Industry 4.0’s ethos by enabling real-time environmental responsiveness sans rigid, pre-set paths, fostering a flexible, data-driven approach to logistics.</w:t>
      </w:r>
    </w:p>
    <w:p w14:paraId="1A9371CB" w14:textId="77777777" w:rsidR="003E68A8" w:rsidRPr="003E68A8" w:rsidRDefault="003E68A8" w:rsidP="003E68A8">
      <w:pPr>
        <w:rPr>
          <w:rFonts w:ascii="Times New Roman" w:hAnsi="Times New Roman" w:cs="Times New Roman"/>
          <w:b/>
          <w:bCs/>
        </w:rPr>
      </w:pPr>
      <w:r w:rsidRPr="003E68A8">
        <w:rPr>
          <w:rFonts w:ascii="Times New Roman" w:hAnsi="Times New Roman" w:cs="Times New Roman"/>
          <w:b/>
          <w:bCs/>
        </w:rPr>
        <w:t>Benefits</w:t>
      </w:r>
    </w:p>
    <w:p w14:paraId="258129C1" w14:textId="3A4A9441" w:rsidR="003E68A8" w:rsidRPr="003E68A8" w:rsidRDefault="003E68A8" w:rsidP="00405C36">
      <w:pPr>
        <w:ind w:firstLine="720"/>
        <w:rPr>
          <w:rFonts w:ascii="Times New Roman" w:hAnsi="Times New Roman" w:cs="Times New Roman"/>
        </w:rPr>
      </w:pPr>
      <w:r w:rsidRPr="003E68A8">
        <w:rPr>
          <w:rFonts w:ascii="Times New Roman" w:hAnsi="Times New Roman" w:cs="Times New Roman"/>
        </w:rPr>
        <w:t xml:space="preserve">The study </w:t>
      </w:r>
      <w:r w:rsidR="00405C36">
        <w:rPr>
          <w:rFonts w:ascii="Times New Roman" w:hAnsi="Times New Roman" w:cs="Times New Roman"/>
        </w:rPr>
        <w:t>reveals</w:t>
      </w:r>
      <w:r w:rsidRPr="003E68A8">
        <w:rPr>
          <w:rFonts w:ascii="Times New Roman" w:hAnsi="Times New Roman" w:cs="Times New Roman"/>
        </w:rPr>
        <w:t xml:space="preserve"> compelling advantages, </w:t>
      </w:r>
      <w:r w:rsidR="00405C36">
        <w:rPr>
          <w:rFonts w:ascii="Times New Roman" w:hAnsi="Times New Roman" w:cs="Times New Roman"/>
        </w:rPr>
        <w:t>highlighting</w:t>
      </w:r>
      <w:r w:rsidRPr="003E68A8">
        <w:rPr>
          <w:rFonts w:ascii="Times New Roman" w:hAnsi="Times New Roman" w:cs="Times New Roman"/>
        </w:rPr>
        <w:t xml:space="preserve"> enhanced efficiency and adaptability. The agents </w:t>
      </w:r>
      <w:r w:rsidR="00405C36">
        <w:rPr>
          <w:rFonts w:ascii="Times New Roman" w:hAnsi="Times New Roman" w:cs="Times New Roman"/>
        </w:rPr>
        <w:t>successfully</w:t>
      </w:r>
      <w:r w:rsidRPr="003E68A8">
        <w:rPr>
          <w:rFonts w:ascii="Times New Roman" w:hAnsi="Times New Roman" w:cs="Times New Roman"/>
        </w:rPr>
        <w:t xml:space="preserve"> completed 300 tasks across 1392 steps without crashing or exhausting their batteries, showcasing robust navigation and energy management (</w:t>
      </w:r>
      <w:proofErr w:type="spellStart"/>
      <w:r w:rsidRPr="003E68A8">
        <w:rPr>
          <w:rFonts w:ascii="Times New Roman" w:hAnsi="Times New Roman" w:cs="Times New Roman"/>
        </w:rPr>
        <w:t>Hjulström</w:t>
      </w:r>
      <w:proofErr w:type="spellEnd"/>
      <w:r w:rsidRPr="003E68A8">
        <w:rPr>
          <w:rFonts w:ascii="Times New Roman" w:hAnsi="Times New Roman" w:cs="Times New Roman"/>
        </w:rPr>
        <w:t>, 2022). This self-optimization slashes dependency on costly physical markers and centralized oversight, aligning seamlessly with Industry 4.0’s decentralized framework. Beyond the simulation, such advancements hint at real-world gains</w:t>
      </w:r>
      <w:r w:rsidR="00405C36">
        <w:rPr>
          <w:rFonts w:ascii="Times New Roman" w:hAnsi="Times New Roman" w:cs="Times New Roman"/>
        </w:rPr>
        <w:t xml:space="preserve"> including</w:t>
      </w:r>
      <w:r w:rsidRPr="003E68A8">
        <w:rPr>
          <w:rFonts w:ascii="Times New Roman" w:hAnsi="Times New Roman" w:cs="Times New Roman"/>
        </w:rPr>
        <w:t xml:space="preserve"> heightened productivity, streamlined material use, and safer workplaces by reducing human exposure to factory hazards. </w:t>
      </w:r>
      <w:r w:rsidRPr="003E68A8">
        <w:rPr>
          <w:rFonts w:ascii="Times New Roman" w:hAnsi="Times New Roman" w:cs="Times New Roman"/>
        </w:rPr>
        <w:lastRenderedPageBreak/>
        <w:t>For industries, this translates to faster output and smarter resource allocation, a boon for both economic and operational outcomes.</w:t>
      </w:r>
    </w:p>
    <w:p w14:paraId="672B93A6" w14:textId="77777777" w:rsidR="003E68A8" w:rsidRPr="003E68A8" w:rsidRDefault="003E68A8" w:rsidP="003E68A8">
      <w:pPr>
        <w:rPr>
          <w:rFonts w:ascii="Times New Roman" w:hAnsi="Times New Roman" w:cs="Times New Roman"/>
          <w:b/>
          <w:bCs/>
        </w:rPr>
      </w:pPr>
      <w:r w:rsidRPr="003E68A8">
        <w:rPr>
          <w:rFonts w:ascii="Times New Roman" w:hAnsi="Times New Roman" w:cs="Times New Roman"/>
          <w:b/>
          <w:bCs/>
        </w:rPr>
        <w:t>Challenges</w:t>
      </w:r>
    </w:p>
    <w:p w14:paraId="0DCC2C89" w14:textId="05600983" w:rsidR="003E68A8" w:rsidRPr="003E68A8" w:rsidRDefault="003E68A8" w:rsidP="00405C36">
      <w:pPr>
        <w:ind w:firstLine="720"/>
        <w:rPr>
          <w:rFonts w:ascii="Times New Roman" w:hAnsi="Times New Roman" w:cs="Times New Roman"/>
        </w:rPr>
      </w:pPr>
      <w:r w:rsidRPr="003E68A8">
        <w:rPr>
          <w:rFonts w:ascii="Times New Roman" w:hAnsi="Times New Roman" w:cs="Times New Roman"/>
        </w:rPr>
        <w:t xml:space="preserve">The study’s confinement to a 2D grid world </w:t>
      </w:r>
      <w:r w:rsidR="00405C36">
        <w:rPr>
          <w:rFonts w:ascii="Times New Roman" w:hAnsi="Times New Roman" w:cs="Times New Roman"/>
        </w:rPr>
        <w:t>avoids</w:t>
      </w:r>
      <w:r w:rsidRPr="003E68A8">
        <w:rPr>
          <w:rFonts w:ascii="Times New Roman" w:hAnsi="Times New Roman" w:cs="Times New Roman"/>
        </w:rPr>
        <w:t xml:space="preserve"> real-world intricacies like fluctuating battery wear or unpredictable obstacles, </w:t>
      </w:r>
      <w:r w:rsidR="00405C36">
        <w:rPr>
          <w:rFonts w:ascii="Times New Roman" w:hAnsi="Times New Roman" w:cs="Times New Roman"/>
        </w:rPr>
        <w:t>reducing</w:t>
      </w:r>
      <w:r w:rsidRPr="003E68A8">
        <w:rPr>
          <w:rFonts w:ascii="Times New Roman" w:hAnsi="Times New Roman" w:cs="Times New Roman"/>
        </w:rPr>
        <w:t xml:space="preserve"> its practical scope (</w:t>
      </w:r>
      <w:proofErr w:type="spellStart"/>
      <w:r w:rsidRPr="003E68A8">
        <w:rPr>
          <w:rFonts w:ascii="Times New Roman" w:hAnsi="Times New Roman" w:cs="Times New Roman"/>
        </w:rPr>
        <w:t>Hjulström</w:t>
      </w:r>
      <w:proofErr w:type="spellEnd"/>
      <w:r w:rsidRPr="003E68A8">
        <w:rPr>
          <w:rFonts w:ascii="Times New Roman" w:hAnsi="Times New Roman" w:cs="Times New Roman"/>
        </w:rPr>
        <w:t>, 2022). A singular environment configuration</w:t>
      </w:r>
      <w:r w:rsidR="00405C36">
        <w:rPr>
          <w:rFonts w:ascii="Times New Roman" w:hAnsi="Times New Roman" w:cs="Times New Roman"/>
        </w:rPr>
        <w:t xml:space="preserve"> with </w:t>
      </w:r>
      <w:r w:rsidRPr="003E68A8">
        <w:rPr>
          <w:rFonts w:ascii="Times New Roman" w:hAnsi="Times New Roman" w:cs="Times New Roman"/>
        </w:rPr>
        <w:t>fixed agents, task squares, and charging stations</w:t>
      </w:r>
      <w:r w:rsidR="00405C36">
        <w:rPr>
          <w:rFonts w:ascii="Times New Roman" w:hAnsi="Times New Roman" w:cs="Times New Roman"/>
        </w:rPr>
        <w:t xml:space="preserve"> limits</w:t>
      </w:r>
      <w:r w:rsidRPr="003E68A8">
        <w:rPr>
          <w:rFonts w:ascii="Times New Roman" w:hAnsi="Times New Roman" w:cs="Times New Roman"/>
        </w:rPr>
        <w:t xml:space="preserve"> scalability insights, while the absence of inter-agent communication for task coordination limits realism. Training duration also posed a bottleneck, with RL parameter tuning stretching development timelines. These constraints underscore a gap between theoretical promise and on-the-ground applicability, urging caution in extrapolating results to complex industrial ecosystems.</w:t>
      </w:r>
    </w:p>
    <w:p w14:paraId="6CD54674" w14:textId="77777777" w:rsidR="003E68A8" w:rsidRPr="003E68A8" w:rsidRDefault="003E68A8" w:rsidP="003E68A8">
      <w:pPr>
        <w:rPr>
          <w:rFonts w:ascii="Times New Roman" w:hAnsi="Times New Roman" w:cs="Times New Roman"/>
          <w:b/>
          <w:bCs/>
        </w:rPr>
      </w:pPr>
      <w:r w:rsidRPr="003E68A8">
        <w:rPr>
          <w:rFonts w:ascii="Times New Roman" w:hAnsi="Times New Roman" w:cs="Times New Roman"/>
          <w:b/>
          <w:bCs/>
        </w:rPr>
        <w:t>Future Implications</w:t>
      </w:r>
    </w:p>
    <w:p w14:paraId="4CFCC34E" w14:textId="4D29BF61" w:rsidR="003E68A8" w:rsidRPr="003E68A8" w:rsidRDefault="003E68A8" w:rsidP="00405C36">
      <w:pPr>
        <w:ind w:firstLine="720"/>
        <w:rPr>
          <w:rFonts w:ascii="Times New Roman" w:hAnsi="Times New Roman" w:cs="Times New Roman"/>
        </w:rPr>
      </w:pPr>
      <w:r w:rsidRPr="003E68A8">
        <w:rPr>
          <w:rFonts w:ascii="Times New Roman" w:hAnsi="Times New Roman" w:cs="Times New Roman"/>
        </w:rPr>
        <w:t xml:space="preserve">The triumph of RL-driven AGVs signals </w:t>
      </w:r>
      <w:r w:rsidR="00405C36">
        <w:rPr>
          <w:rFonts w:ascii="Times New Roman" w:hAnsi="Times New Roman" w:cs="Times New Roman"/>
        </w:rPr>
        <w:t xml:space="preserve">a </w:t>
      </w:r>
      <w:r w:rsidRPr="003E68A8">
        <w:rPr>
          <w:rFonts w:ascii="Times New Roman" w:hAnsi="Times New Roman" w:cs="Times New Roman"/>
        </w:rPr>
        <w:t>profound future potential for Industry 4.0. Integrating smarter charging stations</w:t>
      </w:r>
      <w:r w:rsidR="00405C36">
        <w:rPr>
          <w:rFonts w:ascii="Times New Roman" w:hAnsi="Times New Roman" w:cs="Times New Roman"/>
        </w:rPr>
        <w:t xml:space="preserve"> </w:t>
      </w:r>
      <w:r w:rsidRPr="003E68A8">
        <w:rPr>
          <w:rFonts w:ascii="Times New Roman" w:hAnsi="Times New Roman" w:cs="Times New Roman"/>
        </w:rPr>
        <w:t>capable of occupancy updates or queue management</w:t>
      </w:r>
      <w:r w:rsidR="00405C36">
        <w:rPr>
          <w:rFonts w:ascii="Times New Roman" w:hAnsi="Times New Roman" w:cs="Times New Roman"/>
        </w:rPr>
        <w:t xml:space="preserve">, for example, </w:t>
      </w:r>
      <w:r w:rsidRPr="003E68A8">
        <w:rPr>
          <w:rFonts w:ascii="Times New Roman" w:hAnsi="Times New Roman" w:cs="Times New Roman"/>
        </w:rPr>
        <w:t>could refine system efficiency, while real-world trials might validate broader adoption (</w:t>
      </w:r>
      <w:proofErr w:type="spellStart"/>
      <w:r w:rsidRPr="003E68A8">
        <w:rPr>
          <w:rFonts w:ascii="Times New Roman" w:hAnsi="Times New Roman" w:cs="Times New Roman"/>
        </w:rPr>
        <w:t>Hjulström</w:t>
      </w:r>
      <w:proofErr w:type="spellEnd"/>
      <w:r w:rsidRPr="003E68A8">
        <w:rPr>
          <w:rFonts w:ascii="Times New Roman" w:hAnsi="Times New Roman" w:cs="Times New Roman"/>
        </w:rPr>
        <w:t xml:space="preserve">, 2022). Such strides could render production more resilient and sustainable, optimizing energy and material use. However, risks like workforce displacement </w:t>
      </w:r>
      <w:r w:rsidR="00405C36">
        <w:rPr>
          <w:rFonts w:ascii="Times New Roman" w:hAnsi="Times New Roman" w:cs="Times New Roman"/>
        </w:rPr>
        <w:t>cannot be ignored</w:t>
      </w:r>
      <w:r w:rsidRPr="003E68A8">
        <w:rPr>
          <w:rFonts w:ascii="Times New Roman" w:hAnsi="Times New Roman" w:cs="Times New Roman"/>
        </w:rPr>
        <w:t>, demanding ethical scrutiny as automation scales. Expanding to larger, dynamic settings could revolutionize logistics, nudging industries toward fully autonomous workflows. This trajectory hinges on bridging simulation-to-reality gaps, a challenge poised to shape industrial evolution.</w:t>
      </w:r>
    </w:p>
    <w:p w14:paraId="17DD6839" w14:textId="77777777" w:rsidR="003E68A8" w:rsidRPr="003E68A8" w:rsidRDefault="003E68A8" w:rsidP="003E68A8">
      <w:pPr>
        <w:rPr>
          <w:rFonts w:ascii="Times New Roman" w:hAnsi="Times New Roman" w:cs="Times New Roman"/>
        </w:rPr>
      </w:pPr>
      <w:r w:rsidRPr="003E68A8">
        <w:rPr>
          <w:rFonts w:ascii="Times New Roman" w:hAnsi="Times New Roman" w:cs="Times New Roman"/>
        </w:rPr>
        <w:pict w14:anchorId="5FD386C2">
          <v:rect id="_x0000_i1031" style="width:0;height:1.5pt" o:hralign="center" o:hrstd="t" o:hr="t" fillcolor="#a0a0a0" stroked="f"/>
        </w:pict>
      </w:r>
    </w:p>
    <w:p w14:paraId="23F400DD" w14:textId="77777777" w:rsidR="003E68A8" w:rsidRPr="003E68A8" w:rsidRDefault="003E68A8" w:rsidP="003E68A8">
      <w:pPr>
        <w:pStyle w:val="Heading2"/>
      </w:pPr>
      <w:r w:rsidRPr="003E68A8">
        <w:t>Reflection</w:t>
      </w:r>
    </w:p>
    <w:p w14:paraId="62D1F3ED" w14:textId="157D6805" w:rsidR="003E68A8" w:rsidRPr="003E68A8" w:rsidRDefault="003E68A8" w:rsidP="00405C36">
      <w:pPr>
        <w:ind w:firstLine="720"/>
        <w:rPr>
          <w:rFonts w:ascii="Times New Roman" w:hAnsi="Times New Roman" w:cs="Times New Roman"/>
        </w:rPr>
      </w:pPr>
      <w:r w:rsidRPr="003E68A8">
        <w:rPr>
          <w:rFonts w:ascii="Times New Roman" w:hAnsi="Times New Roman" w:cs="Times New Roman"/>
        </w:rPr>
        <w:t xml:space="preserve">Delving into </w:t>
      </w:r>
      <w:proofErr w:type="spellStart"/>
      <w:r w:rsidRPr="003E68A8">
        <w:rPr>
          <w:rFonts w:ascii="Times New Roman" w:hAnsi="Times New Roman" w:cs="Times New Roman"/>
        </w:rPr>
        <w:t>Hjulström’s</w:t>
      </w:r>
      <w:proofErr w:type="spellEnd"/>
      <w:r w:rsidRPr="003E68A8">
        <w:rPr>
          <w:rFonts w:ascii="Times New Roman" w:hAnsi="Times New Roman" w:cs="Times New Roman"/>
        </w:rPr>
        <w:t xml:space="preserve"> case study illuminated the remarkable promise of autonomous agents in industrial realms, </w:t>
      </w:r>
      <w:r w:rsidR="00F43BD5">
        <w:rPr>
          <w:rFonts w:ascii="Times New Roman" w:hAnsi="Times New Roman" w:cs="Times New Roman"/>
        </w:rPr>
        <w:t>deepening</w:t>
      </w:r>
      <w:r w:rsidRPr="003E68A8">
        <w:rPr>
          <w:rFonts w:ascii="Times New Roman" w:hAnsi="Times New Roman" w:cs="Times New Roman"/>
        </w:rPr>
        <w:t xml:space="preserve"> my </w:t>
      </w:r>
      <w:r w:rsidR="00F43BD5">
        <w:rPr>
          <w:rFonts w:ascii="Times New Roman" w:hAnsi="Times New Roman" w:cs="Times New Roman"/>
        </w:rPr>
        <w:t>understanding</w:t>
      </w:r>
      <w:r w:rsidRPr="003E68A8">
        <w:rPr>
          <w:rFonts w:ascii="Times New Roman" w:hAnsi="Times New Roman" w:cs="Times New Roman"/>
        </w:rPr>
        <w:t xml:space="preserve"> of their role. The ingenuity of RL enabling AGVs to self-optimize</w:t>
      </w:r>
      <w:r w:rsidR="00F43BD5">
        <w:rPr>
          <w:rFonts w:ascii="Times New Roman" w:hAnsi="Times New Roman" w:cs="Times New Roman"/>
        </w:rPr>
        <w:t xml:space="preserve"> </w:t>
      </w:r>
      <w:r w:rsidRPr="003E68A8">
        <w:rPr>
          <w:rFonts w:ascii="Times New Roman" w:hAnsi="Times New Roman" w:cs="Times New Roman"/>
        </w:rPr>
        <w:t xml:space="preserve">struck me as a leap beyond conventional automation’s rigidity. </w:t>
      </w:r>
      <w:r w:rsidR="00F43BD5">
        <w:rPr>
          <w:rFonts w:ascii="Times New Roman" w:hAnsi="Times New Roman" w:cs="Times New Roman"/>
        </w:rPr>
        <w:t>Learning that</w:t>
      </w:r>
      <w:r w:rsidRPr="003E68A8">
        <w:rPr>
          <w:rFonts w:ascii="Times New Roman" w:hAnsi="Times New Roman" w:cs="Times New Roman"/>
        </w:rPr>
        <w:t xml:space="preserve"> the agents navigate a simulated warehouse with such </w:t>
      </w:r>
      <w:r w:rsidR="00F43BD5">
        <w:rPr>
          <w:rFonts w:ascii="Times New Roman" w:hAnsi="Times New Roman" w:cs="Times New Roman"/>
        </w:rPr>
        <w:t>capability</w:t>
      </w:r>
      <w:r w:rsidRPr="003E68A8">
        <w:rPr>
          <w:rFonts w:ascii="Times New Roman" w:hAnsi="Times New Roman" w:cs="Times New Roman"/>
        </w:rPr>
        <w:t xml:space="preserve"> sparked </w:t>
      </w:r>
      <w:r w:rsidR="00F43BD5">
        <w:rPr>
          <w:rFonts w:ascii="Times New Roman" w:hAnsi="Times New Roman" w:cs="Times New Roman"/>
        </w:rPr>
        <w:t>my excitement</w:t>
      </w:r>
      <w:r w:rsidRPr="003E68A8">
        <w:rPr>
          <w:rFonts w:ascii="Times New Roman" w:hAnsi="Times New Roman" w:cs="Times New Roman"/>
        </w:rPr>
        <w:t xml:space="preserve"> at AI’s practical potential, </w:t>
      </w:r>
      <w:r w:rsidR="00F43BD5">
        <w:rPr>
          <w:rFonts w:ascii="Times New Roman" w:hAnsi="Times New Roman" w:cs="Times New Roman"/>
        </w:rPr>
        <w:t>which</w:t>
      </w:r>
      <w:r w:rsidRPr="003E68A8">
        <w:rPr>
          <w:rFonts w:ascii="Times New Roman" w:hAnsi="Times New Roman" w:cs="Times New Roman"/>
        </w:rPr>
        <w:t xml:space="preserve"> I’d previously viewed more theoretically. Yet, the study’s simplicity</w:t>
      </w:r>
      <w:r w:rsidR="00F43BD5">
        <w:rPr>
          <w:rFonts w:ascii="Times New Roman" w:hAnsi="Times New Roman" w:cs="Times New Roman"/>
        </w:rPr>
        <w:t xml:space="preserve"> relative to the real world</w:t>
      </w:r>
      <w:r w:rsidRPr="003E68A8">
        <w:rPr>
          <w:rFonts w:ascii="Times New Roman" w:hAnsi="Times New Roman" w:cs="Times New Roman"/>
        </w:rPr>
        <w:t xml:space="preserve"> </w:t>
      </w:r>
      <w:r w:rsidR="00F43BD5">
        <w:rPr>
          <w:rFonts w:ascii="Times New Roman" w:hAnsi="Times New Roman" w:cs="Times New Roman"/>
        </w:rPr>
        <w:t>held back</w:t>
      </w:r>
      <w:r w:rsidRPr="003E68A8">
        <w:rPr>
          <w:rFonts w:ascii="Times New Roman" w:hAnsi="Times New Roman" w:cs="Times New Roman"/>
        </w:rPr>
        <w:t xml:space="preserve"> my enthusiasm, revealing a </w:t>
      </w:r>
      <w:r w:rsidR="00F43BD5">
        <w:rPr>
          <w:rFonts w:ascii="Times New Roman" w:hAnsi="Times New Roman" w:cs="Times New Roman"/>
        </w:rPr>
        <w:t>potential gap</w:t>
      </w:r>
      <w:r w:rsidRPr="003E68A8">
        <w:rPr>
          <w:rFonts w:ascii="Times New Roman" w:hAnsi="Times New Roman" w:cs="Times New Roman"/>
        </w:rPr>
        <w:t xml:space="preserve"> between controlled tests and real-world chaos. This duality shifted my perspective: while </w:t>
      </w:r>
      <w:proofErr w:type="gramStart"/>
      <w:r w:rsidRPr="003E68A8">
        <w:rPr>
          <w:rFonts w:ascii="Times New Roman" w:hAnsi="Times New Roman" w:cs="Times New Roman"/>
        </w:rPr>
        <w:t>the technology</w:t>
      </w:r>
      <w:proofErr w:type="gramEnd"/>
      <w:r w:rsidRPr="003E68A8">
        <w:rPr>
          <w:rFonts w:ascii="Times New Roman" w:hAnsi="Times New Roman" w:cs="Times New Roman"/>
        </w:rPr>
        <w:t xml:space="preserve"> dazzles, its maturity demands tackling variables like dynamic obstacles or ethical labor impacts. I now see autonomous agents as a double-edged sword</w:t>
      </w:r>
      <w:r w:rsidR="00F43BD5">
        <w:rPr>
          <w:rFonts w:ascii="Times New Roman" w:hAnsi="Times New Roman" w:cs="Times New Roman"/>
        </w:rPr>
        <w:t xml:space="preserve">, </w:t>
      </w:r>
      <w:r w:rsidRPr="003E68A8">
        <w:rPr>
          <w:rFonts w:ascii="Times New Roman" w:hAnsi="Times New Roman" w:cs="Times New Roman"/>
        </w:rPr>
        <w:t>brimming with efficiency yet necessitating meticulous deployment. This insight fuels my curiosity about scaling these systems, pondering how they might transform factories while balancing innovation with human-centric considerations. It’s a compelling puzzle, urging deeper exploration into AI’s industrial frontier.</w:t>
      </w:r>
    </w:p>
    <w:p w14:paraId="51730C7A" w14:textId="64DC19B9" w:rsidR="004D02E0" w:rsidRDefault="00F43BD5" w:rsidP="003E6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Reference</w:t>
      </w:r>
    </w:p>
    <w:p w14:paraId="54F9A4FF" w14:textId="57DDCFAA" w:rsidR="00F43BD5" w:rsidRPr="00F43BD5" w:rsidRDefault="00F43BD5" w:rsidP="003E68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Hjulstrom</w:t>
      </w:r>
      <w:proofErr w:type="spellEnd"/>
      <w:r>
        <w:rPr>
          <w:rFonts w:ascii="Times New Roman" w:hAnsi="Times New Roman" w:cs="Times New Roman"/>
        </w:rPr>
        <w:t>, Leo. (2022). Autonomous agents in Industry 4.0: A self-optimizing approach for automated guided vehicles in Industry 4.0 environments.</w:t>
      </w:r>
    </w:p>
    <w:sectPr w:rsidR="00F43BD5" w:rsidRPr="00F4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A8"/>
    <w:rsid w:val="003E68A8"/>
    <w:rsid w:val="00405C36"/>
    <w:rsid w:val="0042209C"/>
    <w:rsid w:val="004D02E0"/>
    <w:rsid w:val="00554A1D"/>
    <w:rsid w:val="0071602E"/>
    <w:rsid w:val="00A97C94"/>
    <w:rsid w:val="00AC2733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BBCF7"/>
  <w15:chartTrackingRefBased/>
  <w15:docId w15:val="{EFC85166-8257-4CE4-A14D-C57B447A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8A8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E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684</Words>
  <Characters>4508</Characters>
  <Application>Microsoft Office Word</Application>
  <DocSecurity>0</DocSecurity>
  <Lines>73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Moreno</dc:creator>
  <cp:keywords/>
  <dc:description/>
  <cp:lastModifiedBy>Oren Moreno</cp:lastModifiedBy>
  <cp:revision>1</cp:revision>
  <dcterms:created xsi:type="dcterms:W3CDTF">2025-04-07T23:27:00Z</dcterms:created>
  <dcterms:modified xsi:type="dcterms:W3CDTF">2025-04-08T00:30:00Z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91c480b6-35fd-443f-ab6e-bcc86b3e1071</vt:lpwstr>
  </property>
</Properties>
</file>