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分类</w:t>
            </w:r>
          </w:p>
        </w:tc>
        <w:tc>
          <w:tcPr/>
          <w:p>
            <w:pPr>
              <w:pStyle w:val="Compact"/>
              <w:jc w:val="left"/>
            </w:pPr>
            <w:r>
              <w:t xml:space="preserve">功能</w:t>
            </w:r>
          </w:p>
        </w:tc>
        <w:tc>
          <w:tcPr/>
          <w:p>
            <w:pPr>
              <w:pStyle w:val="Compact"/>
              <w:jc w:val="left"/>
            </w:pPr>
            <w:r>
              <w:t xml:space="preserve">描述</w:t>
            </w:r>
          </w:p>
        </w:tc>
      </w:tr>
      <w:tr>
        <w:tc>
          <w:tcPr/>
          <w:p>
            <w:pPr>
              <w:pStyle w:val="Compact"/>
              <w:jc w:val="left"/>
            </w:pPr>
            <w:r>
              <w:t xml:space="preserve">可扩展性与性能</w:t>
            </w:r>
          </w:p>
        </w:tc>
        <w:tc>
          <w:tcPr/>
          <w:p>
            <w:pPr>
              <w:pStyle w:val="Compact"/>
              <w:jc w:val="left"/>
            </w:pPr>
            <w:r>
              <w:t xml:space="preserve">支持并行运行多个</w:t>
            </w:r>
            <w:r>
              <w:t xml:space="preserve"> </w:t>
            </w:r>
            <w:r>
              <w:rPr>
                <w:rStyle w:val="VerbatimChar"/>
              </w:rPr>
              <w:t xml:space="preserve">ADD INDEX</w:t>
            </w:r>
            <w:r>
              <w:t xml:space="preserve"> </w:t>
            </w:r>
            <w:r>
              <w:t xml:space="preserve">语句 {/* tw@ran-huang */}</w:t>
            </w:r>
          </w:p>
        </w:tc>
        <w:tc>
          <w:tcPr/>
          <w:p>
            <w:pPr>
              <w:pStyle w:val="Compact"/>
              <w:jc w:val="left"/>
            </w:pPr>
            <w:r>
              <w:t xml:space="preserve">与分布式和并行 DDL 任务不同，在该功能中，原来为同步运行的任务可以变为并发运行。以前同时运行 DDL 语句 X 和 Y 需要花费 X 的时间 + Y 的时间，并发运行后，DDL 总耗时显著减少了。</w:t>
            </w:r>
          </w:p>
        </w:tc>
      </w:tr>
      <w:tr>
        <w:tc>
          <w:tcPr>
            <w:vMerge w:val="restart"/>
          </w:tcPr>
          <w:p>
            <w:pPr>
              <w:pStyle w:val="Compact"/>
              <w:jc w:val="left"/>
            </w:pPr>
            <w:r>
              <w:t xml:space="preserve">稳定性与高可用</w:t>
            </w:r>
          </w:p>
        </w:tc>
        <w:tc>
          <w:tcPr/>
          <w:p>
            <w:pPr>
              <w:pStyle w:val="Compact"/>
              <w:jc w:val="left"/>
            </w:pPr>
            <w:hyperlink r:id="rId20">
              <w:r>
                <w:rPr>
                  <w:rStyle w:val="ae"/>
                </w:rPr>
                <w:t xml:space="preserve">Global sort</w:t>
              </w:r>
            </w:hyperlink>
            <w:r>
              <w:t xml:space="preserve"> </w:t>
            </w:r>
            <w:r>
              <w:t xml:space="preserve">optimization {/* tw@ran-huang */}</w:t>
            </w:r>
          </w:p>
        </w:tc>
        <w:tc>
          <w:tcPr/>
          <w:p>
            <w:pPr>
              <w:pStyle w:val="Compact"/>
              <w:jc w:val="left"/>
            </w:pPr>
            <w:r>
              <w:t xml:space="preserve">Laying the groundwork with the</w:t>
            </w:r>
            <w:r>
              <w:t xml:space="preserve"> </w:t>
            </w:r>
            <w:hyperlink r:id="rId21">
              <w:r>
                <w:rPr>
                  <w:rStyle w:val="ae"/>
                </w:rPr>
                <w:t xml:space="preserve">distributed framework</w:t>
              </w:r>
            </w:hyperlink>
            <w:r>
              <w:t xml:space="preserve"> </w:t>
            </w:r>
            <w:r>
              <w:t xml:space="preserve">in v7.2, TiDB introduces global sorting to eliminate the unnecessary I/O, CPU, and memory spikes caused from temporarily out of order data during data re-organization tasks. The global sorting will take advantage of external shared object storage (S3 in this first iteration) to store intermediary files during the job, adding flexibility and cost savings.Operations like ADD INDEX and IMPORT INTO will be faster, more resilient, more stable, more flexible, and cost less to run.</w:t>
            </w:r>
          </w:p>
        </w:tc>
      </w:tr>
      <w:tr>
        <w:tc>
          <w:tcPr>
            <w:gridSpan w:val="1"/>
            <w:vMerge w:val="continue"/>
          </w:tcPr>
          <w:p>
            <w:pPr/>
          </w:p>
        </w:tc>
        <w:tc>
          <w:tcPr/>
          <w:p>
            <w:pPr>
              <w:pStyle w:val="Compact"/>
              <w:jc w:val="left"/>
            </w:pPr>
            <w:hyperlink r:id="rId22">
              <w:r>
                <w:rPr>
                  <w:rStyle w:val="ae"/>
                </w:rPr>
                <w:t xml:space="preserve">资源管控</w:t>
              </w:r>
            </w:hyperlink>
            <w:r>
              <w:t xml:space="preserve">支持自动管理后台任务（实验特性） {/* tw@Oreoxmt */}</w:t>
            </w:r>
          </w:p>
        </w:tc>
        <w:tc>
          <w:tcPr/>
          <w:p>
            <w:pPr>
              <w:pStyle w:val="Compact"/>
              <w:jc w:val="left"/>
            </w:pPr>
            <w:r>
              <w:t xml:space="preserve">从 v7.1.0 开始，</w:t>
            </w:r>
            <w:hyperlink r:id="rId23">
              <w:r>
                <w:rPr>
                  <w:rStyle w:val="ae"/>
                </w:rPr>
                <w:t xml:space="preserve">资源管控</w:t>
              </w:r>
            </w:hyperlink>
            <w:r>
              <w:t xml:space="preserve">成为正式功能，该特性有助于缓解不同工作负载间的资源与存储访问干扰。TiDB v7.4.0 将此资源控制应用于后台任务。资源管控可以识别和管理后台任务，例如自动收集统计信息、备份和恢复、TiDB Lightning 批量数据导入以及在线 DDL。未来，所有后台任务都将纳入资源管控。</w:t>
            </w:r>
          </w:p>
        </w:tc>
      </w:tr>
      <w:tr>
        <w:tc>
          <w:tcPr>
            <w:gridSpan w:val="1"/>
            <w:vMerge w:val="continue"/>
          </w:tcPr>
          <w:p>
            <w:pPr/>
          </w:p>
        </w:tc>
        <w:tc>
          <w:tcPr/>
          <w:p>
            <w:pPr>
              <w:pStyle w:val="Compact"/>
              <w:jc w:val="left"/>
            </w:pPr>
            <w:r>
              <w:t xml:space="preserve">资源组支持</w:t>
            </w:r>
            <w:hyperlink r:id="rId24">
              <w:r>
                <w:rPr>
                  <w:rStyle w:val="ae"/>
                </w:rPr>
                <w:t xml:space="preserve">管理资源消耗超出预期的查询</w:t>
              </w:r>
            </w:hyperlink>
            <w:r>
              <w:t xml:space="preserve">（实验特性）{/* tw@hfxsd */}</w:t>
            </w:r>
          </w:p>
        </w:tc>
        <w:tc>
          <w:tcPr/>
          <w:p>
            <w:pPr>
              <w:pStyle w:val="Compact"/>
              <w:jc w:val="left"/>
            </w:pPr>
            <w:hyperlink r:id="rId25">
              <w:r>
                <w:rPr>
                  <w:rStyle w:val="ae"/>
                </w:rPr>
                <w:t xml:space="preserve">资源管控 (Resource Group)</w:t>
              </w:r>
            </w:hyperlink>
            <w:r>
              <w:t xml:space="preserve"> </w:t>
            </w:r>
            <w:r>
              <w:t xml:space="preserve">是一个通过资源组 (Resource Group) 对工作负载进行资源隔离的框架，但它并不调用单个查询如何影响每个组内的工作。TiDB v7.2.0 引入了管控资源消耗超出预期的查询 (Runaway Queries)，你可以控制 TiDB 如何识别和处理每个资源组的查询。根据需要，长时间运行的查询可能会被终止或节流，你可以通过准确的 SQL test、SQL Digest 或其 Plan Digest来识别查询。在 TiDB v7.3.0，你可以主动监视已知的不良查询，类似于数据库级别的 SQL Blocklist。</w:t>
            </w:r>
          </w:p>
        </w:tc>
      </w:tr>
      <w:tr>
        <w:tc>
          <w:tcPr/>
          <w:p>
            <w:pPr>
              <w:pStyle w:val="Compact"/>
              <w:jc w:val="left"/>
            </w:pPr>
            <w:r>
              <w:t xml:space="preserve">SQL</w:t>
            </w:r>
          </w:p>
        </w:tc>
        <w:tc>
          <w:tcPr/>
          <w:p>
            <w:pPr>
              <w:pStyle w:val="Compact"/>
              <w:jc w:val="left"/>
            </w:pPr>
            <w:r>
              <w:t xml:space="preserve">MySQL 8.0 兼容性 {/* tw@Oreoxmt */}</w:t>
            </w:r>
          </w:p>
        </w:tc>
        <w:tc>
          <w:tcPr/>
          <w:p>
            <w:pPr>
              <w:pStyle w:val="Compact"/>
              <w:jc w:val="left"/>
            </w:pPr>
            <w:r>
              <w:t xml:space="preserve">MySQL 8.0 的默认字符集为 utf8mb4，其默认排序规则是</w:t>
            </w:r>
            <w:r>
              <w:t xml:space="preserve"> </w:t>
            </w:r>
            <w:r>
              <w:rPr>
                <w:rStyle w:val="VerbatimChar"/>
              </w:rPr>
              <w:t xml:space="preserve">utf8mb4_0900_ai_ci</w:t>
            </w:r>
            <w:r>
              <w:t xml:space="preserve">。TiDB v7.4.0 增强了与 MySQL 8.0 的兼容性。现在你可以更轻松地将在 MySQL 8.0 中使用默认排序规则创建的数据库迁移或复制到 TiDB。</w:t>
            </w:r>
          </w:p>
        </w:tc>
      </w:tr>
      <w:tr>
        <w:tc>
          <w:tcPr>
            <w:vMerge w:val="restart"/>
          </w:tcPr>
          <w:p>
            <w:pPr>
              <w:pStyle w:val="Compact"/>
              <w:jc w:val="left"/>
            </w:pPr>
            <w:r>
              <w:t xml:space="preserve">数据库管理与可观测性</w:t>
            </w:r>
          </w:p>
        </w:tc>
        <w:tc>
          <w:tcPr/>
          <w:p>
            <w:pPr>
              <w:pStyle w:val="Compact"/>
              <w:jc w:val="left"/>
            </w:pPr>
            <w:hyperlink r:id="rId26">
              <w:r>
                <w:rPr>
                  <w:rStyle w:val="VerbatimChar"/>
                </w:rPr>
                <w:t xml:space="preserve">IMPORT INTO</w:t>
              </w:r>
            </w:hyperlink>
            <w:r>
              <w:t xml:space="preserve"> </w:t>
            </w:r>
            <w:r>
              <w:t xml:space="preserve">语句集成 TiDB Lightning 物理导入模式的能力 {/* tw@qiancai */}</w:t>
            </w:r>
          </w:p>
        </w:tc>
        <w:tc>
          <w:tcPr/>
          <w:p>
            <w:pPr>
              <w:pStyle w:val="Compact"/>
              <w:jc w:val="left"/>
            </w:pPr>
            <w:r>
              <w:t xml:space="preserve">在 v7.2 之前，如需基于文件系统进行数据导入，你需要安装</w:t>
            </w:r>
            <w:r>
              <w:t xml:space="preserve"> </w:t>
            </w:r>
            <w:hyperlink r:id="rId27">
              <w:r>
                <w:rPr>
                  <w:rStyle w:val="ae"/>
                </w:rPr>
                <w:t xml:space="preserve">TiDB Lightning</w:t>
              </w:r>
            </w:hyperlink>
            <w:r>
              <w:t xml:space="preserve"> </w:t>
            </w:r>
            <w:r>
              <w:t xml:space="preserve">并使用其物理导入模式。目前，该功能已集成到</w:t>
            </w:r>
            <w:r>
              <w:t xml:space="preserve"> </w:t>
            </w:r>
            <w:r>
              <w:rPr>
                <w:rStyle w:val="VerbatimChar"/>
              </w:rPr>
              <w:t xml:space="preserve">IMPORT INTO</w:t>
            </w:r>
            <w:r>
              <w:t xml:space="preserve"> </w:t>
            </w:r>
            <w:r>
              <w:t xml:space="preserve">语句中，你可以使用此语句快速导入数据，而无需安装任何额外的工具。该语句还支持新的</w:t>
            </w:r>
            <w:r>
              <w:t xml:space="preserve"> </w:t>
            </w:r>
            <w:hyperlink r:id="rId28">
              <w:r>
                <w:rPr>
                  <w:rStyle w:val="ae"/>
                </w:rPr>
                <w:t xml:space="preserve">分布式执行框架</w:t>
              </w:r>
            </w:hyperlink>
            <w:r>
              <w:t xml:space="preserve"> </w:t>
            </w:r>
            <w:r>
              <w:t xml:space="preserve">和</w:t>
            </w:r>
            <w:r>
              <w:t xml:space="preserve"> </w:t>
            </w:r>
            <w:hyperlink r:id="rId29">
              <w:r>
                <w:rPr>
                  <w:rStyle w:val="ae"/>
                </w:rPr>
                <w:t xml:space="preserve">全局排序</w:t>
              </w:r>
            </w:hyperlink>
            <w:r>
              <w:t xml:space="preserve"> </w:t>
            </w:r>
            <w:r>
              <w:t xml:space="preserve">功能，提升了大规模数据导入时的效率和稳定性。</w:t>
            </w:r>
          </w:p>
        </w:tc>
      </w:tr>
      <w:tr>
        <w:tc>
          <w:tcPr>
            <w:gridSpan w:val="1"/>
            <w:vMerge w:val="continue"/>
          </w:tcPr>
          <w:p>
            <w:pPr/>
          </w:p>
        </w:tc>
        <w:tc>
          <w:tcPr/>
          <w:p>
            <w:pPr>
              <w:pStyle w:val="Compact"/>
              <w:jc w:val="left"/>
            </w:pPr>
            <w:r>
              <w:t xml:space="preserve">选择</w:t>
            </w:r>
            <w:hyperlink r:id="rId30">
              <w:r>
                <w:rPr>
                  <w:rStyle w:val="ae"/>
                </w:rPr>
                <w:t xml:space="preserve">适用的 TiDB 节点</w:t>
              </w:r>
            </w:hyperlink>
            <w:r>
              <w:t xml:space="preserve">来并行执行</w:t>
            </w:r>
            <w:r>
              <w:t xml:space="preserve"> </w:t>
            </w:r>
            <w:r>
              <w:rPr>
                <w:rStyle w:val="VerbatimChar"/>
              </w:rPr>
              <w:t xml:space="preserve">ADD INDEX</w:t>
            </w:r>
            <w:r>
              <w:t xml:space="preserve"> </w:t>
            </w:r>
            <w:r>
              <w:t xml:space="preserve">或</w:t>
            </w:r>
            <w:r>
              <w:t xml:space="preserve"> </w:t>
            </w:r>
            <w:r>
              <w:rPr>
                <w:rStyle w:val="VerbatimChar"/>
              </w:rPr>
              <w:t xml:space="preserve">IMPORT INTO</w:t>
            </w:r>
            <w:r>
              <w:t xml:space="preserve"> </w:t>
            </w:r>
            <w:r>
              <w:t xml:space="preserve">SQL 语句 (GA) {/* tw@hfxsd */}</w:t>
            </w:r>
          </w:p>
        </w:tc>
        <w:tc>
          <w:tcPr/>
          <w:p>
            <w:pPr>
              <w:pStyle w:val="Compact"/>
              <w:jc w:val="left"/>
            </w:pPr>
            <w:r>
              <w:t xml:space="preserve">你可以选择在现有 TiDB 节点、或者新增 TiDB 节点执行</w:t>
            </w:r>
            <w:r>
              <w:t xml:space="preserve"> </w:t>
            </w:r>
            <w:r>
              <w:rPr>
                <w:rStyle w:val="VerbatimChar"/>
              </w:rPr>
              <w:t xml:space="preserve">ADD INDEX</w:t>
            </w:r>
            <w:r>
              <w:t xml:space="preserve"> </w:t>
            </w:r>
            <w:r>
              <w:t xml:space="preserve">和</w:t>
            </w:r>
            <w:r>
              <w:t xml:space="preserve"> </w:t>
            </w:r>
            <w:r>
              <w:rPr>
                <w:rStyle w:val="VerbatimChar"/>
              </w:rPr>
              <w:t xml:space="preserve">IMPORT INTO</w:t>
            </w:r>
            <w:r>
              <w:t xml:space="preserve"> </w:t>
            </w:r>
            <w:r>
              <w:t xml:space="preserve">SQL 语句。该方法可以实现与其他 TiDB 节点的资源隔离，确保在执行上述语句时的最佳性能，并避免对已有业务造成性能影响。在 v7.5.0 中，该功能正式 GA。</w:t>
            </w:r>
          </w:p>
        </w:tc>
      </w:tr>
      <w:tr>
        <w:tc>
          <w:tcPr>
            <w:gridSpan w:val="1"/>
            <w:vMerge w:val="continue"/>
          </w:tcPr>
          <w:p>
            <w:pPr/>
          </w:p>
        </w:tc>
        <w:tc>
          <w:tcPr/>
          <w:p>
            <w:pPr>
              <w:pStyle w:val="Compact"/>
              <w:jc w:val="left"/>
            </w:pPr>
            <w:r>
              <w:t xml:space="preserve">DDL 任务支持</w:t>
            </w:r>
            <w:hyperlink r:id="rId31">
              <w:r>
                <w:rPr>
                  <w:rStyle w:val="ae"/>
                </w:rPr>
                <w:t xml:space="preserve">暂停和恢复操作</w:t>
              </w:r>
            </w:hyperlink>
            <w:r>
              <w:t xml:space="preserve"> </w:t>
            </w:r>
            <w:r>
              <w:t xml:space="preserve">{/* tw@ran-huang */}</w:t>
            </w:r>
          </w:p>
        </w:tc>
        <w:tc>
          <w:tcPr/>
          <w:p>
            <w:pPr>
              <w:pStyle w:val="Compact"/>
              <w:jc w:val="left"/>
            </w:pPr>
            <w:r>
              <w:t xml:space="preserve">添加索引可能会消耗大量资源并影响在线流量。即使在资源组中进行了限制，或对标记的节点进行了隔离，你仍然可能需要在紧急情况下暂停这些任务。从 v7.2 开始，TiDB 原生支持同时暂停任意数量的后台任务，释放所需的资源，无需取消或重启任务。</w:t>
            </w:r>
          </w:p>
        </w:tc>
      </w:tr>
    </w:tbl>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p>
            <w:pPr>
              <w:pStyle w:val="Compact"/>
              <w:jc w:val="left"/>
            </w:pPr>
            <w:r>
              <w:t xml:space="preserve">分类</w:t>
            </w:r>
          </w:p>
        </w:tc>
        <w:tc>
          <w:tcPr/>
          <w:p>
            <w:pPr>
              <w:pStyle w:val="Compact"/>
              <w:jc w:val="left"/>
            </w:pPr>
            <w:r>
              <w:t xml:space="preserve">功能</w:t>
            </w:r>
          </w:p>
        </w:tc>
        <w:tc>
          <w:tcPr/>
          <w:p>
            <w:pPr>
              <w:pStyle w:val="Compact"/>
              <w:jc w:val="left"/>
            </w:pPr>
            <w:r>
              <w:t xml:space="preserve">描述</w:t>
            </w:r>
          </w:p>
        </w:tc>
      </w:tr>
      <w:tr>
        <w:tc>
          <w:tcPr>
            <w:vMerge w:val="restart"/>
          </w:tcPr>
          <w:p>
            <w:pPr>
              <w:pStyle w:val="Compact"/>
              <w:jc w:val="left"/>
            </w:pPr>
            <w:r>
              <w:t xml:space="preserve">稳定性与高可用</w:t>
            </w:r>
          </w:p>
        </w:tc>
        <w:tc>
          <w:tcPr/>
          <w:p>
            <w:pPr>
              <w:pStyle w:val="Compact"/>
              <w:jc w:val="left"/>
            </w:pPr>
            <w:r>
              <w:t xml:space="preserve">引入</w:t>
            </w:r>
            <w:hyperlink r:id="rId32">
              <w:r>
                <w:rPr>
                  <w:rStyle w:val="ae"/>
                </w:rPr>
                <w:t xml:space="preserve">全局排序能力</w:t>
              </w:r>
            </w:hyperlink>
            <w:r>
              <w:t xml:space="preserve">，提升</w:t>
            </w:r>
            <w:r>
              <w:rPr>
                <w:rStyle w:val="VerbatimChar"/>
              </w:rPr>
              <w:t xml:space="preserve">IMPORT INTO</w:t>
            </w:r>
            <w:r>
              <w:t xml:space="preserve">和</w:t>
            </w:r>
            <w:r>
              <w:rPr>
                <w:rStyle w:val="VerbatimChar"/>
              </w:rPr>
              <w:t xml:space="preserve">ADD INDEX</w:t>
            </w:r>
            <w:r>
              <w:t xml:space="preserve">任务的性能和稳定性（实验特性）</w:t>
            </w:r>
          </w:p>
        </w:tc>
        <w:tc>
          <w:tcPr/>
          <w:p>
            <w:pPr>
              <w:pStyle w:val="Compact"/>
              <w:jc w:val="left"/>
            </w:pPr>
            <w:r>
              <w:t xml:space="preserve">在 v7.4.0 以前，使用</w:t>
            </w:r>
            <w:hyperlink r:id="rId33">
              <w:r>
                <w:rPr>
                  <w:rStyle w:val="ae"/>
                </w:rPr>
                <w:t xml:space="preserve">分布式并行执行框架</w:t>
              </w:r>
            </w:hyperlink>
            <w:r>
              <w:t xml:space="preserve">执行</w:t>
            </w:r>
            <w:r>
              <w:t xml:space="preserve"> </w:t>
            </w:r>
            <w:r>
              <w:rPr>
                <w:rStyle w:val="VerbatimChar"/>
              </w:rPr>
              <w:t xml:space="preserve">ADD INDEX</w:t>
            </w:r>
            <w:r>
              <w:t xml:space="preserve"> </w:t>
            </w:r>
            <w:r>
              <w:t xml:space="preserve">或</w:t>
            </w:r>
            <w:r>
              <w:t xml:space="preserve"> </w:t>
            </w:r>
            <w:r>
              <w:rPr>
                <w:rStyle w:val="VerbatimChar"/>
              </w:rPr>
              <w:t xml:space="preserve">IMPORT INTO</w:t>
            </w:r>
            <w:r>
              <w:t xml:space="preserve"> </w:t>
            </w:r>
            <w:r>
              <w:t xml:space="preserve">等任务时，只能对部分数据进行局部排序。这导致 TiKV 需要采取额外操作，并且在将数据导入到 TiKV 之前，TiDB 节点还需要为其分配本地磁盘空间以进行排序。</w:t>
            </w:r>
            <w:r>
              <w:br/>
            </w:r>
            <w:r>
              <w:t xml:space="preserve">随着 v7.4.0 引入全局排序特性，可以将数据暂时存储在外部存储（如 S3）中进行全局排序后再导入到 TiKV 中。这一改进降低了 TiKV 对资源的额外消耗，并显著提高了</w:t>
            </w:r>
            <w:r>
              <w:t xml:space="preserve"> </w:t>
            </w:r>
            <w:r>
              <w:rPr>
                <w:rStyle w:val="VerbatimChar"/>
              </w:rPr>
              <w:t xml:space="preserve">ADD INDEX</w:t>
            </w:r>
            <w:r>
              <w:t xml:space="preserve"> </w:t>
            </w:r>
            <w:r>
              <w:t xml:space="preserve">和</w:t>
            </w:r>
            <w:r>
              <w:t xml:space="preserve"> </w:t>
            </w:r>
            <w:r>
              <w:rPr>
                <w:rStyle w:val="VerbatimChar"/>
              </w:rPr>
              <w:t xml:space="preserve">IMPORT INTO</w:t>
            </w:r>
            <w:r>
              <w:t xml:space="preserve"> </w:t>
            </w:r>
            <w:r>
              <w:t xml:space="preserve">等操作的性能和稳定性。</w:t>
            </w:r>
          </w:p>
        </w:tc>
      </w:tr>
      <w:tr>
        <w:tc>
          <w:tcPr>
            <w:gridSpan w:val="1"/>
            <w:vMerge w:val="continue"/>
          </w:tcPr>
          <w:p>
            <w:pPr/>
          </w:p>
        </w:tc>
        <w:tc>
          <w:tcPr/>
          <w:p>
            <w:pPr>
              <w:pStyle w:val="Compact"/>
              <w:jc w:val="left"/>
            </w:pPr>
            <w:hyperlink r:id="rId34">
              <w:r>
                <w:rPr>
                  <w:rStyle w:val="ae"/>
                </w:rPr>
                <w:t xml:space="preserve">资源管控</w:t>
              </w:r>
            </w:hyperlink>
            <w:r>
              <w:t xml:space="preserve">支持自动管理后台任务（实验特性）</w:t>
            </w:r>
          </w:p>
        </w:tc>
        <w:tc>
          <w:tcPr/>
          <w:p>
            <w:pPr>
              <w:pStyle w:val="Compact"/>
              <w:jc w:val="left"/>
            </w:pPr>
            <w:r>
              <w:t xml:space="preserve">从 v7.1.0 开始，资源管控成为正式功能，该特性有助于缓解不同工作负载间的资源与存储访问干扰。TiDB v7.4.0 将此资源控制应用于后台任务。资源管控可以识别和管理后台任务，例如自动收集统计信息、备份和恢复、TiDB Lightning 批量数据导入以及在线 DDL。未来，所有后台任务都将纳入资源管控。</w:t>
            </w:r>
          </w:p>
        </w:tc>
      </w:tr>
      <w:tr>
        <w:tc>
          <w:tcPr>
            <w:gridSpan w:val="1"/>
            <w:vMerge w:val="continue"/>
          </w:tcPr>
          <w:p>
            <w:pPr/>
          </w:p>
        </w:tc>
        <w:tc>
          <w:tcPr/>
          <w:p>
            <w:pPr>
              <w:pStyle w:val="Compact"/>
              <w:jc w:val="left"/>
            </w:pPr>
            <w:r>
              <w:t xml:space="preserve">TiFlash 支持</w:t>
            </w:r>
            <w:hyperlink r:id="rId35">
              <w:r>
                <w:rPr>
                  <w:rStyle w:val="ae"/>
                </w:rPr>
                <w:t xml:space="preserve">存储计算资源分离和 S3 共享存储</w:t>
              </w:r>
            </w:hyperlink>
            <w:r>
              <w:t xml:space="preserve"> </w:t>
            </w:r>
            <w:r>
              <w:t xml:space="preserve">(GA)</w:t>
            </w:r>
          </w:p>
        </w:tc>
        <w:tc>
          <w:tcPr/>
          <w:p>
            <w:pPr>
              <w:pStyle w:val="Compact"/>
              <w:jc w:val="left"/>
            </w:pPr>
            <w:r>
              <w:t xml:space="preserve">TiFlash 存算分离架构和 S3 共享存储成为正式功能：</w:t>
            </w:r>
          </w:p>
          <w:p>
            <w:pPr>
              <w:numPr>
                <w:ilvl w:val="0"/>
                <w:numId w:val="1001"/>
              </w:numPr>
              <w:pStyle w:val="Compact"/>
              <w:jc w:val="left"/>
            </w:pPr>
            <w:r>
              <w:t xml:space="preserve">支持分离 TiFlash 的存储和计算资源，提升 HTAP 资源的弹性能力。</w:t>
            </w:r>
          </w:p>
          <w:p>
            <w:pPr>
              <w:numPr>
                <w:ilvl w:val="0"/>
                <w:numId w:val="1001"/>
              </w:numPr>
              <w:pStyle w:val="Compact"/>
              <w:jc w:val="left"/>
            </w:pPr>
            <w:r>
              <w:t xml:space="preserve">支持基于 S3 的存储引擎，以更低的成本提供共享存储。</w:t>
            </w:r>
          </w:p>
        </w:tc>
      </w:tr>
      <w:tr>
        <w:tc>
          <w:tcPr>
            <w:vMerge w:val="restart"/>
          </w:tcPr>
          <w:p>
            <w:pPr>
              <w:pStyle w:val="Compact"/>
              <w:jc w:val="left"/>
            </w:pPr>
            <w:r>
              <w:t xml:space="preserve">SQL</w:t>
            </w:r>
          </w:p>
        </w:tc>
        <w:tc>
          <w:tcPr/>
          <w:p>
            <w:pPr>
              <w:pStyle w:val="Compact"/>
              <w:jc w:val="left"/>
            </w:pPr>
            <w:r>
              <w:t xml:space="preserve">TiDB 支持完整的</w:t>
            </w:r>
            <w:hyperlink r:id="rId36">
              <w:r>
                <w:rPr>
                  <w:rStyle w:val="ae"/>
                </w:rPr>
                <w:t xml:space="preserve">分区类型管理功能</w:t>
              </w:r>
            </w:hyperlink>
          </w:p>
        </w:tc>
        <w:tc>
          <w:tcPr/>
          <w:p>
            <w:pPr>
              <w:pStyle w:val="Compact"/>
              <w:jc w:val="left"/>
            </w:pPr>
            <w:r>
              <w:t xml:space="preserve">在 v7.4.0 之前，Range/List 分区表支持分区管理操作包括</w:t>
            </w:r>
            <w:r>
              <w:t xml:space="preserve"> </w:t>
            </w:r>
            <w:r>
              <w:rPr>
                <w:rStyle w:val="VerbatimChar"/>
              </w:rPr>
              <w:t xml:space="preserve">TRUNCATE</w:t>
            </w:r>
            <w:r>
              <w:t xml:space="preserve">、</w:t>
            </w:r>
            <w:r>
              <w:rPr>
                <w:rStyle w:val="VerbatimChar"/>
              </w:rPr>
              <w:t xml:space="preserve">EXCHANGE</w:t>
            </w:r>
            <w:r>
              <w:t xml:space="preserve">、</w:t>
            </w:r>
            <w:r>
              <w:rPr>
                <w:rStyle w:val="VerbatimChar"/>
              </w:rPr>
              <w:t xml:space="preserve">ADD</w:t>
            </w:r>
            <w:r>
              <w:t xml:space="preserve">、</w:t>
            </w:r>
            <w:r>
              <w:rPr>
                <w:rStyle w:val="VerbatimChar"/>
              </w:rPr>
              <w:t xml:space="preserve">DROP</w:t>
            </w:r>
            <w:r>
              <w:t xml:space="preserve">、</w:t>
            </w:r>
            <w:r>
              <w:rPr>
                <w:rStyle w:val="VerbatimChar"/>
              </w:rPr>
              <w:t xml:space="preserve">REORGANIZE</w:t>
            </w:r>
            <w:r>
              <w:t xml:space="preserve"> </w:t>
            </w:r>
            <w:r>
              <w:t xml:space="preserve">等，Hash/Key 分区表支持分区管理操作包括</w:t>
            </w:r>
            <w:r>
              <w:t xml:space="preserve"> </w:t>
            </w:r>
            <w:r>
              <w:rPr>
                <w:rStyle w:val="VerbatimChar"/>
              </w:rPr>
              <w:t xml:space="preserve">ADD</w:t>
            </w:r>
            <w:r>
              <w:t xml:space="preserve"> </w:t>
            </w:r>
            <w:r>
              <w:t xml:space="preserve">和</w:t>
            </w:r>
            <w:r>
              <w:t xml:space="preserve"> </w:t>
            </w:r>
            <w:r>
              <w:rPr>
                <w:rStyle w:val="VerbatimChar"/>
              </w:rPr>
              <w:t xml:space="preserve">COALESCE</w:t>
            </w:r>
            <w:r>
              <w:t xml:space="preserve"> </w:t>
            </w:r>
            <w:r>
              <w:t xml:space="preserve">等。</w:t>
            </w:r>
          </w:p>
          <w:p>
            <w:pPr>
              <w:jc w:val="left"/>
            </w:pPr>
            <w:r>
              <w:t xml:space="preserve">现在 TiDB 新增支持了以下分区类型管理操作：</w:t>
            </w:r>
          </w:p>
          <w:p>
            <w:pPr>
              <w:numPr>
                <w:ilvl w:val="0"/>
                <w:numId w:val="1002"/>
              </w:numPr>
              <w:pStyle w:val="Compact"/>
              <w:jc w:val="left"/>
            </w:pPr>
            <w:r>
              <w:t xml:space="preserve">将分区表转换为非分区表</w:t>
            </w:r>
          </w:p>
          <w:p>
            <w:pPr>
              <w:numPr>
                <w:ilvl w:val="0"/>
                <w:numId w:val="1002"/>
              </w:numPr>
              <w:pStyle w:val="Compact"/>
              <w:jc w:val="left"/>
            </w:pPr>
            <w:r>
              <w:t xml:space="preserve">对现有的非分区表进行分区</w:t>
            </w:r>
          </w:p>
          <w:p>
            <w:pPr>
              <w:numPr>
                <w:ilvl w:val="0"/>
                <w:numId w:val="1002"/>
              </w:numPr>
              <w:pStyle w:val="Compact"/>
              <w:jc w:val="left"/>
            </w:pPr>
            <w:r>
              <w:t xml:space="preserve">修改现有分区表的分区类型</w:t>
            </w:r>
          </w:p>
        </w:tc>
      </w:tr>
      <w:tr>
        <w:tc>
          <w:tcPr>
            <w:gridSpan w:val="1"/>
            <w:vMerge w:val="continue"/>
          </w:tcPr>
          <w:p>
            <w:pPr/>
          </w:p>
        </w:tc>
        <w:tc>
          <w:tcPr/>
          <w:p>
            <w:pPr>
              <w:pStyle w:val="Compact"/>
              <w:jc w:val="left"/>
            </w:pPr>
            <w:r>
              <w:t xml:space="preserve">MySQL 8.0 兼容性：支持</w:t>
            </w:r>
            <w:hyperlink r:id="rId37">
              <w:r>
                <w:rPr>
                  <w:rStyle w:val="ae"/>
                </w:rPr>
                <w:t xml:space="preserve">排序规则</w:t>
              </w:r>
              <w:r>
                <w:rPr>
                  <w:rStyle w:val="ae"/>
                </w:rPr>
                <w:t xml:space="preserve"> </w:t>
              </w:r>
              <w:r>
                <w:rPr>
                  <w:rStyle w:val="VerbatimChar"/>
                </w:rPr>
                <w:t xml:space="preserve">utf8mb4_0900_ai_ci</w:t>
              </w:r>
            </w:hyperlink>
          </w:p>
        </w:tc>
        <w:tc>
          <w:tcPr/>
          <w:p>
            <w:pPr>
              <w:pStyle w:val="Compact"/>
              <w:jc w:val="left"/>
            </w:pPr>
            <w:r>
              <w:t xml:space="preserve">MySQL 8.0 的一个显著变化是默认字符集更改为 utf8mb4，其默认排序规则是</w:t>
            </w:r>
            <w:r>
              <w:t xml:space="preserve"> </w:t>
            </w:r>
            <w:r>
              <w:rPr>
                <w:rStyle w:val="VerbatimChar"/>
              </w:rPr>
              <w:t xml:space="preserve">utf8mb4_0900_ai_ci</w:t>
            </w:r>
            <w:r>
              <w:t xml:space="preserve">。TiDB v7.4.0 增强了与 MySQL 8.0 的兼容性。现在你可以更轻松地将在 MySQL 8.0 中使用默认排序规则创建的数据库迁移或复制到 TiDB。</w:t>
            </w:r>
          </w:p>
        </w:tc>
      </w:tr>
      <w:tr>
        <w:tc>
          <w:tcPr/>
          <w:p>
            <w:pPr>
              <w:pStyle w:val="Compact"/>
              <w:jc w:val="left"/>
            </w:pPr>
            <w:r>
              <w:t xml:space="preserve">数据库管理与可观测性</w:t>
            </w:r>
          </w:p>
        </w:tc>
        <w:tc>
          <w:tcPr/>
          <w:p>
            <w:pPr>
              <w:pStyle w:val="Compact"/>
              <w:jc w:val="left"/>
            </w:pPr>
            <w:r>
              <w:t xml:space="preserve">选择</w:t>
            </w:r>
            <w:hyperlink r:id="rId38">
              <w:r>
                <w:rPr>
                  <w:rStyle w:val="ae"/>
                </w:rPr>
                <w:t xml:space="preserve">适用的 TiDB 节点</w:t>
              </w:r>
            </w:hyperlink>
            <w:r>
              <w:t xml:space="preserve">来并行执行</w:t>
            </w:r>
            <w:r>
              <w:t xml:space="preserve"> </w:t>
            </w:r>
            <w:r>
              <w:rPr>
                <w:rStyle w:val="VerbatimChar"/>
              </w:rPr>
              <w:t xml:space="preserve">ADD INDEX</w:t>
            </w:r>
            <w:r>
              <w:t xml:space="preserve"> </w:t>
            </w:r>
            <w:r>
              <w:t xml:space="preserve">或</w:t>
            </w:r>
            <w:r>
              <w:t xml:space="preserve"> </w:t>
            </w:r>
            <w:r>
              <w:rPr>
                <w:rStyle w:val="VerbatimChar"/>
              </w:rPr>
              <w:t xml:space="preserve">IMPORT INTO</w:t>
            </w:r>
            <w:r>
              <w:t xml:space="preserve"> </w:t>
            </w:r>
            <w:r>
              <w:t xml:space="preserve">SQL 语句（实验特性）</w:t>
            </w:r>
          </w:p>
        </w:tc>
        <w:tc>
          <w:tcPr/>
          <w:p>
            <w:pPr>
              <w:pStyle w:val="Compact"/>
              <w:jc w:val="left"/>
            </w:pPr>
            <w:r>
              <w:t xml:space="preserve">你可以选择在现有 TiDB 节点、或者新增 TiDB 节点执行</w:t>
            </w:r>
            <w:r>
              <w:t xml:space="preserve"> </w:t>
            </w:r>
            <w:r>
              <w:rPr>
                <w:rStyle w:val="VerbatimChar"/>
              </w:rPr>
              <w:t xml:space="preserve">ADD INDEX</w:t>
            </w:r>
            <w:r>
              <w:t xml:space="preserve"> </w:t>
            </w:r>
            <w:r>
              <w:t xml:space="preserve">和</w:t>
            </w:r>
            <w:r>
              <w:t xml:space="preserve"> </w:t>
            </w:r>
            <w:r>
              <w:rPr>
                <w:rStyle w:val="VerbatimChar"/>
              </w:rPr>
              <w:t xml:space="preserve">IMPORT INTO</w:t>
            </w:r>
            <w:r>
              <w:t xml:space="preserve"> </w:t>
            </w:r>
            <w:r>
              <w:t xml:space="preserve">SQL 语句。该方法可以实现与其他 TiDB 节点的资源隔离，确保在执行上述语句时的最佳性能，并避免对已有业务造成性能影响。</w:t>
            </w:r>
          </w:p>
        </w:tc>
      </w:tr>
    </w:tbl>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分类</w:t>
            </w:r>
          </w:p>
        </w:tc>
        <w:tc>
          <w:tcPr/>
          <w:p>
            <w:pPr>
              <w:pStyle w:val="Compact"/>
              <w:jc w:val="left"/>
            </w:pPr>
            <w:r>
              <w:t xml:space="preserve">功能</w:t>
            </w:r>
          </w:p>
        </w:tc>
        <w:tc>
          <w:tcPr/>
          <w:p>
            <w:pPr>
              <w:pStyle w:val="Compact"/>
              <w:jc w:val="left"/>
            </w:pPr>
            <w:r>
              <w:t xml:space="preserve">描述</w:t>
            </w:r>
          </w:p>
        </w:tc>
      </w:tr>
      <w:tr>
        <w:tc>
          <w:tcPr/>
          <w:p>
            <w:pPr>
              <w:pStyle w:val="Compact"/>
              <w:jc w:val="left"/>
            </w:pPr>
            <w:r>
              <w:t xml:space="preserve">可扩展性与性能</w:t>
            </w:r>
          </w:p>
        </w:tc>
        <w:tc>
          <w:tcPr/>
          <w:p>
            <w:pPr>
              <w:pStyle w:val="Compact"/>
              <w:jc w:val="left"/>
            </w:pPr>
            <w:r>
              <w:t xml:space="preserve">TiDB Lightning 支持</w:t>
            </w:r>
            <w:r>
              <w:t xml:space="preserve"> </w:t>
            </w:r>
            <w:hyperlink r:id="rId39">
              <w:r>
                <w:rPr>
                  <w:rStyle w:val="ae"/>
                </w:rPr>
                <w:t xml:space="preserve">Partitioned Raft KV</w:t>
              </w:r>
            </w:hyperlink>
            <w:r>
              <w:t xml:space="preserve">（实验特性）</w:t>
            </w:r>
          </w:p>
        </w:tc>
        <w:tc>
          <w:tcPr/>
          <w:p>
            <w:pPr>
              <w:pStyle w:val="Compact"/>
              <w:jc w:val="left"/>
            </w:pPr>
            <w:r>
              <w:t xml:space="preserve">TiDB Lightning 的数据导入服务支持新的 Partitioned Raft KV 架构，为 Partitioned Raft KV 在 TiDB 后续版本中 GA 做好准备。</w:t>
            </w:r>
          </w:p>
        </w:tc>
      </w:tr>
      <w:tr>
        <w:tc>
          <w:tcPr>
            <w:vMerge w:val="restart"/>
          </w:tcPr>
          <w:p>
            <w:pPr>
              <w:pStyle w:val="Compact"/>
              <w:jc w:val="left"/>
            </w:pPr>
            <w:r>
              <w:t xml:space="preserve">稳定性与高可用</w:t>
            </w:r>
          </w:p>
        </w:tc>
        <w:tc>
          <w:tcPr/>
          <w:p>
            <w:pPr>
              <w:pStyle w:val="Compact"/>
              <w:jc w:val="left"/>
            </w:pPr>
            <w:hyperlink r:id="rId40">
              <w:r>
                <w:rPr>
                  <w:rStyle w:val="ae"/>
                </w:rPr>
                <w:t xml:space="preserve">TiDB Lightning 引入冲突数据的自动检测和处理机制</w:t>
              </w:r>
            </w:hyperlink>
          </w:p>
        </w:tc>
        <w:tc>
          <w:tcPr/>
          <w:p>
            <w:pPr>
              <w:pStyle w:val="Compact"/>
              <w:jc w:val="left"/>
            </w:pPr>
            <w:r>
              <w:t xml:space="preserve">TiDB Lightning 物理导入模式支持新版本的冲突检测机制，支持在遇到数据冲突时替换 (</w:t>
            </w:r>
            <w:r>
              <w:rPr>
                <w:rStyle w:val="VerbatimChar"/>
              </w:rPr>
              <w:t xml:space="preserve">replace</w:t>
            </w:r>
            <w:r>
              <w:t xml:space="preserve">) 或忽略 (</w:t>
            </w:r>
            <w:r>
              <w:rPr>
                <w:rStyle w:val="VerbatimChar"/>
              </w:rPr>
              <w:t xml:space="preserve">ignore</w:t>
            </w:r>
            <w:r>
              <w:t xml:space="preserve">) 冲突数据的语义。TiDB Lightning 会自动处理冲突数据，同时提高了冲突处理的性能。</w:t>
            </w:r>
          </w:p>
        </w:tc>
      </w:tr>
      <w:tr>
        <w:tc>
          <w:tcPr>
            <w:gridSpan w:val="1"/>
            <w:vMerge w:val="continue"/>
          </w:tcPr>
          <w:p>
            <w:pPr/>
          </w:p>
        </w:tc>
        <w:tc>
          <w:tcPr/>
          <w:p>
            <w:pPr>
              <w:pStyle w:val="Compact"/>
              <w:jc w:val="left"/>
            </w:pPr>
            <w:hyperlink r:id="rId41">
              <w:r>
                <w:rPr>
                  <w:rStyle w:val="ae"/>
                </w:rPr>
                <w:t xml:space="preserve">手动标记资源使用超出预期的查询</w:t>
              </w:r>
            </w:hyperlink>
            <w:r>
              <w:t xml:space="preserve">（实验特性）</w:t>
            </w:r>
          </w:p>
        </w:tc>
        <w:tc>
          <w:tcPr/>
          <w:p>
            <w:pPr>
              <w:pStyle w:val="Compact"/>
              <w:jc w:val="left"/>
            </w:pPr>
            <w:r>
              <w:t xml:space="preserve">查询耗费的时间有时会超出预期。通过资源组新增的 Runaway Queries 监控列表，你可以设置降低 Runaway Queries 的优先级或终止查询，从而更有效地管理查询。该功能允许算子在资源组级别通过匹配 SQL 文本、SQL digest 或执行计划标记查询，并对这些查询进行处理，从而更好地控制非预期的大型查询可能对集群产生的影响。</w:t>
            </w:r>
          </w:p>
        </w:tc>
      </w:tr>
      <w:tr>
        <w:tc>
          <w:tcPr/>
          <w:p>
            <w:pPr>
              <w:pStyle w:val="Compact"/>
              <w:jc w:val="left"/>
            </w:pPr>
            <w:r>
              <w:t xml:space="preserve">SQL</w:t>
            </w:r>
          </w:p>
        </w:tc>
        <w:tc>
          <w:tcPr/>
          <w:p>
            <w:pPr>
              <w:pStyle w:val="Compact"/>
              <w:jc w:val="left"/>
            </w:pPr>
            <w:hyperlink r:id="rId42">
              <w:r>
                <w:rPr>
                  <w:rStyle w:val="ae"/>
                </w:rPr>
                <w:t xml:space="preserve">添加更多优化器提示，加强对算子的控制，提升查询稳定性</w:t>
              </w:r>
            </w:hyperlink>
          </w:p>
        </w:tc>
        <w:tc>
          <w:tcPr/>
          <w:p>
            <w:pPr>
              <w:pStyle w:val="Compact"/>
              <w:jc w:val="left"/>
            </w:pPr>
            <w:r>
              <w:t xml:space="preserve">新增优化器提示：</w:t>
            </w:r>
            <w:r>
              <w:rPr>
                <w:rStyle w:val="VerbatimChar"/>
              </w:rPr>
              <w:t xml:space="preserve">NO_INDEX_JOIN()</w:t>
            </w:r>
            <w:r>
              <w:t xml:space="preserve">、</w:t>
            </w:r>
            <w:r>
              <w:rPr>
                <w:rStyle w:val="VerbatimChar"/>
              </w:rPr>
              <w:t xml:space="preserve">NO_MERGE_JOIN()</w:t>
            </w:r>
            <w:r>
              <w:t xml:space="preserve">、</w:t>
            </w:r>
            <w:r>
              <w:rPr>
                <w:rStyle w:val="VerbatimChar"/>
              </w:rPr>
              <w:t xml:space="preserve">NO_INDEX_MERGE_JOIN()</w:t>
            </w:r>
            <w:r>
              <w:t xml:space="preserve">、</w:t>
            </w:r>
            <w:r>
              <w:rPr>
                <w:rStyle w:val="VerbatimChar"/>
              </w:rPr>
              <w:t xml:space="preserve">NO_HASH_JOIN()</w:t>
            </w:r>
            <w:r>
              <w:t xml:space="preserve">、</w:t>
            </w:r>
            <w:r>
              <w:rPr>
                <w:rStyle w:val="VerbatimChar"/>
              </w:rPr>
              <w:t xml:space="preserve">NO_INDEX_HASH_JOIN()</w:t>
            </w:r>
          </w:p>
        </w:tc>
      </w:tr>
      <w:tr>
        <w:tc>
          <w:tcPr/>
          <w:p>
            <w:pPr>
              <w:pStyle w:val="Compact"/>
              <w:jc w:val="left"/>
            </w:pPr>
            <w:r>
              <w:t xml:space="preserve">数据库管理与可观测性</w:t>
            </w:r>
          </w:p>
        </w:tc>
        <w:tc>
          <w:tcPr/>
          <w:p>
            <w:pPr>
              <w:pStyle w:val="Compact"/>
              <w:jc w:val="left"/>
            </w:pPr>
            <w:hyperlink r:id="rId43">
              <w:r>
                <w:rPr>
                  <w:rStyle w:val="ae"/>
                </w:rPr>
                <w:t xml:space="preserve">显示统计信息收集的进度</w:t>
              </w:r>
            </w:hyperlink>
          </w:p>
        </w:tc>
        <w:tc>
          <w:tcPr/>
          <w:p>
            <w:pPr>
              <w:pStyle w:val="Compact"/>
              <w:jc w:val="left"/>
            </w:pPr>
            <w:r>
              <w:t xml:space="preserve">支持使用</w:t>
            </w:r>
            <w:r>
              <w:t xml:space="preserve"> </w:t>
            </w:r>
            <w:r>
              <w:rPr>
                <w:rStyle w:val="VerbatimChar"/>
              </w:rPr>
              <w:t xml:space="preserve">SHOW ANALYZE STATUS</w:t>
            </w:r>
            <w:r>
              <w:t xml:space="preserve"> </w:t>
            </w:r>
            <w:r>
              <w:t xml:space="preserve">语句或通过</w:t>
            </w:r>
            <w:r>
              <w:t xml:space="preserve"> </w:t>
            </w:r>
            <w:r>
              <w:rPr>
                <w:rStyle w:val="VerbatimChar"/>
              </w:rPr>
              <w:t xml:space="preserve">mysql.analyze_jobs</w:t>
            </w:r>
            <w:r>
              <w:t xml:space="preserve"> </w:t>
            </w:r>
            <w:r>
              <w:t xml:space="preserve">系统表查看</w:t>
            </w:r>
            <w:r>
              <w:t xml:space="preserve"> </w:t>
            </w:r>
            <w:r>
              <w:rPr>
                <w:rStyle w:val="VerbatimChar"/>
              </w:rPr>
              <w:t xml:space="preserve">ANALYZE</w:t>
            </w:r>
            <w:r>
              <w:t xml:space="preserve"> </w:t>
            </w:r>
            <w:r>
              <w:t xml:space="preserve">任务的进度。</w:t>
            </w:r>
          </w:p>
        </w:tc>
      </w:tr>
    </w:tbl>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分类</w:t>
            </w:r>
          </w:p>
        </w:tc>
        <w:tc>
          <w:tcPr/>
          <w:p>
            <w:pPr>
              <w:pStyle w:val="Compact"/>
              <w:jc w:val="left"/>
            </w:pPr>
            <w:r>
              <w:t xml:space="preserve">功能</w:t>
            </w:r>
          </w:p>
        </w:tc>
        <w:tc>
          <w:tcPr/>
          <w:p>
            <w:pPr>
              <w:pStyle w:val="Compact"/>
              <w:jc w:val="left"/>
            </w:pPr>
            <w:r>
              <w:t xml:space="preserve">描述</w:t>
            </w:r>
          </w:p>
        </w:tc>
      </w:tr>
      <w:tr>
        <w:tc>
          <w:tcPr>
            <w:vMerge w:val="restart"/>
          </w:tcPr>
          <w:p>
            <w:pPr>
              <w:pStyle w:val="Compact"/>
              <w:jc w:val="left"/>
            </w:pPr>
            <w:r>
              <w:t xml:space="preserve">可扩展性与性能</w:t>
            </w:r>
          </w:p>
        </w:tc>
        <w:tc>
          <w:tcPr/>
          <w:p>
            <w:pPr>
              <w:pStyle w:val="Compact"/>
              <w:jc w:val="left"/>
            </w:pPr>
            <w:r>
              <w:t xml:space="preserve">资源组支持</w:t>
            </w:r>
            <w:hyperlink r:id="rId44">
              <w:r>
                <w:rPr>
                  <w:rStyle w:val="ae"/>
                </w:rPr>
                <w:t xml:space="preserve">管理资源消耗超出预期的查询</w:t>
              </w:r>
            </w:hyperlink>
            <w:r>
              <w:t xml:space="preserve">（实验特性）</w:t>
            </w:r>
          </w:p>
        </w:tc>
        <w:tc>
          <w:tcPr/>
          <w:p>
            <w:pPr>
              <w:pStyle w:val="Compact"/>
              <w:jc w:val="left"/>
            </w:pPr>
            <w:r>
              <w:t xml:space="preserve">通过此功能，你可以更细粒度地管理执行时间超时的查询，根据查询的不同类型实现不同的行为。符合指定阈值的查询将按照你的设置被降低优先级或者终止执行。</w:t>
            </w:r>
          </w:p>
        </w:tc>
      </w:tr>
      <w:tr>
        <w:tc>
          <w:tcPr>
            <w:gridSpan w:val="1"/>
            <w:vMerge w:val="continue"/>
          </w:tcPr>
          <w:p>
            <w:pPr/>
          </w:p>
        </w:tc>
        <w:tc>
          <w:tcPr/>
          <w:p>
            <w:pPr>
              <w:pStyle w:val="Compact"/>
              <w:jc w:val="left"/>
            </w:pPr>
            <w:r>
              <w:t xml:space="preserve">TiFlash 支持</w:t>
            </w:r>
            <w:r>
              <w:t xml:space="preserve"> </w:t>
            </w:r>
            <w:hyperlink r:id="rId45">
              <w:r>
                <w:rPr>
                  <w:rStyle w:val="ae"/>
                </w:rPr>
                <w:t xml:space="preserve">Pipeline 执行模型</w:t>
              </w:r>
            </w:hyperlink>
            <w:r>
              <w:t xml:space="preserve">（实验特性）</w:t>
            </w:r>
          </w:p>
        </w:tc>
        <w:tc>
          <w:tcPr/>
          <w:p>
            <w:pPr>
              <w:pStyle w:val="Compact"/>
              <w:jc w:val="left"/>
            </w:pPr>
            <w:r>
              <w:t xml:space="preserve">TiFlash 支持 Pipeline 执行模型，优化对线程资源的控制。</w:t>
            </w:r>
          </w:p>
        </w:tc>
      </w:tr>
      <w:tr>
        <w:tc>
          <w:tcPr/>
          <w:p>
            <w:pPr>
              <w:pStyle w:val="Compact"/>
              <w:jc w:val="left"/>
            </w:pPr>
            <w:r>
              <w:t xml:space="preserve">SQL</w:t>
            </w:r>
          </w:p>
        </w:tc>
        <w:tc>
          <w:tcPr/>
          <w:p>
            <w:pPr>
              <w:pStyle w:val="Compact"/>
              <w:jc w:val="left"/>
            </w:pPr>
            <w:r>
              <w:t xml:space="preserve">支持新的 SQL 语句</w:t>
            </w:r>
            <w:r>
              <w:t xml:space="preserve"> </w:t>
            </w:r>
            <w:hyperlink r:id="rId46">
              <w:r>
                <w:rPr>
                  <w:rStyle w:val="VerbatimChar"/>
                </w:rPr>
                <w:t xml:space="preserve">IMPORT INTO</w:t>
              </w:r>
            </w:hyperlink>
            <w:r>
              <w:t xml:space="preserve">，可以通过 TiDB 进行数据导入（实验特性）</w:t>
            </w:r>
          </w:p>
        </w:tc>
        <w:tc>
          <w:tcPr/>
          <w:p>
            <w:pPr>
              <w:pStyle w:val="Compact"/>
              <w:jc w:val="left"/>
            </w:pPr>
            <w:r>
              <w:t xml:space="preserve">TiDB 引入了一个新的 SQL 语句</w:t>
            </w:r>
            <w:r>
              <w:t xml:space="preserve"> </w:t>
            </w:r>
            <w:r>
              <w:rPr>
                <w:rStyle w:val="VerbatimChar"/>
              </w:rPr>
              <w:t xml:space="preserve">IMPORT INTO</w:t>
            </w:r>
            <w:r>
              <w:t xml:space="preserve">。该语句集成了 TiDB Lightning 的物理导入模式的能力，使你无需单独部署和管理 TiDB Lightning 即可导入数据文件到 TiDB 中。例如，通过该语句，你可以直接从 Amazon S3 或 Google Cloud Storage (GCS) 远程导入数据到 TiDB 中。</w:t>
            </w:r>
          </w:p>
        </w:tc>
      </w:tr>
      <w:tr>
        <w:tc>
          <w:tcPr/>
          <w:p>
            <w:pPr>
              <w:pStyle w:val="Compact"/>
              <w:jc w:val="left"/>
            </w:pPr>
            <w:r>
              <w:t xml:space="preserve">数据库管理与可观测性</w:t>
            </w:r>
          </w:p>
        </w:tc>
        <w:tc>
          <w:tcPr/>
          <w:p>
            <w:pPr>
              <w:pStyle w:val="Compact"/>
              <w:jc w:val="left"/>
            </w:pPr>
            <w:r>
              <w:t xml:space="preserve">DDL 任务支持</w:t>
            </w:r>
            <w:hyperlink r:id="rId47">
              <w:r>
                <w:rPr>
                  <w:rStyle w:val="ae"/>
                </w:rPr>
                <w:t xml:space="preserve">暂停和恢复操作</w:t>
              </w:r>
            </w:hyperlink>
            <w:r>
              <w:t xml:space="preserve">（实验特性）</w:t>
            </w:r>
          </w:p>
        </w:tc>
        <w:tc>
          <w:tcPr/>
          <w:p>
            <w:pPr>
              <w:pStyle w:val="Compact"/>
              <w:jc w:val="left"/>
            </w:pPr>
            <w:r>
              <w:t xml:space="preserve">该功能允许临时暂停资源密集型的 DDL 操作，例如索引创建，以节省资源并最小化对在线流量的影响。当资源许可时，你可以无缝恢复 DDL 任务，而无需取消和重新开始。该功能提高了资源利用率，改善了用户体验，并简化了 schema 更改过程。</w:t>
            </w:r>
          </w:p>
        </w:tc>
      </w:tr>
    </w:tbl>
    <w:sectPr w:rsidR="009E7F7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Noto Sans">
    <w:panose1 w:val="020B0502040504020204"/>
    <w:charset w:val="00"/>
    <w:family w:val="swiss"/>
    <w:pitch w:val="variable"/>
    <w:sig w:usb0="E00082FF" w:usb1="4000205F" w:usb2="08000029" w:usb3="00000000" w:csb0="0000019F" w:csb1="00000000"/>
  </w:font>
  <w:font w:name="Noto Sans SC">
    <w:panose1 w:val="020B0200000000000000"/>
    <w:charset w:val="80"/>
    <w:family w:val="swiss"/>
    <w:pitch w:val="variable"/>
    <w:sig w:usb0="20000083" w:usb1="2ADF3C10" w:usb2="00000016" w:usb3="00000000" w:csb0="00060107" w:csb1="00000000"/>
  </w:font>
  <w:font w:name="Times New Roman (标题 CS)">
    <w:altName w:val="宋体"/>
    <w:panose1 w:val="020B0604020202020204"/>
    <w:charset w:val="86"/>
    <w:family w:val="roman"/>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D90D25C"/>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948408B4"/>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D78A82E6"/>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854AE77E"/>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F170F06E"/>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A91C1144"/>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C28AA26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E994737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A0926D26"/>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9B0A4710"/>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B01BA4"/>
    <w:multiLevelType w:val="multilevel"/>
    <w:tmpl w:val="CD3C1844"/>
    <w:lvl w:ilvl="0">
      <w:start w:val="1"/>
      <w:numFmt w:val="decimal"/>
      <w:pStyle w:val="1"/>
      <w:suff w:val="space"/>
      <w:lvlText w:val="%1"/>
      <w:lvlJc w:val="left"/>
      <w:pPr>
        <w:ind w:firstLine="0" w:left="0"/>
      </w:pPr>
      <w:rPr>
        <w:rFonts w:hint="eastAsia"/>
      </w:rPr>
    </w:lvl>
    <w:lvl w:ilvl="1">
      <w:start w:val="1"/>
      <w:numFmt w:val="decimal"/>
      <w:pStyle w:val="2"/>
      <w:suff w:val="space"/>
      <w:lvlText w:val="%1.%2"/>
      <w:lvlJc w:val="left"/>
      <w:pPr>
        <w:ind w:firstLine="0" w:left="0"/>
      </w:pPr>
      <w:rPr>
        <w:rFonts w:hint="eastAsia"/>
      </w:rPr>
    </w:lvl>
    <w:lvl w:ilvl="2">
      <w:start w:val="1"/>
      <w:numFmt w:val="decimal"/>
      <w:pStyle w:val="3"/>
      <w:suff w:val="space"/>
      <w:lvlText w:val="%1.%2.%3"/>
      <w:lvlJc w:val="left"/>
      <w:pPr>
        <w:ind w:firstLine="0" w:left="0"/>
      </w:pPr>
      <w:rPr>
        <w:rFonts w:hint="eastAsia"/>
      </w:rPr>
    </w:lvl>
    <w:lvl w:ilvl="3">
      <w:start w:val="1"/>
      <w:numFmt w:val="decimal"/>
      <w:pStyle w:val="4"/>
      <w:suff w:val="space"/>
      <w:lvlText w:val="%1.%2.%3.%4"/>
      <w:lvlJc w:val="left"/>
      <w:pPr>
        <w:ind w:firstLine="0" w:left="0"/>
      </w:pPr>
      <w:rPr>
        <w:rFonts w:hint="eastAsia"/>
      </w:rPr>
    </w:lvl>
    <w:lvl w:ilvl="4">
      <w:start w:val="1"/>
      <w:numFmt w:val="decimal"/>
      <w:pStyle w:val="5"/>
      <w:suff w:val="space"/>
      <w:lvlText w:val="%1.%2.%3.%4.%5"/>
      <w:lvlJc w:val="left"/>
      <w:pPr>
        <w:ind w:firstLine="0" w:left="0"/>
      </w:pPr>
      <w:rPr>
        <w:rFonts w:hint="eastAsia"/>
      </w:rPr>
    </w:lvl>
    <w:lvl w:ilvl="5">
      <w:start w:val="1"/>
      <w:numFmt w:val="decimal"/>
      <w:suff w:val="space"/>
      <w:lvlText w:val="%1.%2.%3.%4.%5.%6"/>
      <w:lvlJc w:val="left"/>
      <w:pPr>
        <w:ind w:firstLine="0" w:left="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1">
    <w:nsid w:val="072E2258"/>
    <w:multiLevelType w:val="multilevel"/>
    <w:tmpl w:val="0AE675CE"/>
    <w:lvl w:ilvl="0">
      <w:start w:val="1"/>
      <w:numFmt w:val="decimal"/>
      <w:lvlText w:val="%1"/>
      <w:lvlJc w:val="left"/>
      <w:pPr>
        <w:ind w:hanging="425" w:left="425"/>
      </w:pPr>
      <w:rPr>
        <w:rFonts w:hint="eastAsia"/>
      </w:rPr>
    </w:lvl>
    <w:lvl w:ilvl="1">
      <w:start w:val="1"/>
      <w:numFmt w:val="decimal"/>
      <w:lvlText w:val="%1.%2"/>
      <w:lvlJc w:val="left"/>
      <w:pPr>
        <w:ind w:hanging="567" w:left="992"/>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2">
    <w:nsid w:val="107873CB"/>
    <w:multiLevelType w:val="multilevel"/>
    <w:tmpl w:val="763A0874"/>
    <w:styleLink w:val="6"/>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3">
    <w:nsid w:val="130671A4"/>
    <w:multiLevelType w:val="multilevel"/>
    <w:tmpl w:val="093CC22E"/>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4">
    <w:nsid w:val="15854600"/>
    <w:multiLevelType w:val="multilevel"/>
    <w:tmpl w:val="0409001D"/>
    <w:styleLink w:val="19"/>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5">
    <w:nsid w:val="170CD2DE"/>
    <w:multiLevelType w:val="multilevel"/>
    <w:tmpl w:val="744E55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18DD7A39"/>
    <w:multiLevelType w:val="multilevel"/>
    <w:tmpl w:val="4AC279F4"/>
    <w:styleLink w:val="8"/>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tabs>
          <w:tab w:pos="0" w:val="num"/>
        </w:tabs>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7">
    <w:nsid w:val="18E4222A"/>
    <w:multiLevelType w:val="multilevel"/>
    <w:tmpl w:val="9E2EE0FC"/>
    <w:styleLink w:val="9"/>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8">
    <w:nsid w:val="21520FF7"/>
    <w:multiLevelType w:val="multilevel"/>
    <w:tmpl w:val="0409001D"/>
    <w:styleLink w:val="10"/>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9">
    <w:nsid w:val="23A5207B"/>
    <w:multiLevelType w:val="multilevel"/>
    <w:tmpl w:val="5B1A6F12"/>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0">
    <w:nsid w:val="25FF6F66"/>
    <w:multiLevelType w:val="multilevel"/>
    <w:tmpl w:val="1DAE00D4"/>
    <w:styleLink w:val="15"/>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suff w:val="space"/>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1">
    <w:nsid w:val="2FA75C6F"/>
    <w:multiLevelType w:val="multilevel"/>
    <w:tmpl w:val="2F5650CA"/>
    <w:styleLink w:val="20"/>
    <w:lvl w:ilvl="0">
      <w:start w:val="1"/>
      <w:numFmt w:val="decimal"/>
      <w:lvlText w:val="%1"/>
      <w:lvlJc w:val="left"/>
      <w:pPr>
        <w:ind w:hanging="425" w:left="425"/>
      </w:pPr>
      <w:rPr>
        <w:rFonts w:hint="eastAsia"/>
      </w:rPr>
    </w:lvl>
    <w:lvl w:ilvl="1">
      <w:start w:val="1"/>
      <w:numFmt w:val="decimal"/>
      <w:lvlText w:val="%1.%2"/>
      <w:lvlJc w:val="left"/>
      <w:pPr>
        <w:ind w:firstLine="0" w:left="0"/>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2">
    <w:nsid w:val="33550012"/>
    <w:multiLevelType w:val="multilevel"/>
    <w:tmpl w:val="85967156"/>
    <w:styleLink w:val="4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3">
    <w:nsid w:val="39B5162F"/>
    <w:multiLevelType w:val="multilevel"/>
    <w:tmpl w:val="0409001D"/>
    <w:styleLink w:val="200"/>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24">
    <w:nsid w:val="3AA9228E"/>
    <w:multiLevelType w:val="multilevel"/>
    <w:tmpl w:val="0409001D"/>
    <w:styleLink w:val="2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25">
    <w:nsid w:val="47C63B52"/>
    <w:multiLevelType w:val="multilevel"/>
    <w:tmpl w:val="18389C4C"/>
    <w:styleLink w:val="7"/>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6">
    <w:nsid w:val="47D864C0"/>
    <w:multiLevelType w:val="multilevel"/>
    <w:tmpl w:val="0409001D"/>
    <w:styleLink w:val="23"/>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27">
    <w:nsid w:val="489B330A"/>
    <w:multiLevelType w:val="multilevel"/>
    <w:tmpl w:val="3DD221CE"/>
    <w:styleLink w:val="13"/>
    <w:lvl w:ilvl="0">
      <w:start w:val="1"/>
      <w:numFmt w:val="decimal"/>
      <w:suff w:val="space"/>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8">
    <w:nsid w:val="49405520"/>
    <w:multiLevelType w:val="multilevel"/>
    <w:tmpl w:val="C9BA91B0"/>
    <w:styleLink w:val="10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isLg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9">
    <w:nsid w:val="4D2E1A00"/>
    <w:multiLevelType w:val="multilevel"/>
    <w:tmpl w:val="C9403100"/>
    <w:styleLink w:val="30"/>
    <w:lvl w:ilvl="0">
      <w:start w:val="1"/>
      <w:numFmt w:val="decimal"/>
      <w:lvlText w:val="%1"/>
      <w:lvlJc w:val="left"/>
      <w:pPr>
        <w:ind w:hanging="425" w:left="425"/>
      </w:pPr>
      <w:rPr>
        <w:rFonts w:hint="eastAsia"/>
      </w:rPr>
    </w:lvl>
    <w:lvl w:ilvl="1">
      <w:start w:val="1"/>
      <w:numFmt w:val="decimal"/>
      <w:lvlText w:val="%1.%2"/>
      <w:lvlJc w:val="left"/>
      <w:pPr>
        <w:ind w:firstLine="0" w:left="0"/>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0">
    <w:nsid w:val="527103D7"/>
    <w:multiLevelType w:val="multilevel"/>
    <w:tmpl w:val="D006F048"/>
    <w:styleLink w:val="14"/>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1">
    <w:nsid w:val="57103CDE"/>
    <w:multiLevelType w:val="multilevel"/>
    <w:tmpl w:val="691EFB8A"/>
    <w:styleLink w:val="11"/>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2">
    <w:nsid w:val="6221566B"/>
    <w:multiLevelType w:val="multilevel"/>
    <w:tmpl w:val="0409001D"/>
    <w:styleLink w:val="17"/>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33">
    <w:nsid w:val="64CC24D9"/>
    <w:multiLevelType w:val="multilevel"/>
    <w:tmpl w:val="97E476FA"/>
    <w:styleLink w:val="5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4">
    <w:nsid w:val="66807C4C"/>
    <w:multiLevelType w:val="multilevel"/>
    <w:tmpl w:val="9FCAB8F6"/>
    <w:styleLink w:val="12"/>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5">
    <w:nsid w:val="6D6F0B96"/>
    <w:multiLevelType w:val="multilevel"/>
    <w:tmpl w:val="A7B6A3A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6">
    <w:nsid w:val="6F3478A9"/>
    <w:multiLevelType w:val="multilevel"/>
    <w:tmpl w:val="0409001D"/>
    <w:styleLink w:val="18"/>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37">
    <w:nsid w:val="78291DFA"/>
    <w:multiLevelType w:val="multilevel"/>
    <w:tmpl w:val="0409001D"/>
    <w:styleLink w:val="2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38">
    <w:nsid w:val="7BEA2050"/>
    <w:multiLevelType w:val="multilevel"/>
    <w:tmpl w:val="DBA03A5E"/>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9">
    <w:nsid w:val="7D557FE3"/>
    <w:multiLevelType w:val="multilevel"/>
    <w:tmpl w:val="6E925E56"/>
    <w:styleLink w:val="16"/>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suff w:val="space"/>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83379653" w:numId="1">
    <w:abstractNumId w:val="15"/>
  </w:num>
  <w:num w16cid:durableId="1488666000" w:numId="2">
    <w:abstractNumId w:val="4"/>
  </w:num>
  <w:num w16cid:durableId="1065763839" w:numId="3">
    <w:abstractNumId w:val="5"/>
  </w:num>
  <w:num w16cid:durableId="1340624139" w:numId="4">
    <w:abstractNumId w:val="6"/>
  </w:num>
  <w:num w16cid:durableId="836457300" w:numId="5">
    <w:abstractNumId w:val="7"/>
  </w:num>
  <w:num w16cid:durableId="593981422" w:numId="6">
    <w:abstractNumId w:val="9"/>
  </w:num>
  <w:num w16cid:durableId="307368073" w:numId="7">
    <w:abstractNumId w:val="0"/>
  </w:num>
  <w:num w16cid:durableId="1332877378" w:numId="8">
    <w:abstractNumId w:val="1"/>
  </w:num>
  <w:num w16cid:durableId="1721980402" w:numId="9">
    <w:abstractNumId w:val="2"/>
  </w:num>
  <w:num w16cid:durableId="1477603620" w:numId="10">
    <w:abstractNumId w:val="3"/>
  </w:num>
  <w:num w16cid:durableId="683478345" w:numId="11">
    <w:abstractNumId w:val="8"/>
  </w:num>
  <w:num w16cid:durableId="152380411" w:numId="12">
    <w:abstractNumId w:val="11"/>
  </w:num>
  <w:num w16cid:durableId="1831168873" w:numId="13">
    <w:abstractNumId w:val="35"/>
  </w:num>
  <w:num w16cid:durableId="1716157075" w:numId="14">
    <w:abstractNumId w:val="18"/>
  </w:num>
  <w:num w16cid:durableId="1314413248" w:numId="15">
    <w:abstractNumId w:val="21"/>
  </w:num>
  <w:num w16cid:durableId="791637057" w:numId="16">
    <w:abstractNumId w:val="29"/>
  </w:num>
  <w:num w16cid:durableId="112753441" w:numId="17">
    <w:abstractNumId w:val="38"/>
  </w:num>
  <w:num w16cid:durableId="655576132" w:numId="18">
    <w:abstractNumId w:val="13"/>
  </w:num>
  <w:num w16cid:durableId="1774011069" w:numId="19">
    <w:abstractNumId w:val="22"/>
  </w:num>
  <w:num w16cid:durableId="1378624915" w:numId="20">
    <w:abstractNumId w:val="33"/>
  </w:num>
  <w:num w16cid:durableId="365569244" w:numId="21">
    <w:abstractNumId w:val="12"/>
  </w:num>
  <w:num w16cid:durableId="1127966984" w:numId="22">
    <w:abstractNumId w:val="19"/>
  </w:num>
  <w:num w16cid:durableId="2018997928" w:numId="23">
    <w:abstractNumId w:val="25"/>
  </w:num>
  <w:num w16cid:durableId="797724125" w:numId="24">
    <w:abstractNumId w:val="16"/>
  </w:num>
  <w:num w16cid:durableId="1702784637" w:numId="25">
    <w:abstractNumId w:val="10"/>
  </w:num>
  <w:num w16cid:durableId="1641154643" w:numId="26">
    <w:abstractNumId w:val="17"/>
  </w:num>
  <w:num w16cid:durableId="1758748070" w:numId="27">
    <w:abstractNumId w:val="28"/>
  </w:num>
  <w:num w16cid:durableId="1088620983" w:numId="28">
    <w:abstractNumId w:val="31"/>
  </w:num>
  <w:num w16cid:durableId="1246189565" w:numId="29">
    <w:abstractNumId w:val="34"/>
  </w:num>
  <w:num w16cid:durableId="1390111802" w:numId="30">
    <w:abstractNumId w:val="27"/>
  </w:num>
  <w:num w16cid:durableId="60367534" w:numId="31">
    <w:abstractNumId w:val="30"/>
  </w:num>
  <w:num w16cid:durableId="1690637290" w:numId="32">
    <w:abstractNumId w:val="20"/>
  </w:num>
  <w:num w16cid:durableId="216088107" w:numId="33">
    <w:abstractNumId w:val="39"/>
  </w:num>
  <w:num w16cid:durableId="1964799476" w:numId="34">
    <w:abstractNumId w:val="32"/>
  </w:num>
  <w:num w16cid:durableId="1438139949" w:numId="35">
    <w:abstractNumId w:val="36"/>
  </w:num>
  <w:num w16cid:durableId="239947828" w:numId="36">
    <w:abstractNumId w:val="14"/>
  </w:num>
  <w:num w16cid:durableId="1233270998" w:numId="37">
    <w:abstractNumId w:val="23"/>
  </w:num>
  <w:num w16cid:durableId="1930233533" w:numId="38">
    <w:abstractNumId w:val="24"/>
  </w:num>
  <w:num w16cid:durableId="1260796927" w:numId="39">
    <w:abstractNumId w:val="37"/>
  </w:num>
  <w:num w16cid:durableId="2091612072" w:numId="40">
    <w:abstractNumId w:val="26"/>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BD3991"/>
    <w:rPr>
      <w:rFonts w:ascii="Noto Sans" w:eastAsia="Noto Sans SC" w:hAnsi="Noto Sans"/>
    </w:rPr>
  </w:style>
  <w:style w:styleId="1" w:type="paragraph">
    <w:name w:val="heading 1"/>
    <w:basedOn w:val="a"/>
    <w:next w:val="a0"/>
    <w:uiPriority w:val="9"/>
    <w:qFormat/>
    <w:rsid w:val="00B50B4B"/>
    <w:pPr>
      <w:keepNext/>
      <w:keepLines/>
      <w:numPr>
        <w:numId w:val="25"/>
      </w:numPr>
      <w:spacing w:after="50" w:afterLines="50"/>
      <w:outlineLvl w:val="0"/>
    </w:pPr>
    <w:rPr>
      <w:rFonts w:cstheme="majorBidi"/>
      <w:b/>
      <w:bCs/>
      <w:color w:themeColor="text1" w:val="000000"/>
      <w:sz w:val="32"/>
      <w:szCs w:val="32"/>
    </w:rPr>
  </w:style>
  <w:style w:styleId="2" w:type="paragraph">
    <w:name w:val="heading 2"/>
    <w:basedOn w:val="a"/>
    <w:next w:val="a0"/>
    <w:uiPriority w:val="9"/>
    <w:unhideWhenUsed/>
    <w:qFormat/>
    <w:rsid w:val="00B50B4B"/>
    <w:pPr>
      <w:keepNext/>
      <w:keepLines/>
      <w:numPr>
        <w:ilvl w:val="1"/>
        <w:numId w:val="25"/>
      </w:numPr>
      <w:spacing w:after="50" w:afterLines="50"/>
      <w:outlineLvl w:val="1"/>
    </w:pPr>
    <w:rPr>
      <w:rFonts w:cstheme="majorBidi"/>
      <w:b/>
      <w:bCs/>
      <w:color w:themeColor="text1" w:val="000000"/>
      <w:sz w:val="28"/>
      <w:szCs w:val="28"/>
    </w:rPr>
  </w:style>
  <w:style w:styleId="3" w:type="paragraph">
    <w:name w:val="heading 3"/>
    <w:basedOn w:val="a"/>
    <w:next w:val="a0"/>
    <w:uiPriority w:val="9"/>
    <w:unhideWhenUsed/>
    <w:qFormat/>
    <w:rsid w:val="00B50B4B"/>
    <w:pPr>
      <w:keepNext/>
      <w:keepLines/>
      <w:numPr>
        <w:ilvl w:val="2"/>
        <w:numId w:val="25"/>
      </w:numPr>
      <w:spacing w:after="50" w:afterLines="50"/>
      <w:outlineLvl w:val="2"/>
    </w:pPr>
    <w:rPr>
      <w:rFonts w:cstheme="majorBidi"/>
      <w:b/>
      <w:bCs/>
      <w:color w:themeColor="text1" w:val="000000"/>
    </w:rPr>
  </w:style>
  <w:style w:styleId="4" w:type="paragraph">
    <w:name w:val="heading 4"/>
    <w:basedOn w:val="a"/>
    <w:next w:val="a0"/>
    <w:uiPriority w:val="9"/>
    <w:unhideWhenUsed/>
    <w:qFormat/>
    <w:rsid w:val="00B50B4B"/>
    <w:pPr>
      <w:keepNext/>
      <w:keepLines/>
      <w:numPr>
        <w:ilvl w:val="3"/>
        <w:numId w:val="25"/>
      </w:numPr>
      <w:spacing w:after="50" w:afterLines="50"/>
      <w:outlineLvl w:val="3"/>
    </w:pPr>
    <w:rPr>
      <w:rFonts w:cs="Times New Roman (标题 CS)"/>
      <w:bCs/>
      <w:color w:themeColor="text1" w:val="000000"/>
    </w:rPr>
  </w:style>
  <w:style w:styleId="5" w:type="paragraph">
    <w:name w:val="heading 5"/>
    <w:basedOn w:val="a"/>
    <w:next w:val="a0"/>
    <w:uiPriority w:val="9"/>
    <w:unhideWhenUsed/>
    <w:qFormat/>
    <w:rsid w:val="00B50B4B"/>
    <w:pPr>
      <w:keepNext/>
      <w:keepLines/>
      <w:numPr>
        <w:ilvl w:val="4"/>
        <w:numId w:val="25"/>
      </w:numPr>
      <w:spacing w:after="0" w:before="200"/>
      <w:outlineLvl w:val="4"/>
    </w:pPr>
    <w:rPr>
      <w:rFonts w:cstheme="majorBidi"/>
      <w:iCs/>
      <w:color w:themeColor="text1" w:val="000000"/>
    </w:rPr>
  </w:style>
  <w:style w:styleId="60" w:type="paragraph">
    <w:name w:val="heading 6"/>
    <w:basedOn w:val="a"/>
    <w:next w:val="a0"/>
    <w:uiPriority w:val="9"/>
    <w:unhideWhenUsed/>
    <w:qFormat/>
    <w:rsid w:val="00E97CD0"/>
    <w:pPr>
      <w:keepNext/>
      <w:keepLines/>
      <w:spacing w:after="0" w:before="200"/>
      <w:outlineLvl w:val="5"/>
    </w:pPr>
    <w:rPr>
      <w:rFonts w:cstheme="majorBidi"/>
      <w:color w:themeColor="text1" w:val="000000"/>
    </w:rPr>
  </w:style>
  <w:style w:styleId="70" w:type="paragraph">
    <w:name w:val="heading 7"/>
    <w:basedOn w:val="a"/>
    <w:next w:val="a0"/>
    <w:uiPriority w:val="9"/>
    <w:unhideWhenUsed/>
    <w:qFormat/>
    <w:rsid w:val="00E97CD0"/>
    <w:pPr>
      <w:keepNext/>
      <w:keepLines/>
      <w:spacing w:after="0" w:before="200"/>
      <w:outlineLvl w:val="6"/>
    </w:pPr>
    <w:rPr>
      <w:rFonts w:cstheme="majorBidi"/>
      <w:color w:themeColor="text1" w:val="000000"/>
    </w:rPr>
  </w:style>
  <w:style w:styleId="80" w:type="paragraph">
    <w:name w:val="heading 8"/>
    <w:basedOn w:val="a"/>
    <w:next w:val="a0"/>
    <w:uiPriority w:val="9"/>
    <w:unhideWhenUsed/>
    <w:qFormat/>
    <w:rsid w:val="00E97CD0"/>
    <w:pPr>
      <w:keepNext/>
      <w:keepLines/>
      <w:spacing w:after="0" w:before="200"/>
      <w:outlineLvl w:val="7"/>
    </w:pPr>
    <w:rPr>
      <w:rFonts w:cstheme="majorBidi"/>
      <w:color w:themeColor="text1" w:val="000000"/>
    </w:rPr>
  </w:style>
  <w:style w:styleId="90" w:type="paragraph">
    <w:name w:val="heading 9"/>
    <w:basedOn w:val="a"/>
    <w:next w:val="a0"/>
    <w:uiPriority w:val="9"/>
    <w:unhideWhenUsed/>
    <w:qFormat/>
    <w:rsid w:val="00E97CD0"/>
    <w:pPr>
      <w:keepNext/>
      <w:keepLines/>
      <w:spacing w:after="0" w:before="200"/>
      <w:outlineLvl w:val="8"/>
    </w:pPr>
    <w:rPr>
      <w:rFonts w:cstheme="majorBid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BD3991"/>
    <w:pPr>
      <w:spacing w:after="180" w:before="180"/>
    </w:pPr>
  </w:style>
  <w:style w:customStyle="1" w:styleId="FirstParagraph" w:type="paragraph">
    <w:name w:val="First Paragraph"/>
    <w:basedOn w:val="a0"/>
    <w:next w:val="a0"/>
    <w:qFormat/>
    <w:rsid w:val="00A97AE2"/>
  </w:style>
  <w:style w:customStyle="1" w:styleId="Compact" w:type="paragraph">
    <w:name w:val="Compact"/>
    <w:basedOn w:val="a0"/>
    <w:qFormat/>
    <w:pPr>
      <w:spacing w:after="36" w:before="36"/>
    </w:pPr>
  </w:style>
  <w:style w:styleId="a5" w:type="paragraph">
    <w:name w:val="Title"/>
    <w:basedOn w:val="a"/>
    <w:next w:val="a0"/>
    <w:qFormat/>
    <w:rsid w:val="00E97CD0"/>
    <w:pPr>
      <w:keepNext/>
      <w:keepLines/>
      <w:spacing w:after="240" w:before="480"/>
      <w:jc w:val="center"/>
    </w:pPr>
    <w:rPr>
      <w:rFonts w:cstheme="majorBidi"/>
      <w:b/>
      <w:bCs/>
      <w:color w:themeColor="text1" w:val="000000"/>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rsid w:val="00A97AE2"/>
    <w:pPr>
      <w:keepNext/>
      <w:keepLines/>
      <w:jc w:val="center"/>
    </w:pPr>
    <w:rPr>
      <w:rFonts w:ascii="Noto Sans" w:eastAsia="Noto Sans SC" w:hAnsi="Noto Sans"/>
    </w:rPr>
  </w:style>
  <w:style w:styleId="a7" w:type="paragraph">
    <w:name w:val="Date"/>
    <w:next w:val="a0"/>
    <w:qFormat/>
    <w:rsid w:val="00A97AE2"/>
    <w:pPr>
      <w:keepNext/>
      <w:keepLines/>
      <w:jc w:val="center"/>
    </w:pPr>
    <w:rPr>
      <w:rFonts w:ascii="Noto Sans" w:eastAsia="Noto Sans SC" w:hAnsi="Noto Sans"/>
    </w:rPr>
  </w:style>
  <w:style w:customStyle="1" w:styleId="AbstractTitle" w:type="paragraph">
    <w:name w:val="Abstract Title"/>
    <w:basedOn w:val="a"/>
    <w:next w:val="Abstract"/>
    <w:qFormat/>
    <w:rsid w:val="00BA6C2A"/>
    <w:pPr>
      <w:keepNext/>
      <w:keepLines/>
      <w:spacing w:after="0" w:before="300"/>
      <w:jc w:val="center"/>
    </w:pPr>
    <w:rPr>
      <w:b/>
      <w:color w:themeColor="text1" w:val="000000"/>
      <w:sz w:val="20"/>
      <w:szCs w:val="20"/>
    </w:rPr>
  </w:style>
  <w:style w:customStyle="1" w:styleId="Abstract" w:type="paragraph">
    <w:name w:val="Abstract"/>
    <w:basedOn w:val="a"/>
    <w:next w:val="a0"/>
    <w:qFormat/>
    <w:rsid w:val="00A97AE2"/>
    <w:pPr>
      <w:keepNext/>
      <w:keepLines/>
      <w:spacing w:after="300" w:before="100"/>
    </w:pPr>
    <w:rPr>
      <w:sz w:val="20"/>
      <w:szCs w:val="20"/>
    </w:rPr>
  </w:style>
  <w:style w:styleId="a8" w:type="paragraph">
    <w:name w:val="Bibliography"/>
    <w:basedOn w:val="a"/>
    <w:qFormat/>
  </w:style>
  <w:style w:styleId="a9" w:type="paragraph">
    <w:name w:val="Block Text"/>
    <w:basedOn w:val="a0"/>
    <w:next w:val="a0"/>
    <w:uiPriority w:val="9"/>
    <w:unhideWhenUsed/>
    <w:qFormat/>
    <w:rsid w:val="00A97AE2"/>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rsid w:val="00096F49"/>
    <w:rPr>
      <w:rFonts w:ascii="Noto Sans" w:eastAsia="Noto Sans SC" w:hAnsi="Noto Sans"/>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BD3991"/>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rsid w:val="00BD3991"/>
    <w:rPr>
      <w:rFonts w:ascii="Noto Sans" w:eastAsia="Noto Sans SC" w:hAnsi="Noto Sans"/>
      <w:sz w:val="22"/>
    </w:rPr>
  </w:style>
  <w:style w:customStyle="1" w:styleId="SectionNumber" w:type="character">
    <w:name w:val="Section Number"/>
    <w:basedOn w:val="ac"/>
    <w:rsid w:val="00BD3991"/>
    <w:rPr>
      <w:rFonts w:ascii="Noto Sans" w:eastAsia="Noto Sans SC" w:hAnsi="Noto Sans"/>
    </w:rPr>
  </w:style>
  <w:style w:styleId="ad" w:type="character">
    <w:name w:val="footnote reference"/>
    <w:basedOn w:val="ac"/>
    <w:rsid w:val="00BD3991"/>
    <w:rPr>
      <w:rFonts w:ascii="Noto Sans" w:eastAsia="Noto Sans SC" w:hAnsi="Noto Sans"/>
      <w:vertAlign w:val="superscript"/>
    </w:rPr>
  </w:style>
  <w:style w:styleId="ae" w:type="character">
    <w:name w:val="Hyperlink"/>
    <w:basedOn w:val="ac"/>
    <w:rsid w:val="00BD3991"/>
    <w:rPr>
      <w:rFonts w:ascii="Noto Sans" w:eastAsia="Noto Sans SC" w:hAnsi="Noto Sans"/>
      <w:color w:themeColor="accent1" w:val="4F81BD"/>
    </w:rPr>
  </w:style>
  <w:style w:styleId="TOC" w:type="paragraph">
    <w:name w:val="TOC Heading"/>
    <w:basedOn w:val="1"/>
    <w:next w:val="a0"/>
    <w:uiPriority w:val="39"/>
    <w:unhideWhenUsed/>
    <w:qFormat/>
    <w:rsid w:val="004B199F"/>
    <w:pPr>
      <w:numPr>
        <w:numId w:val="0"/>
      </w:numPr>
      <w:spacing w:before="240" w:line="259" w:lineRule="auto"/>
      <w:outlineLvl w:val="9"/>
    </w:pPr>
    <w:rPr>
      <w:b w:val="0"/>
      <w:bCs w:val="0"/>
    </w:rPr>
  </w:style>
  <w:style w:customStyle="1" w:styleId="a4" w:type="character">
    <w:name w:val="正文文本 字符"/>
    <w:basedOn w:val="a1"/>
    <w:link w:val="a0"/>
    <w:rsid w:val="00BD3991"/>
    <w:rPr>
      <w:rFonts w:ascii="Noto Sans" w:eastAsia="Noto Sans SC" w:hAnsi="Noto Sans"/>
    </w:rPr>
  </w:style>
  <w:style w:customStyle="1" w:styleId="10" w:type="numbering">
    <w:name w:val="当前列表1"/>
    <w:uiPriority w:val="99"/>
    <w:rsid w:val="008E741A"/>
    <w:pPr>
      <w:numPr>
        <w:numId w:val="14"/>
      </w:numPr>
    </w:pPr>
  </w:style>
  <w:style w:customStyle="1" w:styleId="20" w:type="numbering">
    <w:name w:val="当前列表2"/>
    <w:uiPriority w:val="99"/>
    <w:rsid w:val="008E741A"/>
    <w:pPr>
      <w:numPr>
        <w:numId w:val="15"/>
      </w:numPr>
    </w:pPr>
  </w:style>
  <w:style w:customStyle="1" w:styleId="30" w:type="numbering">
    <w:name w:val="当前列表3"/>
    <w:uiPriority w:val="99"/>
    <w:rsid w:val="008E741A"/>
    <w:pPr>
      <w:numPr>
        <w:numId w:val="16"/>
      </w:numPr>
    </w:pPr>
  </w:style>
  <w:style w:customStyle="1" w:styleId="40" w:type="numbering">
    <w:name w:val="当前列表4"/>
    <w:uiPriority w:val="99"/>
    <w:rsid w:val="00AC3FEE"/>
    <w:pPr>
      <w:numPr>
        <w:numId w:val="19"/>
      </w:numPr>
    </w:pPr>
  </w:style>
  <w:style w:customStyle="1" w:styleId="50" w:type="numbering">
    <w:name w:val="当前列表5"/>
    <w:uiPriority w:val="99"/>
    <w:rsid w:val="00AC3FEE"/>
    <w:pPr>
      <w:numPr>
        <w:numId w:val="20"/>
      </w:numPr>
    </w:pPr>
  </w:style>
  <w:style w:customStyle="1" w:styleId="6" w:type="numbering">
    <w:name w:val="当前列表6"/>
    <w:uiPriority w:val="99"/>
    <w:rsid w:val="00AC3FEE"/>
    <w:pPr>
      <w:numPr>
        <w:numId w:val="21"/>
      </w:numPr>
    </w:pPr>
  </w:style>
  <w:style w:customStyle="1" w:styleId="7" w:type="numbering">
    <w:name w:val="当前列表7"/>
    <w:uiPriority w:val="99"/>
    <w:rsid w:val="001A4D7C"/>
    <w:pPr>
      <w:numPr>
        <w:numId w:val="23"/>
      </w:numPr>
    </w:pPr>
  </w:style>
  <w:style w:customStyle="1" w:styleId="8" w:type="numbering">
    <w:name w:val="当前列表8"/>
    <w:uiPriority w:val="99"/>
    <w:rsid w:val="001A4D7C"/>
    <w:pPr>
      <w:numPr>
        <w:numId w:val="24"/>
      </w:numPr>
    </w:pPr>
  </w:style>
  <w:style w:customStyle="1" w:styleId="9" w:type="numbering">
    <w:name w:val="当前列表9"/>
    <w:uiPriority w:val="99"/>
    <w:rsid w:val="001A4D7C"/>
    <w:pPr>
      <w:numPr>
        <w:numId w:val="26"/>
      </w:numPr>
    </w:pPr>
  </w:style>
  <w:style w:customStyle="1" w:styleId="100" w:type="numbering">
    <w:name w:val="当前列表10"/>
    <w:uiPriority w:val="99"/>
    <w:rsid w:val="001A4D7C"/>
    <w:pPr>
      <w:numPr>
        <w:numId w:val="27"/>
      </w:numPr>
    </w:pPr>
  </w:style>
  <w:style w:customStyle="1" w:styleId="11" w:type="numbering">
    <w:name w:val="当前列表11"/>
    <w:uiPriority w:val="99"/>
    <w:rsid w:val="001A4D7C"/>
    <w:pPr>
      <w:numPr>
        <w:numId w:val="28"/>
      </w:numPr>
    </w:pPr>
  </w:style>
  <w:style w:customStyle="1" w:styleId="12" w:type="numbering">
    <w:name w:val="当前列表12"/>
    <w:uiPriority w:val="99"/>
    <w:rsid w:val="001A4D7C"/>
    <w:pPr>
      <w:numPr>
        <w:numId w:val="29"/>
      </w:numPr>
    </w:pPr>
  </w:style>
  <w:style w:customStyle="1" w:styleId="13" w:type="numbering">
    <w:name w:val="当前列表13"/>
    <w:uiPriority w:val="99"/>
    <w:rsid w:val="001A4D7C"/>
    <w:pPr>
      <w:numPr>
        <w:numId w:val="30"/>
      </w:numPr>
    </w:pPr>
  </w:style>
  <w:style w:customStyle="1" w:styleId="14" w:type="numbering">
    <w:name w:val="当前列表14"/>
    <w:uiPriority w:val="99"/>
    <w:rsid w:val="001A4D7C"/>
    <w:pPr>
      <w:numPr>
        <w:numId w:val="31"/>
      </w:numPr>
    </w:pPr>
  </w:style>
  <w:style w:customStyle="1" w:styleId="15" w:type="numbering">
    <w:name w:val="当前列表15"/>
    <w:uiPriority w:val="99"/>
    <w:rsid w:val="001A4D7C"/>
    <w:pPr>
      <w:numPr>
        <w:numId w:val="32"/>
      </w:numPr>
    </w:pPr>
  </w:style>
  <w:style w:customStyle="1" w:styleId="16" w:type="numbering">
    <w:name w:val="当前列表16"/>
    <w:uiPriority w:val="99"/>
    <w:rsid w:val="001A4D7C"/>
    <w:pPr>
      <w:numPr>
        <w:numId w:val="33"/>
      </w:numPr>
    </w:pPr>
  </w:style>
  <w:style w:styleId="af" w:type="paragraph">
    <w:name w:val="footer"/>
    <w:basedOn w:val="a"/>
    <w:link w:val="af0"/>
    <w:rsid w:val="009F72B7"/>
    <w:pPr>
      <w:tabs>
        <w:tab w:pos="4153" w:val="center"/>
        <w:tab w:pos="8306" w:val="right"/>
      </w:tabs>
      <w:snapToGrid w:val="0"/>
    </w:pPr>
    <w:rPr>
      <w:sz w:val="18"/>
      <w:szCs w:val="18"/>
    </w:rPr>
  </w:style>
  <w:style w:customStyle="1" w:styleId="af0" w:type="character">
    <w:name w:val="页脚 字符"/>
    <w:basedOn w:val="a1"/>
    <w:link w:val="af"/>
    <w:rsid w:val="009F72B7"/>
    <w:rPr>
      <w:rFonts w:ascii="Noto Sans" w:eastAsia="Noto Sans SC" w:hAnsi="Noto Sans"/>
      <w:sz w:val="18"/>
      <w:szCs w:val="18"/>
    </w:rPr>
  </w:style>
  <w:style w:styleId="af1" w:type="character">
    <w:name w:val="page number"/>
    <w:basedOn w:val="a1"/>
    <w:rsid w:val="00510AB4"/>
    <w:rPr>
      <w:rFonts w:ascii="Noto Sans" w:eastAsia="Noto Sans SC" w:hAnsi="Noto Sans"/>
    </w:rPr>
  </w:style>
  <w:style w:styleId="af2" w:type="paragraph">
    <w:name w:val="header"/>
    <w:basedOn w:val="a"/>
    <w:link w:val="af3"/>
    <w:rsid w:val="009F72B7"/>
    <w:pPr>
      <w:tabs>
        <w:tab w:pos="4153" w:val="center"/>
        <w:tab w:pos="8306" w:val="right"/>
      </w:tabs>
      <w:snapToGrid w:val="0"/>
      <w:jc w:val="center"/>
    </w:pPr>
    <w:rPr>
      <w:sz w:val="18"/>
      <w:szCs w:val="18"/>
    </w:rPr>
  </w:style>
  <w:style w:customStyle="1" w:styleId="af3" w:type="character">
    <w:name w:val="页眉 字符"/>
    <w:basedOn w:val="a1"/>
    <w:link w:val="af2"/>
    <w:rsid w:val="009F72B7"/>
    <w:rPr>
      <w:rFonts w:ascii="Noto Sans" w:eastAsia="Noto Sans SC" w:hAnsi="Noto Sans"/>
      <w:sz w:val="18"/>
      <w:szCs w:val="18"/>
    </w:rPr>
  </w:style>
  <w:style w:customStyle="1" w:styleId="17" w:type="numbering">
    <w:name w:val="当前列表17"/>
    <w:uiPriority w:val="99"/>
    <w:rsid w:val="004B199F"/>
    <w:pPr>
      <w:numPr>
        <w:numId w:val="34"/>
      </w:numPr>
    </w:pPr>
  </w:style>
  <w:style w:customStyle="1" w:styleId="18" w:type="numbering">
    <w:name w:val="当前列表18"/>
    <w:uiPriority w:val="99"/>
    <w:rsid w:val="00BC71E8"/>
    <w:pPr>
      <w:numPr>
        <w:numId w:val="35"/>
      </w:numPr>
    </w:pPr>
  </w:style>
  <w:style w:customStyle="1" w:styleId="19" w:type="numbering">
    <w:name w:val="当前列表19"/>
    <w:uiPriority w:val="99"/>
    <w:rsid w:val="00BC71E8"/>
    <w:pPr>
      <w:numPr>
        <w:numId w:val="36"/>
      </w:numPr>
    </w:pPr>
  </w:style>
  <w:style w:customStyle="1" w:styleId="200" w:type="numbering">
    <w:name w:val="当前列表20"/>
    <w:uiPriority w:val="99"/>
    <w:rsid w:val="00BC71E8"/>
    <w:pPr>
      <w:numPr>
        <w:numId w:val="37"/>
      </w:numPr>
    </w:pPr>
  </w:style>
  <w:style w:customStyle="1" w:styleId="21" w:type="numbering">
    <w:name w:val="当前列表21"/>
    <w:uiPriority w:val="99"/>
    <w:rsid w:val="00B50B4B"/>
    <w:pPr>
      <w:numPr>
        <w:numId w:val="38"/>
      </w:numPr>
    </w:pPr>
  </w:style>
  <w:style w:customStyle="1" w:styleId="22" w:type="numbering">
    <w:name w:val="当前列表22"/>
    <w:uiPriority w:val="99"/>
    <w:rsid w:val="00B50B4B"/>
    <w:pPr>
      <w:numPr>
        <w:numId w:val="39"/>
      </w:numPr>
    </w:pPr>
  </w:style>
  <w:style w:customStyle="1" w:styleId="23" w:type="numbering">
    <w:name w:val="当前列表23"/>
    <w:uiPriority w:val="99"/>
    <w:rsid w:val="00B50B4B"/>
    <w:pPr>
      <w:numPr>
        <w:numId w:val="4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pingcap.com/tidb/v7.5/tidb-distributed-execution-framework" TargetMode="External" /><Relationship Type="http://schemas.openxmlformats.org/officeDocument/2006/relationships/hyperlink" Id="rId20" Target="https://docs.pingcap.com/tidb/v7.5/tidb-global-sort" TargetMode="External" /><Relationship Type="http://schemas.openxmlformats.org/officeDocument/2006/relationships/hyperlink" Id="rId47" Target="https://docs.pingcap.com/zh/tidb/v7.2/ddl-introduction#ddl-&#30456;&#20851;&#30340;&#21629;&#20196;&#20171;&#32461;" TargetMode="External" /><Relationship Type="http://schemas.openxmlformats.org/officeDocument/2006/relationships/hyperlink" Id="rId46" Target="https://docs.pingcap.com/zh/tidb/v7.2/sql-statement-import-into" TargetMode="External" /><Relationship Type="http://schemas.openxmlformats.org/officeDocument/2006/relationships/hyperlink" Id="rId44" Target="https://docs.pingcap.com/zh/tidb/v7.2/tidb-resource-control#&#31649;&#29702;&#36164;&#28304;&#28040;&#32791;&#36229;&#20986;&#39044;&#26399;&#30340;&#26597;&#35810;-runaway-queries" TargetMode="External" /><Relationship Type="http://schemas.openxmlformats.org/officeDocument/2006/relationships/hyperlink" Id="rId45" Target="https://docs.pingcap.com/zh/tidb/v7.2/tiflash-pipeline-model" TargetMode="External" /><Relationship Type="http://schemas.openxmlformats.org/officeDocument/2006/relationships/hyperlink" Id="rId42" Target="https://docs.pingcap.com/zh/tidb/v7.3/optimizer-hints" TargetMode="External" /><Relationship Type="http://schemas.openxmlformats.org/officeDocument/2006/relationships/hyperlink" Id="rId39" Target="https://docs.pingcap.com/zh/tidb/v7.3/partitioned-raft-kv" TargetMode="External" /><Relationship Type="http://schemas.openxmlformats.org/officeDocument/2006/relationships/hyperlink" Id="rId43" Target="https://docs.pingcap.com/zh/tidb/v7.3/sql-statement-show-analyze-status" TargetMode="External" /><Relationship Type="http://schemas.openxmlformats.org/officeDocument/2006/relationships/hyperlink" Id="rId40" Target="https://docs.pingcap.com/zh/tidb/v7.3/tidb-lightning-physical-import-mode-usage#&#20914;&#31361;&#25968;&#25454;&#26816;&#27979;" TargetMode="External" /><Relationship Type="http://schemas.openxmlformats.org/officeDocument/2006/relationships/hyperlink" Id="rId41" Target="https://docs.pingcap.com/zh/tidb/v7.3/tidb-resource-control#query-watch-&#35821;&#21477;&#35828;&#26126;" TargetMode="External" /><Relationship Type="http://schemas.openxmlformats.org/officeDocument/2006/relationships/hyperlink" Id="rId37" Target="https://docs.pingcap.com/zh/tidb/v7.4/character-set-and-collation#&#25903;&#25345;&#30340;&#23383;&#31526;&#38598;&#21644;&#25490;&#24207;&#35268;&#21017;" TargetMode="External" /><Relationship Type="http://schemas.openxmlformats.org/officeDocument/2006/relationships/hyperlink" Id="rId36" Target="https://docs.pingcap.com/zh/tidb/v7.4/partitioned-table#&#23558;&#20998;&#21306;&#34920;&#36716;&#25442;&#20026;&#38750;&#20998;&#21306;&#34920;" TargetMode="External" /><Relationship Type="http://schemas.openxmlformats.org/officeDocument/2006/relationships/hyperlink" Id="rId38" Target="https://docs.pingcap.com/zh/tidb/v7.4/system-variables#tidb_service_scope-&#20174;-v740-&#29256;&#26412;&#24320;&#22987;&#24341;&#20837;" TargetMode="External" /><Relationship Type="http://schemas.openxmlformats.org/officeDocument/2006/relationships/hyperlink" Id="rId33" Target="https://docs.pingcap.com/zh/tidb/v7.4/tidb-distributed-execution-framework" TargetMode="External" /><Relationship Type="http://schemas.openxmlformats.org/officeDocument/2006/relationships/hyperlink" Id="rId32" Target="https://docs.pingcap.com/zh/tidb/v7.4/tidb-global-sort" TargetMode="External" /><Relationship Type="http://schemas.openxmlformats.org/officeDocument/2006/relationships/hyperlink" Id="rId34" Target="https://docs.pingcap.com/zh/tidb/v7.4/tidb-resource-control#&#31649;&#29702;&#21518;&#21488;&#20219;&#21153;" TargetMode="External" /><Relationship Type="http://schemas.openxmlformats.org/officeDocument/2006/relationships/hyperlink" Id="rId35" Target="https://docs.pingcap.com/zh/tidb/v7.4/tiflash-disaggregated-and-s3" TargetMode="External" /><Relationship Type="http://schemas.openxmlformats.org/officeDocument/2006/relationships/hyperlink" Id="rId31" Target="https://docs.pingcap.com/zh/tidb/v7.5/ddl-introduction#ddl-&#30456;&#20851;&#30340;&#21629;&#20196;&#20171;&#32461;" TargetMode="External" /><Relationship Type="http://schemas.openxmlformats.org/officeDocument/2006/relationships/hyperlink" Id="rId26" Target="https://docs.pingcap.com/zh/tidb/v7.5/sql-statement-import-into" TargetMode="External" /><Relationship Type="http://schemas.openxmlformats.org/officeDocument/2006/relationships/hyperlink" Id="rId30" Target="https://docs.pingcap.com/zh/tidb/v7.5/system-variables#tidb_service_scope-&#20174;-v740-&#29256;&#26412;&#24320;&#22987;&#24341;&#20837;" TargetMode="External" /><Relationship Type="http://schemas.openxmlformats.org/officeDocument/2006/relationships/hyperlink" Id="rId28" Target="https://docs.pingcap.com/zh/tidb/v7.5/tidb-distributed-execution-framework" TargetMode="External" /><Relationship Type="http://schemas.openxmlformats.org/officeDocument/2006/relationships/hyperlink" Id="rId29" Target="https://docs.pingcap.com/zh/tidb/v7.5/tidb-global-sort" TargetMode="External" /><Relationship Type="http://schemas.openxmlformats.org/officeDocument/2006/relationships/hyperlink" Id="rId27" Target="https://docs.pingcap.com/zh/tidb/v7.5/tidb-lightning-overview" TargetMode="External" /><Relationship Type="http://schemas.openxmlformats.org/officeDocument/2006/relationships/hyperlink" Id="rId25" Target="https://docs.pingcap.com/zh/tidb/v7.5/tidb-resource-control" TargetMode="External" /><Relationship Type="http://schemas.openxmlformats.org/officeDocument/2006/relationships/hyperlink" Id="rId23" Target="https://docs.pingcap.com/zh/tidb/v7.5/tidb-resource-control#use-resource-control-to-achieve-resource-isolation" TargetMode="External" /><Relationship Type="http://schemas.openxmlformats.org/officeDocument/2006/relationships/hyperlink" Id="rId22" Target="https://docs.pingcap.com/zh/tidb/v7.5/tidb-resource-control#&#31649;&#29702;&#21518;&#21488;&#20219;&#21153;" TargetMode="External" /><Relationship Type="http://schemas.openxmlformats.org/officeDocument/2006/relationships/hyperlink" Id="rId24" Target="https://docs.pingcap.com/zh/tidb/v7.5/tidb-resource-control#&#31649;&#29702;&#36164;&#28304;&#28040;&#32791;&#36229;&#20986;&#39044;&#26399;&#30340;&#26597;&#35810;-runaway-queries" TargetMode="External" /></Relationships>
</file>

<file path=word/_rels/footnotes.xml.rels><?xml version="1.0" encoding="UTF-8"?><Relationships xmlns="http://schemas.openxmlformats.org/package/2006/relationships"><Relationship Type="http://schemas.openxmlformats.org/officeDocument/2006/relationships/hyperlink" Id="rId21" Target="https://docs.pingcap.com/tidb/v7.5/tidb-distributed-execution-framework" TargetMode="External" /><Relationship Type="http://schemas.openxmlformats.org/officeDocument/2006/relationships/hyperlink" Id="rId20" Target="https://docs.pingcap.com/tidb/v7.5/tidb-global-sort" TargetMode="External" /><Relationship Type="http://schemas.openxmlformats.org/officeDocument/2006/relationships/hyperlink" Id="rId47" Target="https://docs.pingcap.com/zh/tidb/v7.2/ddl-introduction#ddl-&#30456;&#20851;&#30340;&#21629;&#20196;&#20171;&#32461;" TargetMode="External" /><Relationship Type="http://schemas.openxmlformats.org/officeDocument/2006/relationships/hyperlink" Id="rId46" Target="https://docs.pingcap.com/zh/tidb/v7.2/sql-statement-import-into" TargetMode="External" /><Relationship Type="http://schemas.openxmlformats.org/officeDocument/2006/relationships/hyperlink" Id="rId44" Target="https://docs.pingcap.com/zh/tidb/v7.2/tidb-resource-control#&#31649;&#29702;&#36164;&#28304;&#28040;&#32791;&#36229;&#20986;&#39044;&#26399;&#30340;&#26597;&#35810;-runaway-queries" TargetMode="External" /><Relationship Type="http://schemas.openxmlformats.org/officeDocument/2006/relationships/hyperlink" Id="rId45" Target="https://docs.pingcap.com/zh/tidb/v7.2/tiflash-pipeline-model" TargetMode="External" /><Relationship Type="http://schemas.openxmlformats.org/officeDocument/2006/relationships/hyperlink" Id="rId42" Target="https://docs.pingcap.com/zh/tidb/v7.3/optimizer-hints" TargetMode="External" /><Relationship Type="http://schemas.openxmlformats.org/officeDocument/2006/relationships/hyperlink" Id="rId39" Target="https://docs.pingcap.com/zh/tidb/v7.3/partitioned-raft-kv" TargetMode="External" /><Relationship Type="http://schemas.openxmlformats.org/officeDocument/2006/relationships/hyperlink" Id="rId43" Target="https://docs.pingcap.com/zh/tidb/v7.3/sql-statement-show-analyze-status" TargetMode="External" /><Relationship Type="http://schemas.openxmlformats.org/officeDocument/2006/relationships/hyperlink" Id="rId40" Target="https://docs.pingcap.com/zh/tidb/v7.3/tidb-lightning-physical-import-mode-usage#&#20914;&#31361;&#25968;&#25454;&#26816;&#27979;" TargetMode="External" /><Relationship Type="http://schemas.openxmlformats.org/officeDocument/2006/relationships/hyperlink" Id="rId41" Target="https://docs.pingcap.com/zh/tidb/v7.3/tidb-resource-control#query-watch-&#35821;&#21477;&#35828;&#26126;" TargetMode="External" /><Relationship Type="http://schemas.openxmlformats.org/officeDocument/2006/relationships/hyperlink" Id="rId37" Target="https://docs.pingcap.com/zh/tidb/v7.4/character-set-and-collation#&#25903;&#25345;&#30340;&#23383;&#31526;&#38598;&#21644;&#25490;&#24207;&#35268;&#21017;" TargetMode="External" /><Relationship Type="http://schemas.openxmlformats.org/officeDocument/2006/relationships/hyperlink" Id="rId36" Target="https://docs.pingcap.com/zh/tidb/v7.4/partitioned-table#&#23558;&#20998;&#21306;&#34920;&#36716;&#25442;&#20026;&#38750;&#20998;&#21306;&#34920;" TargetMode="External" /><Relationship Type="http://schemas.openxmlformats.org/officeDocument/2006/relationships/hyperlink" Id="rId38" Target="https://docs.pingcap.com/zh/tidb/v7.4/system-variables#tidb_service_scope-&#20174;-v740-&#29256;&#26412;&#24320;&#22987;&#24341;&#20837;" TargetMode="External" /><Relationship Type="http://schemas.openxmlformats.org/officeDocument/2006/relationships/hyperlink" Id="rId33" Target="https://docs.pingcap.com/zh/tidb/v7.4/tidb-distributed-execution-framework" TargetMode="External" /><Relationship Type="http://schemas.openxmlformats.org/officeDocument/2006/relationships/hyperlink" Id="rId32" Target="https://docs.pingcap.com/zh/tidb/v7.4/tidb-global-sort" TargetMode="External" /><Relationship Type="http://schemas.openxmlformats.org/officeDocument/2006/relationships/hyperlink" Id="rId34" Target="https://docs.pingcap.com/zh/tidb/v7.4/tidb-resource-control#&#31649;&#29702;&#21518;&#21488;&#20219;&#21153;" TargetMode="External" /><Relationship Type="http://schemas.openxmlformats.org/officeDocument/2006/relationships/hyperlink" Id="rId35" Target="https://docs.pingcap.com/zh/tidb/v7.4/tiflash-disaggregated-and-s3" TargetMode="External" /><Relationship Type="http://schemas.openxmlformats.org/officeDocument/2006/relationships/hyperlink" Id="rId31" Target="https://docs.pingcap.com/zh/tidb/v7.5/ddl-introduction#ddl-&#30456;&#20851;&#30340;&#21629;&#20196;&#20171;&#32461;" TargetMode="External" /><Relationship Type="http://schemas.openxmlformats.org/officeDocument/2006/relationships/hyperlink" Id="rId26" Target="https://docs.pingcap.com/zh/tidb/v7.5/sql-statement-import-into" TargetMode="External" /><Relationship Type="http://schemas.openxmlformats.org/officeDocument/2006/relationships/hyperlink" Id="rId30" Target="https://docs.pingcap.com/zh/tidb/v7.5/system-variables#tidb_service_scope-&#20174;-v740-&#29256;&#26412;&#24320;&#22987;&#24341;&#20837;" TargetMode="External" /><Relationship Type="http://schemas.openxmlformats.org/officeDocument/2006/relationships/hyperlink" Id="rId28" Target="https://docs.pingcap.com/zh/tidb/v7.5/tidb-distributed-execution-framework" TargetMode="External" /><Relationship Type="http://schemas.openxmlformats.org/officeDocument/2006/relationships/hyperlink" Id="rId29" Target="https://docs.pingcap.com/zh/tidb/v7.5/tidb-global-sort" TargetMode="External" /><Relationship Type="http://schemas.openxmlformats.org/officeDocument/2006/relationships/hyperlink" Id="rId27" Target="https://docs.pingcap.com/zh/tidb/v7.5/tidb-lightning-overview" TargetMode="External" /><Relationship Type="http://schemas.openxmlformats.org/officeDocument/2006/relationships/hyperlink" Id="rId25" Target="https://docs.pingcap.com/zh/tidb/v7.5/tidb-resource-control" TargetMode="External" /><Relationship Type="http://schemas.openxmlformats.org/officeDocument/2006/relationships/hyperlink" Id="rId23" Target="https://docs.pingcap.com/zh/tidb/v7.5/tidb-resource-control#use-resource-control-to-achieve-resource-isolation" TargetMode="External" /><Relationship Type="http://schemas.openxmlformats.org/officeDocument/2006/relationships/hyperlink" Id="rId22" Target="https://docs.pingcap.com/zh/tidb/v7.5/tidb-resource-control#&#31649;&#29702;&#21518;&#21488;&#20219;&#21153;" TargetMode="External" /><Relationship Type="http://schemas.openxmlformats.org/officeDocument/2006/relationships/hyperlink" Id="rId24" Target="https://docs.pingcap.com/zh/tidb/v7.5/tidb-resource-control#&#31649;&#29702;&#36164;&#28304;&#28040;&#32791;&#36229;&#20986;&#39044;&#26399;&#30340;&#26597;&#35810;-runaway-que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2023-11-15T09:48:22Z</dcterms:created>
  <dcterms:modified xsi:type="dcterms:W3CDTF">2023-11-15T09:48:22Z</dcterms:modified>
</cp:coreProperties>
</file>

<file path=docProps/custom.xml><?xml version="1.0" encoding="utf-8"?>
<Properties xmlns="http://schemas.openxmlformats.org/officeDocument/2006/custom-properties" xmlns:vt="http://schemas.openxmlformats.org/officeDocument/2006/docPropsVTypes"/>
</file>