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可扩展性与性能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支持并行运行多个</w:t>
            </w:r>
            <w:r>
              <w:t xml:space="preserve"> 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语句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通过该功能，为同一个表添加多个索引的任务可以变为并发运行。以前同时运行 2 个添加索引语句 X 和 Y 需要花费 X 的时间 + Y 的时间，现在在一个 SQL 语句中同时添加索引 X 和 Y，并发运行后，添加索引总耗时显著减少了。尤其是在宽表的场景，内部测试数据显示同时添加多个索引的性能最高可提升 94%。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稳定性与高可用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优化</w:t>
            </w:r>
            <w:hyperlink r:id="rId20">
              <w:r>
                <w:rPr>
                  <w:rStyle w:val="ae"/>
                </w:rPr>
                <w:t xml:space="preserve">全局排序</w:t>
              </w:r>
            </w:hyperlink>
            <w:r>
              <w:t xml:space="preserve">（实验特性，从 v7.4.0 开始引入）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TiDB v7.2.0 中引入了</w:t>
            </w:r>
            <w:hyperlink r:id="rId21">
              <w:r>
                <w:rPr>
                  <w:rStyle w:val="ae"/>
                </w:rPr>
                <w:t xml:space="preserve">后端任务分布式并行执行框架</w:t>
              </w:r>
            </w:hyperlink>
            <w:r>
              <w:t xml:space="preserve">。在 v7.4.0 中，TiDB 以该框架为基础，引入全局排序，消除了数据 reorg 任务期间临时无序数据导致的不必要的 I/O、CPU 和内存峰值。全局排序利用外部对象存储（目前为 Amazon S3）来存储系统作业期间的中间文件，提高灵活性并降低成本。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等操作将更快速灵活、稳定可靠，且运行成本较低。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资源管控支持</w:t>
            </w:r>
            <w:hyperlink r:id="rId22">
              <w:r>
                <w:rPr>
                  <w:rStyle w:val="ae"/>
                </w:rPr>
                <w:t xml:space="preserve">自动管理后台任务</w:t>
              </w:r>
            </w:hyperlink>
            <w:r>
              <w:t xml:space="preserve">（实验特性，从 v7.4.0 开始引入）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从 v7.1.0 开始，</w:t>
            </w:r>
            <w:hyperlink r:id="rId23">
              <w:r>
                <w:rPr>
                  <w:rStyle w:val="ae"/>
                </w:rPr>
                <w:t xml:space="preserve">资源管控</w:t>
              </w:r>
            </w:hyperlink>
            <w:r>
              <w:t xml:space="preserve">成为正式功能，该特性有助于缓解不同工作负载间的资源与存储访问干扰。TiDB v7.4.0 将此资源控制应用于后台任务的优先级。资源管控可以识别和管理后台任务执行的优先级，例如自动收集统计信息、备份和恢复、TiDB Lightning 批量数据导入以及在线 DDL。未来，所有后台任务都将纳入资源管控。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资源管控支持</w:t>
            </w:r>
            <w:hyperlink r:id="rId24">
              <w:r>
                <w:rPr>
                  <w:rStyle w:val="ae"/>
                </w:rPr>
                <w:t xml:space="preserve">管理资源消耗超出预期的查询</w:t>
              </w:r>
            </w:hyperlink>
            <w:r>
              <w:t xml:space="preserve">（实验特性，从 v7.2.0 开始引入）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ae"/>
                </w:rPr>
                <w:t xml:space="preserve">资源管控</w:t>
              </w:r>
            </w:hyperlink>
            <w:r>
              <w:t xml:space="preserve">是一个通过资源组 (Resource Group) 对工作负载进行资源隔离的框架，但它并不对每个资源组内的查询产生影响。TiDB v7.2.0 引入了运行超出预期的查询 (Runaway Queries) 时的资源控制功能，你可以控制 TiDB 如何识别和处理每个资源组的查询。根据需要，长时间运行的查询可能会被终止或节流，你可以通过准确的 SQL 文本、SQL Digest 或 Plan Digest 来识别查询。在 TiDB v7.3.0，你可以主动监视已知的不良查询，类似于数据库级别的 SQL Blocklist。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MySQL 8.0 兼容性（从 v7.4.0 开始引入）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MySQL 8.0 的默认字符集为 utf8mb4，其默认排序规则是</w:t>
            </w:r>
            <w:r>
              <w:t xml:space="preserve"> </w:t>
            </w:r>
            <w:r>
              <w:rPr>
                <w:rStyle w:val="VerbatimChar"/>
              </w:rPr>
              <w:t xml:space="preserve">utf8mb4_0900_ai_ci</w:t>
            </w:r>
            <w:r>
              <w:t xml:space="preserve">。TiDB v7.4.0 增强了与 MySQL 8.0 的兼容性。现在你可以更轻松地将在 MySQL 8.0 中使用默认排序规则创建的数据库迁移或复制到 TiDB。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数据库管理与可观测性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VerbatimChar"/>
                </w:rPr>
                <w:t xml:space="preserve">IMPORT INTO</w:t>
              </w:r>
            </w:hyperlink>
            <w:r>
              <w:t xml:space="preserve"> </w:t>
            </w:r>
            <w:r>
              <w:t xml:space="preserve">语句集成 TiDB Lightning 物理导入模式的能力 (GA)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 v7.2.0 之前，如需基于文件系统进行数据导入，你需要安装</w:t>
            </w:r>
            <w:r>
              <w:t xml:space="preserve"> </w:t>
            </w:r>
            <w:hyperlink r:id="rId26">
              <w:r>
                <w:rPr>
                  <w:rStyle w:val="ae"/>
                </w:rPr>
                <w:t xml:space="preserve">TiDB Lightning</w:t>
              </w:r>
            </w:hyperlink>
            <w:r>
              <w:t xml:space="preserve"> </w:t>
            </w:r>
            <w:r>
              <w:t xml:space="preserve">并使用其物理导入模式。目前，该功能已集成到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语句中，你可以使用此语句快速导入数据，而无需安装任何额外的工具。该语句还支持</w:t>
            </w:r>
            <w:hyperlink r:id="rId21">
              <w:r>
                <w:rPr>
                  <w:rStyle w:val="ae"/>
                </w:rPr>
                <w:t xml:space="preserve">分布式执行框架</w:t>
              </w:r>
            </w:hyperlink>
            <w:r>
              <w:t xml:space="preserve">，可分布式执行导入任务，提升了大规模数据导入时的效率。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选择</w:t>
            </w:r>
            <w:hyperlink r:id="rId27">
              <w:r>
                <w:rPr>
                  <w:rStyle w:val="ae"/>
                </w:rPr>
                <w:t xml:space="preserve">适用的 TiDB 节点</w:t>
              </w:r>
            </w:hyperlink>
            <w:r>
              <w:t xml:space="preserve">分布式执行</w:t>
            </w:r>
            <w:r>
              <w:t xml:space="preserve"> 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SQL 语句 (GA)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你可以灵活选择在现有 TiDB 节点或新增 TiDB 节点执行</w:t>
            </w:r>
            <w:r>
              <w:t xml:space="preserve"> 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SQL 语句。该方法可以实现与其他 TiDB 节点的资源隔离，确保在执行上述语句时的最佳性能，并避免对已有业务造成性能影响。在 v7.5.0 中，该功能正式 GA。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DDL 任务支持</w:t>
            </w:r>
            <w:hyperlink r:id="rId28">
              <w:r>
                <w:rPr>
                  <w:rStyle w:val="ae"/>
                </w:rPr>
                <w:t xml:space="preserve">暂停和恢复操作</w:t>
              </w:r>
            </w:hyperlink>
            <w:r>
              <w:t xml:space="preserve"> </w:t>
            </w:r>
            <w:r>
              <w:t xml:space="preserve">(GA)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添加索引可能会消耗大量资源并影响在线流量。即使在资源组中进行了限制，或对标记的节点进行了隔离，你仍然可能需要在紧急情况下暂停这些任务。从 v7.2.0 开始，TiDB 原生支持同时暂停任意数量的后台任务，释放所需的资源，无需取消或重启任务。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TiDB Dashboard 性能分析支持 TiKV 堆内存分析</w:t>
            </w:r>
            <w:hyperlink r:id="rId29"/>
          </w:p>
        </w:tc>
        <w:tc>
          <w:tcPr/>
          <w:p>
            <w:pPr>
              <w:pStyle w:val="Compact"/>
              <w:jc w:val="left"/>
            </w:pPr>
            <w:r>
              <w:t xml:space="preserve">在之前版本中调查 TiKV OOM 或内存使用高的问题时，往往需要在实例环境下手动运行</w:t>
            </w:r>
            <w:r>
              <w:t xml:space="preserve"> </w:t>
            </w:r>
            <w:r>
              <w:rPr>
                <w:rStyle w:val="VerbatimChar"/>
              </w:rPr>
              <w:t xml:space="preserve">jeprof</w:t>
            </w:r>
            <w:r>
              <w:t xml:space="preserve"> </w:t>
            </w:r>
            <w:r>
              <w:t xml:space="preserve">生成 Heap Profile。从 v7.5.0 开始，TiKV 支持远程处理 Heap Profile，你可以通过 TiDB Dashboard 直接获取 Heap Profile 的火焰图和调用图。该功能提供了与 Go 堆内存分析同等的简单易用体验。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稳定性与高可用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引入</w:t>
            </w:r>
            <w:hyperlink r:id="rId30">
              <w:r>
                <w:rPr>
                  <w:rStyle w:val="ae"/>
                </w:rPr>
                <w:t xml:space="preserve">全局排序能力</w:t>
              </w:r>
            </w:hyperlink>
            <w:r>
              <w:t xml:space="preserve">，提升</w:t>
            </w:r>
            <w:r>
              <w:rPr>
                <w:rStyle w:val="VerbatimChar"/>
              </w:rPr>
              <w:t xml:space="preserve">IMPORT INTO</w:t>
            </w:r>
            <w:r>
              <w:t xml:space="preserve">和</w:t>
            </w:r>
            <w:r>
              <w:rPr>
                <w:rStyle w:val="VerbatimChar"/>
              </w:rPr>
              <w:t xml:space="preserve">ADD INDEX</w:t>
            </w:r>
            <w:r>
              <w:t xml:space="preserve">任务的性能和稳定性（实验特性）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 v7.4.0 以前，使用</w:t>
            </w:r>
            <w:hyperlink r:id="rId31">
              <w:r>
                <w:rPr>
                  <w:rStyle w:val="ae"/>
                </w:rPr>
                <w:t xml:space="preserve">分布式并行执行框架</w:t>
              </w:r>
            </w:hyperlink>
            <w:r>
              <w:t xml:space="preserve">执行</w:t>
            </w:r>
            <w:r>
              <w:t xml:space="preserve"> 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等任务时，只能对部分数据进行局部排序。这导致 TiKV 需要采取额外操作，并且在将数据导入到 TiKV 之前，TiDB 节点还需要为其分配本地磁盘空间以进行排序。</w:t>
            </w:r>
            <w:r>
              <w:br/>
            </w:r>
            <w:r>
              <w:t xml:space="preserve">随着 v7.4.0 引入全局排序特性，可以将数据暂时存储在外部存储（如 S3）中进行全局排序后再导入到 TiKV 中。这一改进降低了 TiKV 对资源的额外消耗，并显著提高了</w:t>
            </w:r>
            <w:r>
              <w:t xml:space="preserve"> 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等操作的性能和稳定性。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ae"/>
                </w:rPr>
                <w:t xml:space="preserve">资源管控</w:t>
              </w:r>
            </w:hyperlink>
            <w:r>
              <w:t xml:space="preserve">支持自动管理后台任务（实验特性）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从 v7.1.0 开始，资源管控成为正式功能，该特性有助于缓解不同工作负载间的资源与存储访问干扰。TiDB v7.4.0 将此资源控制应用于后台任务。资源管控可以识别和管理后台任务，例如自动收集统计信息、备份和恢复、TiDB Lightning 批量数据导入以及在线 DDL。未来，所有后台任务都将纳入资源管控。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TiFlash 支持</w:t>
            </w:r>
            <w:hyperlink r:id="rId33">
              <w:r>
                <w:rPr>
                  <w:rStyle w:val="ae"/>
                </w:rPr>
                <w:t xml:space="preserve">存储计算资源分离和 S3 共享存储</w:t>
              </w:r>
            </w:hyperlink>
            <w:r>
              <w:t xml:space="preserve"> </w:t>
            </w:r>
            <w:r>
              <w:t xml:space="preserve">(GA)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TiFlash 存算分离架构和 S3 共享存储成为正式功能：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支持分离 TiFlash 的存储和计算资源，提升 HTAP 资源的弹性能力。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支持基于 S3 的存储引擎，以更低的成本提供共享存储。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TiDB 支持完整的</w:t>
            </w:r>
            <w:hyperlink r:id="rId34">
              <w:r>
                <w:rPr>
                  <w:rStyle w:val="ae"/>
                </w:rPr>
                <w:t xml:space="preserve">分区类型管理功能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在 v7.4.0 之前，Range/List 分区表支持分区管理操作包括</w:t>
            </w:r>
            <w:r>
              <w:t xml:space="preserve"> </w:t>
            </w:r>
            <w:r>
              <w:rPr>
                <w:rStyle w:val="VerbatimChar"/>
              </w:rPr>
              <w:t xml:space="preserve">TRUNCATE</w:t>
            </w:r>
            <w:r>
              <w:t xml:space="preserve">、</w:t>
            </w:r>
            <w:r>
              <w:rPr>
                <w:rStyle w:val="VerbatimChar"/>
              </w:rPr>
              <w:t xml:space="preserve">EXCHANGE</w:t>
            </w:r>
            <w:r>
              <w:t xml:space="preserve">、</w:t>
            </w:r>
            <w:r>
              <w:rPr>
                <w:rStyle w:val="VerbatimChar"/>
              </w:rPr>
              <w:t xml:space="preserve">ADD</w:t>
            </w:r>
            <w:r>
              <w:t xml:space="preserve">、</w:t>
            </w:r>
            <w:r>
              <w:rPr>
                <w:rStyle w:val="VerbatimChar"/>
              </w:rPr>
              <w:t xml:space="preserve">DROP</w:t>
            </w:r>
            <w:r>
              <w:t xml:space="preserve">、</w:t>
            </w:r>
            <w:r>
              <w:rPr>
                <w:rStyle w:val="VerbatimChar"/>
              </w:rPr>
              <w:t xml:space="preserve">REORGANIZE</w:t>
            </w:r>
            <w:r>
              <w:t xml:space="preserve"> </w:t>
            </w:r>
            <w:r>
              <w:t xml:space="preserve">等，Hash/Key 分区表支持分区管理操作包括</w:t>
            </w:r>
            <w:r>
              <w:t xml:space="preserve"> </w:t>
            </w:r>
            <w:r>
              <w:rPr>
                <w:rStyle w:val="VerbatimChar"/>
              </w:rPr>
              <w:t xml:space="preserve">ADD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COALESCE</w:t>
            </w:r>
            <w:r>
              <w:t xml:space="preserve"> </w:t>
            </w:r>
            <w:r>
              <w:t xml:space="preserve">等。</w:t>
            </w:r>
          </w:p>
          <w:p>
            <w:pPr>
              <w:jc w:val="left"/>
            </w:pPr>
            <w:r>
              <w:t xml:space="preserve">现在 TiDB 新增支持了以下分区类型管理操作：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将分区表转换为非分区表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对现有的非分区表进行分区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修改现有分区表的分区类型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MySQL 8.0 兼容性：支持</w:t>
            </w:r>
            <w:hyperlink r:id="rId35">
              <w:r>
                <w:rPr>
                  <w:rStyle w:val="ae"/>
                </w:rPr>
                <w:t xml:space="preserve">排序规则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VerbatimChar"/>
                </w:rPr>
                <w:t xml:space="preserve">utf8mb4_0900_ai_ci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MySQL 8.0 的一个显著变化是默认字符集更改为 utf8mb4，其默认排序规则是</w:t>
            </w:r>
            <w:r>
              <w:t xml:space="preserve"> </w:t>
            </w:r>
            <w:r>
              <w:rPr>
                <w:rStyle w:val="VerbatimChar"/>
              </w:rPr>
              <w:t xml:space="preserve">utf8mb4_0900_ai_ci</w:t>
            </w:r>
            <w:r>
              <w:t xml:space="preserve">。TiDB v7.4.0 增强了与 MySQL 8.0 的兼容性。现在你可以更轻松地将在 MySQL 8.0 中使用默认排序规则创建的数据库迁移或复制到 TiDB。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数据库管理与可观测性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选择</w:t>
            </w:r>
            <w:hyperlink r:id="rId36">
              <w:r>
                <w:rPr>
                  <w:rStyle w:val="ae"/>
                </w:rPr>
                <w:t xml:space="preserve">适用的 TiDB 节点</w:t>
              </w:r>
            </w:hyperlink>
            <w:r>
              <w:t xml:space="preserve">来并行执行</w:t>
            </w:r>
            <w:r>
              <w:t xml:space="preserve"> 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SQL 语句（实验特性）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你可以选择在现有 TiDB 节点、或者新增 TiDB 节点执行</w:t>
            </w:r>
            <w:r>
              <w:t xml:space="preserve"> </w:t>
            </w:r>
            <w:r>
              <w:rPr>
                <w:rStyle w:val="VerbatimChar"/>
              </w:rPr>
              <w:t xml:space="preserve">ADD INDEX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 </w:t>
            </w:r>
            <w:r>
              <w:t xml:space="preserve">SQL 语句。该方法可以实现与其他 TiDB 节点的资源隔离，确保在执行上述语句时的最佳性能，并避免对已有业务造成性能影响。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可扩展性与性能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TiDB Lightning 支持</w:t>
            </w:r>
            <w:r>
              <w:t xml:space="preserve"> </w:t>
            </w:r>
            <w:hyperlink r:id="rId37">
              <w:r>
                <w:rPr>
                  <w:rStyle w:val="ae"/>
                </w:rPr>
                <w:t xml:space="preserve">Partitioned Raft KV</w:t>
              </w:r>
            </w:hyperlink>
            <w:r>
              <w:t xml:space="preserve">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TiDB Lightning 的数据导入服务支持新的 Partitioned Raft KV 架构，为 Partitioned Raft KV 在 TiDB 后续版本中 GA 做好准备。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稳定性与高可用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ae"/>
                </w:rPr>
                <w:t xml:space="preserve">TiDB Lightning 引入冲突数据的自动检测和处理机制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TiDB Lightning 物理导入模式支持新版本的冲突检测机制，支持在遇到数据冲突时替换 (</w:t>
            </w:r>
            <w:r>
              <w:rPr>
                <w:rStyle w:val="VerbatimChar"/>
              </w:rPr>
              <w:t xml:space="preserve">replace</w:t>
            </w:r>
            <w:r>
              <w:t xml:space="preserve">) 或忽略 (</w:t>
            </w:r>
            <w:r>
              <w:rPr>
                <w:rStyle w:val="VerbatimChar"/>
              </w:rPr>
              <w:t xml:space="preserve">ignore</w:t>
            </w:r>
            <w:r>
              <w:t xml:space="preserve">) 冲突数据的语义。TiDB Lightning 会自动处理冲突数据，同时提高了冲突处理的性能。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ae"/>
                </w:rPr>
                <w:t xml:space="preserve">手动标记资源使用超出预期的查询</w:t>
              </w:r>
            </w:hyperlink>
            <w:r>
              <w:t xml:space="preserve">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查询耗费的时间有时会超出预期。通过资源组新增的 Runaway Queries 监控列表，你可以设置降低 Runaway Queries 的优先级或终止查询，从而更有效地管理查询。该功能允许算子在资源组级别通过匹配 SQL 文本、SQL digest 或执行计划标记查询，并对这些查询进行处理，从而更好地控制非预期的大型查询可能对集群产生的影响。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ae"/>
                </w:rPr>
                <w:t xml:space="preserve">添加更多优化器提示，加强对算子的控制，提升查询稳定性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新增优化器提示：</w:t>
            </w:r>
            <w:r>
              <w:rPr>
                <w:rStyle w:val="VerbatimChar"/>
              </w:rPr>
              <w:t xml:space="preserve">NO_INDEX_JOIN()</w:t>
            </w:r>
            <w:r>
              <w:t xml:space="preserve">、</w:t>
            </w:r>
            <w:r>
              <w:rPr>
                <w:rStyle w:val="VerbatimChar"/>
              </w:rPr>
              <w:t xml:space="preserve">NO_MERGE_JOIN()</w:t>
            </w:r>
            <w:r>
              <w:t xml:space="preserve">、</w:t>
            </w:r>
            <w:r>
              <w:rPr>
                <w:rStyle w:val="VerbatimChar"/>
              </w:rPr>
              <w:t xml:space="preserve">NO_INDEX_MERGE_JOIN()</w:t>
            </w:r>
            <w:r>
              <w:t xml:space="preserve">、</w:t>
            </w:r>
            <w:r>
              <w:rPr>
                <w:rStyle w:val="VerbatimChar"/>
              </w:rPr>
              <w:t xml:space="preserve">NO_HASH_JOIN()</w:t>
            </w:r>
            <w:r>
              <w:t xml:space="preserve">、</w:t>
            </w:r>
            <w:r>
              <w:rPr>
                <w:rStyle w:val="VerbatimChar"/>
              </w:rPr>
              <w:t xml:space="preserve">NO_INDEX_HASH_JOIN()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数据库管理与可观测性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ae"/>
                </w:rPr>
                <w:t xml:space="preserve">显示统计信息收集的进度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支持使用</w:t>
            </w:r>
            <w:r>
              <w:t xml:space="preserve"> </w:t>
            </w:r>
            <w:r>
              <w:rPr>
                <w:rStyle w:val="VerbatimChar"/>
              </w:rPr>
              <w:t xml:space="preserve">SHOW ANALYZE STATUS</w:t>
            </w:r>
            <w:r>
              <w:t xml:space="preserve"> </w:t>
            </w:r>
            <w:r>
              <w:t xml:space="preserve">语句或通过</w:t>
            </w:r>
            <w:r>
              <w:t xml:space="preserve"> </w:t>
            </w:r>
            <w:r>
              <w:rPr>
                <w:rStyle w:val="VerbatimChar"/>
              </w:rPr>
              <w:t xml:space="preserve">mysql.analyze_jobs</w:t>
            </w:r>
            <w:r>
              <w:t xml:space="preserve"> </w:t>
            </w:r>
            <w:r>
              <w:t xml:space="preserve">系统表查看</w:t>
            </w:r>
            <w:r>
              <w:t xml:space="preserve"> </w:t>
            </w:r>
            <w:r>
              <w:rPr>
                <w:rStyle w:val="VerbatimChar"/>
              </w:rPr>
              <w:t xml:space="preserve">ANALYZE</w:t>
            </w:r>
            <w:r>
              <w:t xml:space="preserve"> </w:t>
            </w:r>
            <w:r>
              <w:t xml:space="preserve">任务的进度。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可扩展性与性能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资源组支持</w:t>
            </w:r>
            <w:hyperlink r:id="rId42">
              <w:r>
                <w:rPr>
                  <w:rStyle w:val="ae"/>
                </w:rPr>
                <w:t xml:space="preserve">管理资源消耗超出预期的查询</w:t>
              </w:r>
            </w:hyperlink>
            <w:r>
              <w:t xml:space="preserve">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通过此功能，你可以更细粒度地管理执行时间超时的查询，根据查询的不同类型实现不同的行为。符合指定阈值的查询将按照你的设置被降低优先级或者终止执行。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TiFlash 支持</w:t>
            </w:r>
            <w:r>
              <w:t xml:space="preserve"> </w:t>
            </w:r>
            <w:hyperlink r:id="rId43">
              <w:r>
                <w:rPr>
                  <w:rStyle w:val="ae"/>
                </w:rPr>
                <w:t xml:space="preserve">Pipeline 执行模型</w:t>
              </w:r>
            </w:hyperlink>
            <w:r>
              <w:t xml:space="preserve">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TiFlash 支持 Pipeline 执行模型，优化对线程资源的控制。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支持新的 SQL 语句</w:t>
            </w:r>
            <w:r>
              <w:t xml:space="preserve"> </w:t>
            </w:r>
            <w:hyperlink r:id="rId44">
              <w:r>
                <w:rPr>
                  <w:rStyle w:val="VerbatimChar"/>
                </w:rPr>
                <w:t xml:space="preserve">IMPORT INTO</w:t>
              </w:r>
            </w:hyperlink>
            <w:r>
              <w:t xml:space="preserve">，可以通过 TiDB 进行数据导入（实验特性）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TiDB 引入了一个新的 SQL 语句</w:t>
            </w:r>
            <w:r>
              <w:t xml:space="preserve"> </w:t>
            </w:r>
            <w:r>
              <w:rPr>
                <w:rStyle w:val="VerbatimChar"/>
              </w:rPr>
              <w:t xml:space="preserve">IMPORT INTO</w:t>
            </w:r>
            <w:r>
              <w:t xml:space="preserve">。该语句集成了 TiDB Lightning 的物理导入模式的能力，使你无需单独部署和管理 TiDB Lightning 即可导入数据文件到 TiDB 中。例如，通过该语句，你可以直接从 Amazon S3 或 Google Cloud Storage (GCS) 远程导入数据到 TiDB 中。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数据库管理与可观测性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DDL 任务支持</w:t>
            </w:r>
            <w:hyperlink r:id="rId45">
              <w:r>
                <w:rPr>
                  <w:rStyle w:val="ae"/>
                </w:rPr>
                <w:t xml:space="preserve">暂停和恢复操作</w:t>
              </w:r>
            </w:hyperlink>
            <w:r>
              <w:t xml:space="preserve">（实验特性）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该功能允许临时暂停资源密集型的 DDL 操作，例如索引创建，以节省资源并最小化对在线流量的影响。当资源许可时，你可以无缝恢复 DDL 任务，而无需取消和重新开始。该功能提高了资源利用率，改善了用户体验，并简化了 schema 更改过程。</w:t>
            </w:r>
          </w:p>
        </w:tc>
      </w:tr>
    </w:tbl>
    <w:sectPr w:rsidR="009E7F7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Noto Sans SC"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D90D25C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948408B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D78A82E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854AE77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F170F06E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A91C114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28AA26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E994737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A0926D26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9B0A471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3B01BA4"/>
    <w:multiLevelType w:val="multilevel"/>
    <w:tmpl w:val="CD3C1844"/>
    <w:lvl w:ilvl="0">
      <w:start w:val="1"/>
      <w:numFmt w:val="decimal"/>
      <w:pStyle w:val="1"/>
      <w:suff w:val="space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1">
    <w:nsid w:val="072E2258"/>
    <w:multiLevelType w:val="multilevel"/>
    <w:tmpl w:val="0AE675CE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567" w:left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2">
    <w:nsid w:val="107873CB"/>
    <w:multiLevelType w:val="multilevel"/>
    <w:tmpl w:val="763A0874"/>
    <w:styleLink w:val="6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3">
    <w:nsid w:val="130671A4"/>
    <w:multiLevelType w:val="multilevel"/>
    <w:tmpl w:val="093CC22E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4">
    <w:nsid w:val="15854600"/>
    <w:multiLevelType w:val="multilevel"/>
    <w:tmpl w:val="0409001D"/>
    <w:styleLink w:val="19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5">
    <w:nsid w:val="170CD2DE"/>
    <w:multiLevelType w:val="multilevel"/>
    <w:tmpl w:val="744E55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8DD7A39"/>
    <w:multiLevelType w:val="multilevel"/>
    <w:tmpl w:val="4AC279F4"/>
    <w:styleLink w:val="8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pos="0" w:val="num"/>
        </w:tabs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7">
    <w:nsid w:val="18E4222A"/>
    <w:multiLevelType w:val="multilevel"/>
    <w:tmpl w:val="9E2EE0FC"/>
    <w:styleLink w:val="9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8">
    <w:nsid w:val="21520FF7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9">
    <w:nsid w:val="23A5207B"/>
    <w:multiLevelType w:val="multilevel"/>
    <w:tmpl w:val="5B1A6F12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0">
    <w:nsid w:val="25FF6F66"/>
    <w:multiLevelType w:val="multilevel"/>
    <w:tmpl w:val="1DAE00D4"/>
    <w:styleLink w:val="15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1">
    <w:nsid w:val="2FA75C6F"/>
    <w:multiLevelType w:val="multilevel"/>
    <w:tmpl w:val="2F5650CA"/>
    <w:styleLink w:val="2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2">
    <w:nsid w:val="33550012"/>
    <w:multiLevelType w:val="multilevel"/>
    <w:tmpl w:val="85967156"/>
    <w:styleLink w:val="4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3">
    <w:nsid w:val="39B5162F"/>
    <w:multiLevelType w:val="multilevel"/>
    <w:tmpl w:val="0409001D"/>
    <w:styleLink w:val="200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24">
    <w:nsid w:val="3AA9228E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25">
    <w:nsid w:val="47C63B52"/>
    <w:multiLevelType w:val="multilevel"/>
    <w:tmpl w:val="18389C4C"/>
    <w:styleLink w:val="7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6">
    <w:nsid w:val="47D864C0"/>
    <w:multiLevelType w:val="multilevel"/>
    <w:tmpl w:val="0409001D"/>
    <w:styleLink w:val="23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27">
    <w:nsid w:val="489B330A"/>
    <w:multiLevelType w:val="multilevel"/>
    <w:tmpl w:val="3DD221CE"/>
    <w:styleLink w:val="13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8">
    <w:nsid w:val="49405520"/>
    <w:multiLevelType w:val="multilevel"/>
    <w:tmpl w:val="C9BA91B0"/>
    <w:styleLink w:val="10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9">
    <w:nsid w:val="4D2E1A00"/>
    <w:multiLevelType w:val="multilevel"/>
    <w:tmpl w:val="C9403100"/>
    <w:styleLink w:val="3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0">
    <w:nsid w:val="527103D7"/>
    <w:multiLevelType w:val="multilevel"/>
    <w:tmpl w:val="D006F048"/>
    <w:styleLink w:val="14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1">
    <w:nsid w:val="57103CDE"/>
    <w:multiLevelType w:val="multilevel"/>
    <w:tmpl w:val="691EFB8A"/>
    <w:styleLink w:val="11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2">
    <w:nsid w:val="6221566B"/>
    <w:multiLevelType w:val="multilevel"/>
    <w:tmpl w:val="0409001D"/>
    <w:styleLink w:val="17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33">
    <w:nsid w:val="64CC24D9"/>
    <w:multiLevelType w:val="multilevel"/>
    <w:tmpl w:val="97E476FA"/>
    <w:styleLink w:val="5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4">
    <w:nsid w:val="66807C4C"/>
    <w:multiLevelType w:val="multilevel"/>
    <w:tmpl w:val="9FCAB8F6"/>
    <w:styleLink w:val="12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5">
    <w:nsid w:val="6D6F0B96"/>
    <w:multiLevelType w:val="multilevel"/>
    <w:tmpl w:val="A7B6A3A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6">
    <w:nsid w:val="6F3478A9"/>
    <w:multiLevelType w:val="multilevel"/>
    <w:tmpl w:val="0409001D"/>
    <w:styleLink w:val="18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37">
    <w:nsid w:val="78291DFA"/>
    <w:multiLevelType w:val="multilevel"/>
    <w:tmpl w:val="0409001D"/>
    <w:styleLink w:val="2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38">
    <w:nsid w:val="7BEA2050"/>
    <w:multiLevelType w:val="multilevel"/>
    <w:tmpl w:val="DBA03A5E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9">
    <w:nsid w:val="7D557FE3"/>
    <w:multiLevelType w:val="multilevel"/>
    <w:tmpl w:val="6E925E56"/>
    <w:styleLink w:val="16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83379653" w:numId="1">
    <w:abstractNumId w:val="15"/>
  </w:num>
  <w:num w16cid:durableId="1488666000" w:numId="2">
    <w:abstractNumId w:val="4"/>
  </w:num>
  <w:num w16cid:durableId="1065763839" w:numId="3">
    <w:abstractNumId w:val="5"/>
  </w:num>
  <w:num w16cid:durableId="1340624139" w:numId="4">
    <w:abstractNumId w:val="6"/>
  </w:num>
  <w:num w16cid:durableId="836457300" w:numId="5">
    <w:abstractNumId w:val="7"/>
  </w:num>
  <w:num w16cid:durableId="593981422" w:numId="6">
    <w:abstractNumId w:val="9"/>
  </w:num>
  <w:num w16cid:durableId="307368073" w:numId="7">
    <w:abstractNumId w:val="0"/>
  </w:num>
  <w:num w16cid:durableId="1332877378" w:numId="8">
    <w:abstractNumId w:val="1"/>
  </w:num>
  <w:num w16cid:durableId="1721980402" w:numId="9">
    <w:abstractNumId w:val="2"/>
  </w:num>
  <w:num w16cid:durableId="1477603620" w:numId="10">
    <w:abstractNumId w:val="3"/>
  </w:num>
  <w:num w16cid:durableId="683478345" w:numId="11">
    <w:abstractNumId w:val="8"/>
  </w:num>
  <w:num w16cid:durableId="152380411" w:numId="12">
    <w:abstractNumId w:val="11"/>
  </w:num>
  <w:num w16cid:durableId="1831168873" w:numId="13">
    <w:abstractNumId w:val="35"/>
  </w:num>
  <w:num w16cid:durableId="1716157075" w:numId="14">
    <w:abstractNumId w:val="18"/>
  </w:num>
  <w:num w16cid:durableId="1314413248" w:numId="15">
    <w:abstractNumId w:val="21"/>
  </w:num>
  <w:num w16cid:durableId="791637057" w:numId="16">
    <w:abstractNumId w:val="29"/>
  </w:num>
  <w:num w16cid:durableId="112753441" w:numId="17">
    <w:abstractNumId w:val="38"/>
  </w:num>
  <w:num w16cid:durableId="655576132" w:numId="18">
    <w:abstractNumId w:val="13"/>
  </w:num>
  <w:num w16cid:durableId="1774011069" w:numId="19">
    <w:abstractNumId w:val="22"/>
  </w:num>
  <w:num w16cid:durableId="1378624915" w:numId="20">
    <w:abstractNumId w:val="33"/>
  </w:num>
  <w:num w16cid:durableId="365569244" w:numId="21">
    <w:abstractNumId w:val="12"/>
  </w:num>
  <w:num w16cid:durableId="1127966984" w:numId="22">
    <w:abstractNumId w:val="19"/>
  </w:num>
  <w:num w16cid:durableId="2018997928" w:numId="23">
    <w:abstractNumId w:val="25"/>
  </w:num>
  <w:num w16cid:durableId="797724125" w:numId="24">
    <w:abstractNumId w:val="16"/>
  </w:num>
  <w:num w16cid:durableId="1702784637" w:numId="25">
    <w:abstractNumId w:val="10"/>
  </w:num>
  <w:num w16cid:durableId="1641154643" w:numId="26">
    <w:abstractNumId w:val="17"/>
  </w:num>
  <w:num w16cid:durableId="1758748070" w:numId="27">
    <w:abstractNumId w:val="28"/>
  </w:num>
  <w:num w16cid:durableId="1088620983" w:numId="28">
    <w:abstractNumId w:val="31"/>
  </w:num>
  <w:num w16cid:durableId="1246189565" w:numId="29">
    <w:abstractNumId w:val="34"/>
  </w:num>
  <w:num w16cid:durableId="1390111802" w:numId="30">
    <w:abstractNumId w:val="27"/>
  </w:num>
  <w:num w16cid:durableId="60367534" w:numId="31">
    <w:abstractNumId w:val="30"/>
  </w:num>
  <w:num w16cid:durableId="1690637290" w:numId="32">
    <w:abstractNumId w:val="20"/>
  </w:num>
  <w:num w16cid:durableId="216088107" w:numId="33">
    <w:abstractNumId w:val="39"/>
  </w:num>
  <w:num w16cid:durableId="1964799476" w:numId="34">
    <w:abstractNumId w:val="32"/>
  </w:num>
  <w:num w16cid:durableId="1438139949" w:numId="35">
    <w:abstractNumId w:val="36"/>
  </w:num>
  <w:num w16cid:durableId="239947828" w:numId="36">
    <w:abstractNumId w:val="14"/>
  </w:num>
  <w:num w16cid:durableId="1233270998" w:numId="37">
    <w:abstractNumId w:val="23"/>
  </w:num>
  <w:num w16cid:durableId="1930233533" w:numId="38">
    <w:abstractNumId w:val="24"/>
  </w:num>
  <w:num w16cid:durableId="1260796927" w:numId="39">
    <w:abstractNumId w:val="37"/>
  </w:num>
  <w:num w16cid:durableId="2091612072" w:numId="40">
    <w:abstractNumId w:val="2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BD3991"/>
    <w:rPr>
      <w:rFonts w:ascii="Noto Sans" w:eastAsia="Noto Sans SC" w:hAnsi="Noto Sans"/>
    </w:rPr>
  </w:style>
  <w:style w:styleId="1" w:type="paragraph">
    <w:name w:val="heading 1"/>
    <w:basedOn w:val="a"/>
    <w:next w:val="a0"/>
    <w:uiPriority w:val="9"/>
    <w:qFormat/>
    <w:rsid w:val="00B50B4B"/>
    <w:pPr>
      <w:keepNext/>
      <w:keepLines/>
      <w:numPr>
        <w:numId w:val="25"/>
      </w:numPr>
      <w:spacing w:after="50" w:afterLines="50"/>
      <w:outlineLvl w:val="0"/>
    </w:pPr>
    <w:rPr>
      <w:rFonts w:cstheme="majorBid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B50B4B"/>
    <w:pPr>
      <w:keepNext/>
      <w:keepLines/>
      <w:numPr>
        <w:ilvl w:val="1"/>
        <w:numId w:val="25"/>
      </w:numPr>
      <w:spacing w:after="50" w:afterLines="50"/>
      <w:outlineLvl w:val="1"/>
    </w:pPr>
    <w:rPr>
      <w:rFonts w:cstheme="majorBid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B50B4B"/>
    <w:pPr>
      <w:keepNext/>
      <w:keepLines/>
      <w:numPr>
        <w:ilvl w:val="2"/>
        <w:numId w:val="25"/>
      </w:numPr>
      <w:spacing w:after="50" w:afterLines="50"/>
      <w:outlineLvl w:val="2"/>
    </w:pPr>
    <w:rPr>
      <w:rFonts w:cstheme="majorBid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B50B4B"/>
    <w:pPr>
      <w:keepNext/>
      <w:keepLines/>
      <w:numPr>
        <w:ilvl w:val="3"/>
        <w:numId w:val="25"/>
      </w:numPr>
      <w:spacing w:after="50" w:afterLines="50"/>
      <w:outlineLvl w:val="3"/>
    </w:pPr>
    <w:rPr>
      <w:rFonts w:cs="Times New Roman (标题 CS)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B50B4B"/>
    <w:pPr>
      <w:keepNext/>
      <w:keepLines/>
      <w:numPr>
        <w:ilvl w:val="4"/>
        <w:numId w:val="25"/>
      </w:numPr>
      <w:spacing w:after="0" w:before="200"/>
      <w:outlineLvl w:val="4"/>
    </w:pPr>
    <w:rPr>
      <w:rFonts w:cstheme="majorBidi"/>
      <w:iCs/>
      <w:color w:themeColor="text1" w:val="000000"/>
    </w:rPr>
  </w:style>
  <w:style w:styleId="60" w:type="paragraph">
    <w:name w:val="heading 6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5"/>
    </w:pPr>
    <w:rPr>
      <w:rFonts w:cstheme="majorBidi"/>
      <w:color w:themeColor="text1" w:val="000000"/>
    </w:rPr>
  </w:style>
  <w:style w:styleId="70" w:type="paragraph">
    <w:name w:val="heading 7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6"/>
    </w:pPr>
    <w:rPr>
      <w:rFonts w:cstheme="majorBidi"/>
      <w:color w:themeColor="text1" w:val="000000"/>
    </w:rPr>
  </w:style>
  <w:style w:styleId="80" w:type="paragraph">
    <w:name w:val="heading 8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7"/>
    </w:pPr>
    <w:rPr>
      <w:rFonts w:cstheme="majorBidi"/>
      <w:color w:themeColor="text1" w:val="000000"/>
    </w:rPr>
  </w:style>
  <w:style w:styleId="90" w:type="paragraph">
    <w:name w:val="heading 9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8"/>
    </w:pPr>
    <w:rPr>
      <w:rFonts w:cstheme="majorBid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BD3991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A97AE2"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E97CD0"/>
    <w:pPr>
      <w:keepNext/>
      <w:keepLines/>
      <w:spacing w:after="240" w:before="480"/>
      <w:jc w:val="center"/>
    </w:pPr>
    <w:rPr>
      <w:rFonts w:cstheme="majorBid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styleId="a7" w:type="paragraph">
    <w:name w:val="Date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customStyle="1" w:styleId="AbstractTitle" w:type="paragraph">
    <w:name w:val="Abstract Title"/>
    <w:basedOn w:val="a"/>
    <w:next w:val="Abstract"/>
    <w:qFormat/>
    <w:rsid w:val="00BA6C2A"/>
    <w:pPr>
      <w:keepNext/>
      <w:keepLines/>
      <w:spacing w:after="0" w:before="300"/>
      <w:jc w:val="center"/>
    </w:pPr>
    <w:rPr>
      <w:b/>
      <w:color w:themeColor="text1" w:val="000000"/>
      <w:sz w:val="20"/>
      <w:szCs w:val="20"/>
    </w:rPr>
  </w:style>
  <w:style w:customStyle="1" w:styleId="Abstract" w:type="paragraph">
    <w:name w:val="Abstract"/>
    <w:basedOn w:val="a"/>
    <w:next w:val="a0"/>
    <w:qFormat/>
    <w:rsid w:val="00A97AE2"/>
    <w:pPr>
      <w:keepNext/>
      <w:keepLines/>
      <w:spacing w:after="300" w:before="1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rsid w:val="00A97AE2"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096F49"/>
    <w:rPr>
      <w:rFonts w:ascii="Noto Sans" w:eastAsia="Noto Sans SC" w:hAnsi="Noto Sans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BD3991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sid w:val="00BD3991"/>
    <w:rPr>
      <w:rFonts w:ascii="Noto Sans" w:eastAsia="Noto Sans SC" w:hAnsi="Noto Sans"/>
      <w:sz w:val="22"/>
    </w:rPr>
  </w:style>
  <w:style w:customStyle="1" w:styleId="SectionNumber" w:type="character">
    <w:name w:val="Section Number"/>
    <w:basedOn w:val="ac"/>
    <w:rsid w:val="00BD3991"/>
    <w:rPr>
      <w:rFonts w:ascii="Noto Sans" w:eastAsia="Noto Sans SC" w:hAnsi="Noto Sans"/>
    </w:rPr>
  </w:style>
  <w:style w:styleId="ad" w:type="character">
    <w:name w:val="footnote reference"/>
    <w:basedOn w:val="ac"/>
    <w:rsid w:val="00BD3991"/>
    <w:rPr>
      <w:rFonts w:ascii="Noto Sans" w:eastAsia="Noto Sans SC" w:hAnsi="Noto Sans"/>
      <w:vertAlign w:val="superscript"/>
    </w:rPr>
  </w:style>
  <w:style w:styleId="ae" w:type="character">
    <w:name w:val="Hyperlink"/>
    <w:basedOn w:val="ac"/>
    <w:rsid w:val="00BD3991"/>
    <w:rPr>
      <w:rFonts w:ascii="Noto Sans" w:eastAsia="Noto Sans SC" w:hAnsi="Noto Sans"/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4B199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customStyle="1" w:styleId="a4" w:type="character">
    <w:name w:val="正文文本 字符"/>
    <w:basedOn w:val="a1"/>
    <w:link w:val="a0"/>
    <w:rsid w:val="00BD3991"/>
    <w:rPr>
      <w:rFonts w:ascii="Noto Sans" w:eastAsia="Noto Sans SC" w:hAnsi="Noto Sans"/>
    </w:rPr>
  </w:style>
  <w:style w:customStyle="1" w:styleId="10" w:type="numbering">
    <w:name w:val="当前列表1"/>
    <w:uiPriority w:val="99"/>
    <w:rsid w:val="008E741A"/>
    <w:pPr>
      <w:numPr>
        <w:numId w:val="14"/>
      </w:numPr>
    </w:pPr>
  </w:style>
  <w:style w:customStyle="1" w:styleId="20" w:type="numbering">
    <w:name w:val="当前列表2"/>
    <w:uiPriority w:val="99"/>
    <w:rsid w:val="008E741A"/>
    <w:pPr>
      <w:numPr>
        <w:numId w:val="15"/>
      </w:numPr>
    </w:pPr>
  </w:style>
  <w:style w:customStyle="1" w:styleId="30" w:type="numbering">
    <w:name w:val="当前列表3"/>
    <w:uiPriority w:val="99"/>
    <w:rsid w:val="008E741A"/>
    <w:pPr>
      <w:numPr>
        <w:numId w:val="16"/>
      </w:numPr>
    </w:pPr>
  </w:style>
  <w:style w:customStyle="1" w:styleId="40" w:type="numbering">
    <w:name w:val="当前列表4"/>
    <w:uiPriority w:val="99"/>
    <w:rsid w:val="00AC3FEE"/>
    <w:pPr>
      <w:numPr>
        <w:numId w:val="19"/>
      </w:numPr>
    </w:pPr>
  </w:style>
  <w:style w:customStyle="1" w:styleId="50" w:type="numbering">
    <w:name w:val="当前列表5"/>
    <w:uiPriority w:val="99"/>
    <w:rsid w:val="00AC3FEE"/>
    <w:pPr>
      <w:numPr>
        <w:numId w:val="20"/>
      </w:numPr>
    </w:pPr>
  </w:style>
  <w:style w:customStyle="1" w:styleId="6" w:type="numbering">
    <w:name w:val="当前列表6"/>
    <w:uiPriority w:val="99"/>
    <w:rsid w:val="00AC3FEE"/>
    <w:pPr>
      <w:numPr>
        <w:numId w:val="21"/>
      </w:numPr>
    </w:pPr>
  </w:style>
  <w:style w:customStyle="1" w:styleId="7" w:type="numbering">
    <w:name w:val="当前列表7"/>
    <w:uiPriority w:val="99"/>
    <w:rsid w:val="001A4D7C"/>
    <w:pPr>
      <w:numPr>
        <w:numId w:val="23"/>
      </w:numPr>
    </w:pPr>
  </w:style>
  <w:style w:customStyle="1" w:styleId="8" w:type="numbering">
    <w:name w:val="当前列表8"/>
    <w:uiPriority w:val="99"/>
    <w:rsid w:val="001A4D7C"/>
    <w:pPr>
      <w:numPr>
        <w:numId w:val="24"/>
      </w:numPr>
    </w:pPr>
  </w:style>
  <w:style w:customStyle="1" w:styleId="9" w:type="numbering">
    <w:name w:val="当前列表9"/>
    <w:uiPriority w:val="99"/>
    <w:rsid w:val="001A4D7C"/>
    <w:pPr>
      <w:numPr>
        <w:numId w:val="26"/>
      </w:numPr>
    </w:pPr>
  </w:style>
  <w:style w:customStyle="1" w:styleId="100" w:type="numbering">
    <w:name w:val="当前列表10"/>
    <w:uiPriority w:val="99"/>
    <w:rsid w:val="001A4D7C"/>
    <w:pPr>
      <w:numPr>
        <w:numId w:val="27"/>
      </w:numPr>
    </w:pPr>
  </w:style>
  <w:style w:customStyle="1" w:styleId="11" w:type="numbering">
    <w:name w:val="当前列表11"/>
    <w:uiPriority w:val="99"/>
    <w:rsid w:val="001A4D7C"/>
    <w:pPr>
      <w:numPr>
        <w:numId w:val="28"/>
      </w:numPr>
    </w:pPr>
  </w:style>
  <w:style w:customStyle="1" w:styleId="12" w:type="numbering">
    <w:name w:val="当前列表12"/>
    <w:uiPriority w:val="99"/>
    <w:rsid w:val="001A4D7C"/>
    <w:pPr>
      <w:numPr>
        <w:numId w:val="29"/>
      </w:numPr>
    </w:pPr>
  </w:style>
  <w:style w:customStyle="1" w:styleId="13" w:type="numbering">
    <w:name w:val="当前列表13"/>
    <w:uiPriority w:val="99"/>
    <w:rsid w:val="001A4D7C"/>
    <w:pPr>
      <w:numPr>
        <w:numId w:val="30"/>
      </w:numPr>
    </w:pPr>
  </w:style>
  <w:style w:customStyle="1" w:styleId="14" w:type="numbering">
    <w:name w:val="当前列表14"/>
    <w:uiPriority w:val="99"/>
    <w:rsid w:val="001A4D7C"/>
    <w:pPr>
      <w:numPr>
        <w:numId w:val="31"/>
      </w:numPr>
    </w:pPr>
  </w:style>
  <w:style w:customStyle="1" w:styleId="15" w:type="numbering">
    <w:name w:val="当前列表15"/>
    <w:uiPriority w:val="99"/>
    <w:rsid w:val="001A4D7C"/>
    <w:pPr>
      <w:numPr>
        <w:numId w:val="32"/>
      </w:numPr>
    </w:pPr>
  </w:style>
  <w:style w:customStyle="1" w:styleId="16" w:type="numbering">
    <w:name w:val="当前列表16"/>
    <w:uiPriority w:val="99"/>
    <w:rsid w:val="001A4D7C"/>
    <w:pPr>
      <w:numPr>
        <w:numId w:val="33"/>
      </w:numPr>
    </w:pPr>
  </w:style>
  <w:style w:styleId="af" w:type="paragraph">
    <w:name w:val="footer"/>
    <w:basedOn w:val="a"/>
    <w:link w:val="af0"/>
    <w:rsid w:val="009F72B7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9F72B7"/>
    <w:rPr>
      <w:rFonts w:ascii="Noto Sans" w:eastAsia="Noto Sans SC" w:hAnsi="Noto Sans"/>
      <w:sz w:val="18"/>
      <w:szCs w:val="18"/>
    </w:rPr>
  </w:style>
  <w:style w:styleId="af1" w:type="character">
    <w:name w:val="page number"/>
    <w:basedOn w:val="a1"/>
    <w:rsid w:val="00510AB4"/>
    <w:rPr>
      <w:rFonts w:ascii="Noto Sans" w:eastAsia="Noto Sans SC" w:hAnsi="Noto Sans"/>
    </w:rPr>
  </w:style>
  <w:style w:styleId="af2" w:type="paragraph">
    <w:name w:val="header"/>
    <w:basedOn w:val="a"/>
    <w:link w:val="af3"/>
    <w:rsid w:val="009F72B7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3" w:type="character">
    <w:name w:val="页眉 字符"/>
    <w:basedOn w:val="a1"/>
    <w:link w:val="af2"/>
    <w:rsid w:val="009F72B7"/>
    <w:rPr>
      <w:rFonts w:ascii="Noto Sans" w:eastAsia="Noto Sans SC" w:hAnsi="Noto Sans"/>
      <w:sz w:val="18"/>
      <w:szCs w:val="18"/>
    </w:rPr>
  </w:style>
  <w:style w:customStyle="1" w:styleId="17" w:type="numbering">
    <w:name w:val="当前列表17"/>
    <w:uiPriority w:val="99"/>
    <w:rsid w:val="004B199F"/>
    <w:pPr>
      <w:numPr>
        <w:numId w:val="34"/>
      </w:numPr>
    </w:pPr>
  </w:style>
  <w:style w:customStyle="1" w:styleId="18" w:type="numbering">
    <w:name w:val="当前列表18"/>
    <w:uiPriority w:val="99"/>
    <w:rsid w:val="00BC71E8"/>
    <w:pPr>
      <w:numPr>
        <w:numId w:val="35"/>
      </w:numPr>
    </w:pPr>
  </w:style>
  <w:style w:customStyle="1" w:styleId="19" w:type="numbering">
    <w:name w:val="当前列表19"/>
    <w:uiPriority w:val="99"/>
    <w:rsid w:val="00BC71E8"/>
    <w:pPr>
      <w:numPr>
        <w:numId w:val="36"/>
      </w:numPr>
    </w:pPr>
  </w:style>
  <w:style w:customStyle="1" w:styleId="200" w:type="numbering">
    <w:name w:val="当前列表20"/>
    <w:uiPriority w:val="99"/>
    <w:rsid w:val="00BC71E8"/>
    <w:pPr>
      <w:numPr>
        <w:numId w:val="37"/>
      </w:numPr>
    </w:pPr>
  </w:style>
  <w:style w:customStyle="1" w:styleId="21" w:type="numbering">
    <w:name w:val="当前列表21"/>
    <w:uiPriority w:val="99"/>
    <w:rsid w:val="00B50B4B"/>
    <w:pPr>
      <w:numPr>
        <w:numId w:val="38"/>
      </w:numPr>
    </w:pPr>
  </w:style>
  <w:style w:customStyle="1" w:styleId="22" w:type="numbering">
    <w:name w:val="当前列表22"/>
    <w:uiPriority w:val="99"/>
    <w:rsid w:val="00B50B4B"/>
    <w:pPr>
      <w:numPr>
        <w:numId w:val="39"/>
      </w:numPr>
    </w:pPr>
  </w:style>
  <w:style w:customStyle="1" w:styleId="23" w:type="numbering">
    <w:name w:val="当前列表23"/>
    <w:uiPriority w:val="99"/>
    <w:rsid w:val="00B50B4B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docs.pingcap.com/zh/tidb/v7.2/ddl-introduction#ddl-&#30456;&#20851;&#30340;&#21629;&#20196;&#20171;&#32461;" TargetMode="External" /><Relationship Type="http://schemas.openxmlformats.org/officeDocument/2006/relationships/hyperlink" Id="rId44" Target="https://docs.pingcap.com/zh/tidb/v7.2/sql-statement-import-into" TargetMode="External" /><Relationship Type="http://schemas.openxmlformats.org/officeDocument/2006/relationships/hyperlink" Id="rId42" Target="https://docs.pingcap.com/zh/tidb/v7.2/tidb-resource-control#&#31649;&#29702;&#36164;&#28304;&#28040;&#32791;&#36229;&#20986;&#39044;&#26399;&#30340;&#26597;&#35810;-runaway-queries" TargetMode="External" /><Relationship Type="http://schemas.openxmlformats.org/officeDocument/2006/relationships/hyperlink" Id="rId43" Target="https://docs.pingcap.com/zh/tidb/v7.2/tiflash-pipeline-model" TargetMode="External" /><Relationship Type="http://schemas.openxmlformats.org/officeDocument/2006/relationships/hyperlink" Id="rId40" Target="https://docs.pingcap.com/zh/tidb/v7.3/optimizer-hints" TargetMode="External" /><Relationship Type="http://schemas.openxmlformats.org/officeDocument/2006/relationships/hyperlink" Id="rId37" Target="https://docs.pingcap.com/zh/tidb/v7.3/partitioned-raft-kv" TargetMode="External" /><Relationship Type="http://schemas.openxmlformats.org/officeDocument/2006/relationships/hyperlink" Id="rId41" Target="https://docs.pingcap.com/zh/tidb/v7.3/sql-statement-show-analyze-status" TargetMode="External" /><Relationship Type="http://schemas.openxmlformats.org/officeDocument/2006/relationships/hyperlink" Id="rId38" Target="https://docs.pingcap.com/zh/tidb/v7.3/tidb-lightning-physical-import-mode-usage#&#20914;&#31361;&#25968;&#25454;&#26816;&#27979;" TargetMode="External" /><Relationship Type="http://schemas.openxmlformats.org/officeDocument/2006/relationships/hyperlink" Id="rId39" Target="https://docs.pingcap.com/zh/tidb/v7.3/tidb-resource-control#query-watch-&#35821;&#21477;&#35828;&#26126;" TargetMode="External" /><Relationship Type="http://schemas.openxmlformats.org/officeDocument/2006/relationships/hyperlink" Id="rId35" Target="https://docs.pingcap.com/zh/tidb/v7.4/character-set-and-collation#&#25903;&#25345;&#30340;&#23383;&#31526;&#38598;&#21644;&#25490;&#24207;&#35268;&#21017;" TargetMode="External" /><Relationship Type="http://schemas.openxmlformats.org/officeDocument/2006/relationships/hyperlink" Id="rId34" Target="https://docs.pingcap.com/zh/tidb/v7.4/partitioned-table#&#23558;&#20998;&#21306;&#34920;&#36716;&#25442;&#20026;&#38750;&#20998;&#21306;&#34920;" TargetMode="External" /><Relationship Type="http://schemas.openxmlformats.org/officeDocument/2006/relationships/hyperlink" Id="rId36" Target="https://docs.pingcap.com/zh/tidb/v7.4/system-variables#tidb_service_scope-&#20174;-v740-&#29256;&#26412;&#24320;&#22987;&#24341;&#20837;" TargetMode="External" /><Relationship Type="http://schemas.openxmlformats.org/officeDocument/2006/relationships/hyperlink" Id="rId31" Target="https://docs.pingcap.com/zh/tidb/v7.4/tidb-distributed-execution-framework" TargetMode="External" /><Relationship Type="http://schemas.openxmlformats.org/officeDocument/2006/relationships/hyperlink" Id="rId30" Target="https://docs.pingcap.com/zh/tidb/v7.4/tidb-global-sort" TargetMode="External" /><Relationship Type="http://schemas.openxmlformats.org/officeDocument/2006/relationships/hyperlink" Id="rId32" Target="https://docs.pingcap.com/zh/tidb/v7.4/tidb-resource-control#&#31649;&#29702;&#21518;&#21488;&#20219;&#21153;" TargetMode="External" /><Relationship Type="http://schemas.openxmlformats.org/officeDocument/2006/relationships/hyperlink" Id="rId33" Target="https://docs.pingcap.com/zh/tidb/v7.4/tiflash-disaggregated-and-s3" TargetMode="External" /><Relationship Type="http://schemas.openxmlformats.org/officeDocument/2006/relationships/hyperlink" Id="rId29" Target="https://docs.pingcap.com/zh/tidb/v7.5/dashboard-profiling" TargetMode="External" /><Relationship Type="http://schemas.openxmlformats.org/officeDocument/2006/relationships/hyperlink" Id="rId28" Target="https://docs.pingcap.com/zh/tidb/v7.5/ddl-introduction#ddl-&#30456;&#20851;&#30340;&#21629;&#20196;&#20171;&#32461;" TargetMode="External" /><Relationship Type="http://schemas.openxmlformats.org/officeDocument/2006/relationships/hyperlink" Id="rId25" Target="https://docs.pingcap.com/zh/tidb/v7.5/sql-statement-import-into" TargetMode="External" /><Relationship Type="http://schemas.openxmlformats.org/officeDocument/2006/relationships/hyperlink" Id="rId27" Target="https://docs.pingcap.com/zh/tidb/v7.5/system-variables#tidb_service_scope-&#20174;-v740-&#29256;&#26412;&#24320;&#22987;&#24341;&#20837;" TargetMode="External" /><Relationship Type="http://schemas.openxmlformats.org/officeDocument/2006/relationships/hyperlink" Id="rId21" Target="https://docs.pingcap.com/zh/tidb/v7.5/tidb-distributed-execution-framework" TargetMode="External" /><Relationship Type="http://schemas.openxmlformats.org/officeDocument/2006/relationships/hyperlink" Id="rId20" Target="https://docs.pingcap.com/zh/tidb/v7.5/tidb-global-sort" TargetMode="External" /><Relationship Type="http://schemas.openxmlformats.org/officeDocument/2006/relationships/hyperlink" Id="rId26" Target="https://docs.pingcap.com/zh/tidb/v7.5/tidb-lightning-overview" TargetMode="External" /><Relationship Type="http://schemas.openxmlformats.org/officeDocument/2006/relationships/hyperlink" Id="rId23" Target="https://docs.pingcap.com/zh/tidb/v7.5/tidb-resource-control" TargetMode="External" /><Relationship Type="http://schemas.openxmlformats.org/officeDocument/2006/relationships/hyperlink" Id="rId22" Target="https://docs.pingcap.com/zh/tidb/v7.5/tidb-resource-control#&#31649;&#29702;&#21518;&#21488;&#20219;&#21153;" TargetMode="External" /><Relationship Type="http://schemas.openxmlformats.org/officeDocument/2006/relationships/hyperlink" Id="rId24" Target="https://docs.pingcap.com/zh/tidb/v7.5/tidb-resource-control#&#31649;&#29702;&#36164;&#28304;&#28040;&#32791;&#36229;&#20986;&#39044;&#26399;&#30340;&#26597;&#35810;-runaway-que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ocs.pingcap.com/zh/tidb/v7.2/ddl-introduction#ddl-&#30456;&#20851;&#30340;&#21629;&#20196;&#20171;&#32461;" TargetMode="External" /><Relationship Type="http://schemas.openxmlformats.org/officeDocument/2006/relationships/hyperlink" Id="rId44" Target="https://docs.pingcap.com/zh/tidb/v7.2/sql-statement-import-into" TargetMode="External" /><Relationship Type="http://schemas.openxmlformats.org/officeDocument/2006/relationships/hyperlink" Id="rId42" Target="https://docs.pingcap.com/zh/tidb/v7.2/tidb-resource-control#&#31649;&#29702;&#36164;&#28304;&#28040;&#32791;&#36229;&#20986;&#39044;&#26399;&#30340;&#26597;&#35810;-runaway-queries" TargetMode="External" /><Relationship Type="http://schemas.openxmlformats.org/officeDocument/2006/relationships/hyperlink" Id="rId43" Target="https://docs.pingcap.com/zh/tidb/v7.2/tiflash-pipeline-model" TargetMode="External" /><Relationship Type="http://schemas.openxmlformats.org/officeDocument/2006/relationships/hyperlink" Id="rId40" Target="https://docs.pingcap.com/zh/tidb/v7.3/optimizer-hints" TargetMode="External" /><Relationship Type="http://schemas.openxmlformats.org/officeDocument/2006/relationships/hyperlink" Id="rId37" Target="https://docs.pingcap.com/zh/tidb/v7.3/partitioned-raft-kv" TargetMode="External" /><Relationship Type="http://schemas.openxmlformats.org/officeDocument/2006/relationships/hyperlink" Id="rId41" Target="https://docs.pingcap.com/zh/tidb/v7.3/sql-statement-show-analyze-status" TargetMode="External" /><Relationship Type="http://schemas.openxmlformats.org/officeDocument/2006/relationships/hyperlink" Id="rId38" Target="https://docs.pingcap.com/zh/tidb/v7.3/tidb-lightning-physical-import-mode-usage#&#20914;&#31361;&#25968;&#25454;&#26816;&#27979;" TargetMode="External" /><Relationship Type="http://schemas.openxmlformats.org/officeDocument/2006/relationships/hyperlink" Id="rId39" Target="https://docs.pingcap.com/zh/tidb/v7.3/tidb-resource-control#query-watch-&#35821;&#21477;&#35828;&#26126;" TargetMode="External" /><Relationship Type="http://schemas.openxmlformats.org/officeDocument/2006/relationships/hyperlink" Id="rId35" Target="https://docs.pingcap.com/zh/tidb/v7.4/character-set-and-collation#&#25903;&#25345;&#30340;&#23383;&#31526;&#38598;&#21644;&#25490;&#24207;&#35268;&#21017;" TargetMode="External" /><Relationship Type="http://schemas.openxmlformats.org/officeDocument/2006/relationships/hyperlink" Id="rId34" Target="https://docs.pingcap.com/zh/tidb/v7.4/partitioned-table#&#23558;&#20998;&#21306;&#34920;&#36716;&#25442;&#20026;&#38750;&#20998;&#21306;&#34920;" TargetMode="External" /><Relationship Type="http://schemas.openxmlformats.org/officeDocument/2006/relationships/hyperlink" Id="rId36" Target="https://docs.pingcap.com/zh/tidb/v7.4/system-variables#tidb_service_scope-&#20174;-v740-&#29256;&#26412;&#24320;&#22987;&#24341;&#20837;" TargetMode="External" /><Relationship Type="http://schemas.openxmlformats.org/officeDocument/2006/relationships/hyperlink" Id="rId31" Target="https://docs.pingcap.com/zh/tidb/v7.4/tidb-distributed-execution-framework" TargetMode="External" /><Relationship Type="http://schemas.openxmlformats.org/officeDocument/2006/relationships/hyperlink" Id="rId30" Target="https://docs.pingcap.com/zh/tidb/v7.4/tidb-global-sort" TargetMode="External" /><Relationship Type="http://schemas.openxmlformats.org/officeDocument/2006/relationships/hyperlink" Id="rId32" Target="https://docs.pingcap.com/zh/tidb/v7.4/tidb-resource-control#&#31649;&#29702;&#21518;&#21488;&#20219;&#21153;" TargetMode="External" /><Relationship Type="http://schemas.openxmlformats.org/officeDocument/2006/relationships/hyperlink" Id="rId33" Target="https://docs.pingcap.com/zh/tidb/v7.4/tiflash-disaggregated-and-s3" TargetMode="External" /><Relationship Type="http://schemas.openxmlformats.org/officeDocument/2006/relationships/hyperlink" Id="rId29" Target="https://docs.pingcap.com/zh/tidb/v7.5/dashboard-profiling" TargetMode="External" /><Relationship Type="http://schemas.openxmlformats.org/officeDocument/2006/relationships/hyperlink" Id="rId28" Target="https://docs.pingcap.com/zh/tidb/v7.5/ddl-introduction#ddl-&#30456;&#20851;&#30340;&#21629;&#20196;&#20171;&#32461;" TargetMode="External" /><Relationship Type="http://schemas.openxmlformats.org/officeDocument/2006/relationships/hyperlink" Id="rId25" Target="https://docs.pingcap.com/zh/tidb/v7.5/sql-statement-import-into" TargetMode="External" /><Relationship Type="http://schemas.openxmlformats.org/officeDocument/2006/relationships/hyperlink" Id="rId27" Target="https://docs.pingcap.com/zh/tidb/v7.5/system-variables#tidb_service_scope-&#20174;-v740-&#29256;&#26412;&#24320;&#22987;&#24341;&#20837;" TargetMode="External" /><Relationship Type="http://schemas.openxmlformats.org/officeDocument/2006/relationships/hyperlink" Id="rId21" Target="https://docs.pingcap.com/zh/tidb/v7.5/tidb-distributed-execution-framework" TargetMode="External" /><Relationship Type="http://schemas.openxmlformats.org/officeDocument/2006/relationships/hyperlink" Id="rId20" Target="https://docs.pingcap.com/zh/tidb/v7.5/tidb-global-sort" TargetMode="External" /><Relationship Type="http://schemas.openxmlformats.org/officeDocument/2006/relationships/hyperlink" Id="rId26" Target="https://docs.pingcap.com/zh/tidb/v7.5/tidb-lightning-overview" TargetMode="External" /><Relationship Type="http://schemas.openxmlformats.org/officeDocument/2006/relationships/hyperlink" Id="rId23" Target="https://docs.pingcap.com/zh/tidb/v7.5/tidb-resource-control" TargetMode="External" /><Relationship Type="http://schemas.openxmlformats.org/officeDocument/2006/relationships/hyperlink" Id="rId22" Target="https://docs.pingcap.com/zh/tidb/v7.5/tidb-resource-control#&#31649;&#29702;&#21518;&#21488;&#20219;&#21153;" TargetMode="External" /><Relationship Type="http://schemas.openxmlformats.org/officeDocument/2006/relationships/hyperlink" Id="rId24" Target="https://docs.pingcap.com/zh/tidb/v7.5/tidb-resource-control#&#31649;&#29702;&#36164;&#28304;&#28040;&#32791;&#36229;&#20986;&#39044;&#26399;&#30340;&#26597;&#35810;-runaway-que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2023-11-30T04:18:03Z</dcterms:created>
  <dcterms:modified xsi:type="dcterms:W3CDTF">2023-11-30T04:18:03Z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