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b/>
          <w:color w:val="1F4E79"/>
          <w:sz w:val="48"/>
        </w:rPr>
        <w:t xml:space="preserve">Final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assignment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practical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guide focuses on practical execution and performance-evaluation topics that directly affect the semester project deliverables.</w:t>
      </w:r>
    </w:p>
    <w:p>
      <w:pPr>
        <w:pStyle w:val="BodyText"/>
      </w:pPr>
      <w:r>
        <w:t xml:space="preserve">It assumes you already completed: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04_remote-spark-kubernetes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05_cluster-queries-rdd-df-sql</w:t>
        </w:r>
      </w:hyperlink>
    </w:p>
    <w:p>
      <w:pPr>
        <w:pStyle w:val="Heading1"/>
      </w:pPr>
      <w:bookmarkStart w:id="22" w:name="what-this-guide-covers"/>
      <w:r>
        <w:t xml:space="preserve">What this guide covers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How to read GeoJSON datasets into a Spark DataFrame.</w:t>
      </w:r>
    </w:p>
    <w:p>
      <w:pPr>
        <w:numPr>
          <w:ilvl w:val="0"/>
          <w:numId w:val="1002"/>
        </w:numPr>
        <w:pStyle w:val="Compact"/>
      </w:pPr>
      <w:r>
        <w:t xml:space="preserve">How to change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settings for executors, cores, and memory.</w:t>
      </w:r>
    </w:p>
    <w:p>
      <w:pPr>
        <w:numPr>
          <w:ilvl w:val="0"/>
          <w:numId w:val="1002"/>
        </w:numPr>
        <w:pStyle w:val="Compact"/>
      </w:pPr>
      <w:r>
        <w:t xml:space="preserve">How to measure execution time correctly for fair comparisons.</w:t>
      </w:r>
    </w:p>
    <w:p>
      <w:pPr>
        <w:numPr>
          <w:ilvl w:val="0"/>
          <w:numId w:val="1002"/>
        </w:numPr>
        <w:pStyle w:val="Compact"/>
      </w:pPr>
      <w:r>
        <w:t xml:space="preserve">How to inspect and influence join strategies (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SHUFFLE_REPLICATE_NL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How to keep experiments reproducible for reporting.</w:t>
      </w:r>
    </w:p>
    <w:p>
      <w:pPr>
        <w:pStyle w:val="Heading1"/>
      </w:pPr>
      <w:bookmarkStart w:id="23" w:name="keep-runs-reproducible"/>
      <w:r>
        <w:t xml:space="preserve">Keep runs reproducible</w:t>
      </w:r>
      <w:bookmarkEnd w:id="23"/>
    </w:p>
    <w:p>
      <w:pPr>
        <w:pStyle w:val="FirstParagraph"/>
      </w:pPr>
      <w:r>
        <w:t xml:space="preserve">Before each benchmarking session:</w:t>
      </w:r>
    </w:p>
    <w:p>
      <w:pPr>
        <w:numPr>
          <w:ilvl w:val="0"/>
          <w:numId w:val="1003"/>
        </w:numPr>
        <w:pStyle w:val="Compact"/>
      </w:pPr>
      <w:r>
        <w:t xml:space="preserve">use the same dataset and the same code revision</w:t>
      </w:r>
    </w:p>
    <w:p>
      <w:pPr>
        <w:numPr>
          <w:ilvl w:val="0"/>
          <w:numId w:val="1003"/>
        </w:numPr>
        <w:pStyle w:val="Compact"/>
      </w:pPr>
      <w:r>
        <w:t xml:space="preserve">change one factor at a time</w:t>
      </w:r>
    </w:p>
    <w:p>
      <w:pPr>
        <w:numPr>
          <w:ilvl w:val="0"/>
          <w:numId w:val="1003"/>
        </w:numPr>
        <w:pStyle w:val="Compact"/>
      </w:pPr>
      <w:r>
        <w:t xml:space="preserve">keep cluster load as stable as possible</w:t>
      </w:r>
    </w:p>
    <w:p>
      <w:pPr>
        <w:numPr>
          <w:ilvl w:val="0"/>
          <w:numId w:val="1003"/>
        </w:numPr>
        <w:pStyle w:val="Compact"/>
      </w:pPr>
      <w:r>
        <w:t xml:space="preserve">run each case multiple times (at least 3)</w:t>
      </w:r>
    </w:p>
    <w:p>
      <w:pPr>
        <w:numPr>
          <w:ilvl w:val="0"/>
          <w:numId w:val="1003"/>
        </w:numPr>
        <w:pStyle w:val="Compact"/>
      </w:pPr>
      <w:r>
        <w:t xml:space="preserve">report median runtime, not a single run</w:t>
      </w:r>
    </w:p>
    <w:p>
      <w:pPr>
        <w:pStyle w:val="FirstParagraph"/>
      </w:pPr>
      <w:r>
        <w:t xml:space="preserve">Use a clean shell: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</w:p>
    <w:p>
      <w:pPr>
        <w:pStyle w:val="Heading1"/>
      </w:pPr>
      <w:bookmarkStart w:id="24" w:name="Xa3de71890349b788ec73a89f34fcf692ddbc0dc"/>
      <w:r>
        <w:t xml:space="preserve">1. Reading the GeoJSON dataset into a DataFrame</w:t>
      </w:r>
      <w:bookmarkEnd w:id="24"/>
    </w:p>
    <w:p>
      <w:pPr>
        <w:pStyle w:val="FirstParagraph"/>
      </w:pPr>
      <w:r>
        <w:t xml:space="preserve">The GeoJSON files provided in the datasets use the standard</w:t>
      </w:r>
      <w:r>
        <w:t xml:space="preserve"> </w:t>
      </w:r>
      <w:r>
        <w:rPr>
          <w:rStyle w:val="VerbatimChar"/>
        </w:rPr>
        <w:t xml:space="preserve">FeatureCollection</w:t>
      </w:r>
      <w:r>
        <w:t xml:space="preserve"> </w:t>
      </w:r>
      <w:r>
        <w:t xml:space="preserve">structure, so the actual records are inside the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array. To work with them as a regular Spark DataFrame, read the file with</w:t>
      </w:r>
      <w:r>
        <w:t xml:space="preserve"> </w:t>
      </w:r>
      <w:r>
        <w:rPr>
          <w:rStyle w:val="VerbatimChar"/>
        </w:rPr>
        <w:t xml:space="preserve">multiLine=true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array, and then flatten the fields under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blocks_df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.json(geojson_path)</w:t>
      </w:r>
      <w:r>
        <w:br/>
      </w:r>
      <w:r>
        <w:rPr>
          <w:rStyle w:val="NormalTok"/>
        </w:rPr>
        <w:t xml:space="preserve">).selectExpr(</w:t>
      </w:r>
      <w:r>
        <w:rPr>
          <w:rStyle w:val="StringTok"/>
        </w:rPr>
        <w:t xml:space="preserve">"explode(features) as features"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.select(</w:t>
      </w:r>
      <w:r>
        <w:rPr>
          <w:rStyle w:val="StringTok"/>
        </w:rPr>
        <w:t xml:space="preserve">"features.*"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flattened_blocks_df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blocks_df.select(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F.col(</w:t>
      </w:r>
      <w:r>
        <w:rPr>
          <w:rStyle w:val="SpecialStringTok"/>
        </w:rPr>
        <w:t xml:space="preserve">f"properties.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).alias(col_name)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blocks_df.schema[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].dataType.fieldNames()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).drop(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).drop(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 this pattern, the values under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become top-level columns, while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remains available for the GeoJSON spatial data.</w:t>
      </w:r>
    </w:p>
    <w:p>
      <w:pPr>
        <w:pStyle w:val="Heading1"/>
      </w:pPr>
      <w:bookmarkStart w:id="25" w:name="Xc18df6895eefde8213c0a8aef0babf8969bb014"/>
      <w:r>
        <w:t xml:space="preserve">2. Changing executor settings</w:t>
      </w:r>
      <w:bookmarkEnd w:id="25"/>
    </w:p>
    <w:p>
      <w:pPr>
        <w:pStyle w:val="FirstParagraph"/>
      </w:pPr>
      <w:r>
        <w:t xml:space="preserve">The assignment requires specific resource configurations.</w:t>
      </w:r>
      <w:r>
        <w:br/>
      </w:r>
      <w:r>
        <w:t xml:space="preserve">The safest practice is to apply</w:t>
      </w:r>
      <w:r>
        <w:t xml:space="preserve"> </w:t>
      </w:r>
      <w:r>
        <w:rPr>
          <w:rStyle w:val="VerbatimChar"/>
        </w:rPr>
        <w:t xml:space="preserve">--conf</w:t>
      </w:r>
      <w:r>
        <w:t xml:space="preserve"> </w:t>
      </w:r>
      <w:r>
        <w:t xml:space="preserve">per run (instead of permanently editing default files).</w:t>
      </w:r>
    </w:p>
    <w:p>
      <w:pPr>
        <w:pStyle w:val="Heading2"/>
      </w:pPr>
      <w:bookmarkStart w:id="26" w:name="per-run-override-recommended"/>
      <w:r>
        <w:t xml:space="preserve">Per-run override (recommended)</w:t>
      </w:r>
      <w:bookmarkEnd w:id="26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spark.executor.instances=4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spark.executor.cores=1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spark.executor.memory=2g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Heading1"/>
      </w:pPr>
      <w:bookmarkStart w:id="27" w:name="X8d5e8dc6d6bef08f5f1fb5654f6113898787bda"/>
      <w:r>
        <w:t xml:space="preserve">3. Timing execution correctly</w:t>
      </w:r>
      <w:bookmarkEnd w:id="27"/>
    </w:p>
    <w:p>
      <w:pPr>
        <w:pStyle w:val="FirstParagraph"/>
      </w:pPr>
      <w:r>
        <w:t xml:space="preserve">Do not treat shell timing around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as reliable Spark runtime.</w:t>
      </w:r>
      <w:r>
        <w:br/>
      </w:r>
      <w:r>
        <w:t xml:space="preserve">In cluster mode,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can finish submission while the application keeps running in Kubernetes.</w:t>
      </w:r>
    </w:p>
    <w:p>
      <w:pPr>
        <w:pStyle w:val="Heading2"/>
      </w:pPr>
      <w:bookmarkStart w:id="28" w:name="Xa97cb31768da43ad284eafc728d841e7e619b7c"/>
      <w:r>
        <w:t xml:space="preserve">Recommended method A (primary): measure inside Python code</w:t>
      </w:r>
      <w:bookmarkEnd w:id="28"/>
    </w:p>
    <w:p>
      <w:pPr>
        <w:pStyle w:val="FirstParagraph"/>
      </w:pPr>
      <w:r>
        <w:t xml:space="preserve">For assignment comparisons, prefer</w:t>
      </w:r>
      <w:r>
        <w:t xml:space="preserve"> </w:t>
      </w:r>
      <w:r>
        <w:rPr>
          <w:rStyle w:val="VerbatimChar"/>
        </w:rPr>
        <w:t xml:space="preserve">perf_counter()</w:t>
      </w:r>
      <w:r>
        <w:t xml:space="preserve"> </w:t>
      </w:r>
      <w:r>
        <w:t xml:space="preserve">around the final Spark action.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perf_counter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</w:t>
      </w:r>
      <w:r>
        <w:br/>
      </w:r>
      <w:r>
        <w:rPr>
          <w:rStyle w:val="NormalTok"/>
        </w:rPr>
        <w:t xml:space="preserve">result_df.write.mode(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  </w:t>
      </w:r>
      <w:r>
        <w:rPr>
          <w:rStyle w:val="CommentTok"/>
        </w:rPr>
        <w:t xml:space="preserve"># or another final action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f"QUERY_ELAPSED_SECONDS=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you use this method, keep exactly the same timing boundary across all implementations (RDD / DF / SQL).</w:t>
      </w:r>
    </w:p>
    <w:p>
      <w:pPr>
        <w:pStyle w:val="Heading2"/>
      </w:pPr>
      <w:bookmarkStart w:id="29" w:name="X83ea0075892368420da9361dfe4e63f7671b675"/>
      <w:r>
        <w:t xml:space="preserve">Recommended method B (validation): measure application duration from Spark</w:t>
      </w:r>
      <w:bookmarkEnd w:id="29"/>
    </w:p>
    <w:p>
      <w:pPr>
        <w:pStyle w:val="FirstParagraph"/>
      </w:pPr>
      <w:r>
        <w:t xml:space="preserve">Use Spark runtime evidence (Spark UI / History Server), not terminal wall-clock.</w:t>
      </w:r>
    </w:p>
    <w:p>
      <w:pPr>
        <w:numPr>
          <w:ilvl w:val="0"/>
          <w:numId w:val="1004"/>
        </w:numPr>
        <w:pStyle w:val="Compact"/>
      </w:pPr>
      <w:r>
        <w:t xml:space="preserve">Submit with a unique app name.</w:t>
      </w:r>
    </w:p>
    <w:p>
      <w:pPr>
        <w:numPr>
          <w:ilvl w:val="0"/>
          <w:numId w:val="1004"/>
        </w:numPr>
        <w:pStyle w:val="Compact"/>
      </w:pPr>
      <w:r>
        <w:t xml:space="preserve">Wait for completion in the cluster.</w:t>
      </w:r>
    </w:p>
    <w:p>
      <w:pPr>
        <w:numPr>
          <w:ilvl w:val="0"/>
          <w:numId w:val="1004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Application 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from the History Server, when available.</w:t>
      </w:r>
    </w:p>
    <w:p>
      <w:pPr>
        <w:pStyle w:val="FirstParagraph"/>
      </w:pPr>
      <w:r>
        <w:t xml:space="preserve">Example submit: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spark.app.name=Q2_DF_run1_4x1c_2g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spark.executor.instances=4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spark.executor.cores=1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spark.executor.memory=2g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/code/Q2_df.py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FirstParagraph"/>
      </w:pPr>
      <w:r>
        <w:t xml:space="preserve">Then use the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value from History Server in your comparison table, if the service is available.</w:t>
      </w:r>
    </w:p>
    <w:p>
      <w:pPr>
        <w:pStyle w:val="Heading1"/>
      </w:pPr>
      <w:bookmarkStart w:id="30" w:name="Xb4e9dcefe5961a8549cb4941a8b0557a9241317"/>
      <w:r>
        <w:t xml:space="preserve">4. Join strategies: inspect and experiment</w:t>
      </w:r>
      <w:bookmarkEnd w:id="30"/>
    </w:p>
    <w:p>
      <w:pPr>
        <w:pStyle w:val="Heading2"/>
      </w:pPr>
      <w:bookmarkStart w:id="31" w:name="inspect-what-catalyst-chose"/>
      <w:r>
        <w:t xml:space="preserve">Inspect what Catalyst chose</w:t>
      </w:r>
      <w:bookmarkEnd w:id="31"/>
    </w:p>
    <w:p>
      <w:pPr>
        <w:pStyle w:val="FirstParagraph"/>
      </w:pPr>
      <w:r>
        <w:t xml:space="preserve">For DataFrame:</w:t>
      </w:r>
    </w:p>
    <w:p>
      <w:pPr>
        <w:pStyle w:val="SourceCode"/>
      </w:pPr>
      <w:r>
        <w:rPr>
          <w:rStyle w:val="NormalTok"/>
        </w:rPr>
        <w:t xml:space="preserve">result_df.explain(</w:t>
      </w:r>
      <w:r>
        <w:rPr>
          <w:rStyle w:val="StringTok"/>
        </w:rPr>
        <w:t xml:space="preserve">"formatted"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SQL: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"&lt;your query&gt;"</w:t>
      </w:r>
      <w:r>
        <w:rPr>
          <w:rStyle w:val="NormalTok"/>
        </w:rPr>
        <w:t xml:space="preserve">).explain(</w:t>
      </w:r>
      <w:r>
        <w:rPr>
          <w:rStyle w:val="StringTok"/>
        </w:rPr>
        <w:t xml:space="preserve">"formatted"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the physical plan, look for nodes such as: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BroadcastHashJoin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SortMergeJoin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ShuffledHashJoin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BroadcastNestedLoopJoin</w:t>
      </w:r>
      <w:r>
        <w:t xml:space="preserve"> </w:t>
      </w:r>
      <w:r>
        <w:t xml:space="preserve">(often in non-equi or cross joins)</w:t>
      </w:r>
    </w:p>
    <w:p>
      <w:pPr>
        <w:pStyle w:val="Heading2"/>
      </w:pPr>
      <w:bookmarkStart w:id="32" w:name="force-strategy-with-hints"/>
      <w:r>
        <w:t xml:space="preserve">Force strategy with hints</w:t>
      </w:r>
      <w:bookmarkEnd w:id="32"/>
    </w:p>
    <w:p>
      <w:pPr>
        <w:pStyle w:val="FirstParagraph"/>
      </w:pPr>
      <w:r>
        <w:t xml:space="preserve">DataFrame API: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broadcast</w:t>
      </w:r>
      <w:r>
        <w:br/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left.join(broadcast(right),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or: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"shuffle_hash"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"shuffle_replicate_nl"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Spark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BROADCAST(dim)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MERGE(a, b)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SHUFFLE_HASH(a)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SHUFFLE_REPLICATE_NL(dim)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Heading1"/>
      </w:pPr>
      <w:bookmarkStart w:id="33" w:name="X8bc4b6a9166830aefd91b410170863cce77454c"/>
      <w:r>
        <w:t xml:space="preserve">5. Final checklist before submission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Confirm all API variants requested by the assignment are implemented.</w:t>
      </w:r>
    </w:p>
    <w:p>
      <w:pPr>
        <w:numPr>
          <w:ilvl w:val="0"/>
          <w:numId w:val="1006"/>
        </w:numPr>
        <w:pStyle w:val="Compact"/>
      </w:pPr>
      <w:r>
        <w:t xml:space="preserve">Confirm there is execution evidence for each required resource configuration.</w:t>
      </w:r>
    </w:p>
    <w:p>
      <w:pPr>
        <w:numPr>
          <w:ilvl w:val="0"/>
          <w:numId w:val="1006"/>
        </w:numPr>
        <w:pStyle w:val="Compact"/>
      </w:pPr>
      <w:r>
        <w:t xml:space="preserve">Include runtime comparison tables and concise technical commentary.</w:t>
      </w:r>
    </w:p>
    <w:p>
      <w:pPr>
        <w:numPr>
          <w:ilvl w:val="0"/>
          <w:numId w:val="1006"/>
        </w:numPr>
        <w:pStyle w:val="Compact"/>
      </w:pPr>
      <w:r>
        <w:t xml:space="preserve">Keep a stable repository commit for the oral examination.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0" Type="http://schemas.openxmlformats.org/officeDocument/2006/relationships/hyperlink" Target="../04_remote-spark-kubernetes/README.en.md" TargetMode="External"/><Relationship Id="rId21" Type="http://schemas.openxmlformats.org/officeDocument/2006/relationships/hyperlink" Target="../05_cluster-queries-rdd-df-sql/README.en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04_remote-spark-kubernetes/README.en.md" TargetMode="External"/><Relationship Id="rId21" Type="http://schemas.openxmlformats.org/officeDocument/2006/relationships/hyperlink" Target="../05_cluster-queries-rdd-df-sql/README.e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assignment practical guide</dc:title>
  <dc:creator/>
  <cp:keywords/>
  <dcterms:created xsi:type="dcterms:W3CDTF">2026-05-12T10:25:14Z</dcterms:created>
  <dcterms:modified xsi:type="dcterms:W3CDTF">2026-05-12T10:25:14Z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