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We would like to thank the reviewers for their valuable comments and suggestions. We respond inline to </w:t>
      </w:r>
      <w:r w:rsidR="00D04F5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the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comments. Our responses are prefixed with an asterisk (*). All "comments for authors" that </w:t>
      </w:r>
      <w:r w:rsidR="00D04F5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are more minor and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do not have an answer have been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addressed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in the new version</w:t>
      </w:r>
      <w:r w:rsidR="00D04F5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we submitted </w:t>
      </w:r>
      <w:r w:rsidR="00D04F5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to the fullest extent possible</w:t>
      </w:r>
      <w:r w:rsidR="00D04F5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(subject to space limitations). 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Review #11A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=====================================================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Overall merit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3. Weak accept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Reviewer expertise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------------------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3. Knowledgeable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Weaknesses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To me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the main problem of this paper is its presentation. Given the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volume of the work this is admittedly very challenging, but the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current version does not contain any formal definition in the body of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the paper (not even parts of the ideal network payment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func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tionality). It contains several lemmas and theorems but they all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rely heavily on the appendices.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* We have tried to incorporate many parts of the formalism in the main body, while striving to avoid a dry text without any intuition or insights. We now moved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more definitions from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the Appendix to the main body, e.g., the syntax and correctness definitions of the combined signature primitive. Unfortunately</w:t>
      </w:r>
      <w:r w:rsidR="002646E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,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the main definitions (functionality, protocol) are far too lengthy to be part of the main body.</w:t>
      </w:r>
      <w:r w:rsidR="00213770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The full paper will be available on e-print</w:t>
      </w:r>
      <w:r w:rsidR="00293261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. 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The proof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sketch of the main theorem basically only explains the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structure of the proof, and on its own is not very informative. Such a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proof structure is valuable as a preliminary to the proof, but not as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a substitute, I believe. I would have preferred that the 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authors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explain in detail at least some part of the definitions to give the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reader some more insights.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* We expanded the "Security proof overview" section to provide additional insight into how the actual proof works by describing the proof of one of the l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emmas.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More generally, are there some general lessons learned by performing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this security analysis. One such lesson that is mentioned is the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necessity to have a less idealized ledger functionality. It would have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been interesting to illustrate more concret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ely the kind of properties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that could be wrongly shown secure on such an idealized ledger, but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not with your one.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We now mention that part of the motivation of layer-2 solutions is the high latency of the base layer. If such instant finality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ledgers were realistic, the practical utility of layer-2 solutions would be much lower. Our approach highlights the considerable latency improvement that the lightning protocol offers as opposed to the direct use of the ledger.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Even though the paper is 50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pages long the body does not use the full 12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pages (only 10.5). The additional available space should be used to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add a conclusion and future work (currently missing), and give a bit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more formal details.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We </w:t>
      </w:r>
      <w:r w:rsidR="00113EAE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have improved and expanded the narrative of the main body adding suitable information from the appendix as well as responding to the comments of the committee. Short sections on </w:t>
      </w:r>
      <w:r w:rsidR="00113EAE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Future Work and Conclusion</w:t>
      </w:r>
      <w:r w:rsidR="00113EAE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are also added.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Comments for author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>-------------------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 p. 4: You mention the generic composition theorem. However, many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applications do need joint state th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eorems. Is this the case here?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</w:t>
      </w:r>
      <w:r w:rsidR="00567F9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The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GUC (the model we use) is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more general </w:t>
      </w:r>
      <w:r w:rsidR="00567F9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than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JUC</w:t>
      </w:r>
      <w:r w:rsidR="002A2AC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(UC with joint state)</w:t>
      </w:r>
      <w:r w:rsidR="00567F9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; </w:t>
      </w:r>
      <w:r w:rsidR="00DC30D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in particular, </w:t>
      </w:r>
      <w:r w:rsidR="00567F9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the ledger is modelled as a global functionality and the environment has direct access to its state. </w:t>
      </w:r>
      <w:r w:rsidR="00417C17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Thus, other </w:t>
      </w:r>
      <w:r w:rsidR="00BF510B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arbitrary </w:t>
      </w:r>
      <w:r w:rsidR="00A45206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protocol </w:t>
      </w:r>
      <w:r w:rsidR="00417C17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instances </w:t>
      </w:r>
      <w:r w:rsidR="00BF510B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can operate within the environment and freely interact with the ledger (as indeed anticipated in the real world where lightning is deployed over the bitcoin ledger). </w:t>
      </w:r>
    </w:p>
    <w:p w:rsidR="00567F94" w:rsidRDefault="00567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 p. 8: What are ITIs? Do you mean ITMs?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In UC, the term ITM is used for "code" (e.g. the protocol), whereas ITI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refers to a concrete </w:t>
      </w:r>
      <w:r w:rsidR="008A6953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instance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</w:t>
      </w:r>
      <w:r w:rsidR="008A6953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that runs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that code. Therefore</w:t>
      </w:r>
      <w:r w:rsidR="00C67478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,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Alice and Bob are different ITIs, executing the same ITM.</w:t>
      </w:r>
      <w:r w:rsidR="002A2AC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</w:t>
      </w:r>
      <w:r w:rsidR="00F00C45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We </w:t>
      </w:r>
      <w:r w:rsidR="008F0530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refer to </w:t>
      </w:r>
      <w:hyperlink r:id="rId5" w:history="1">
        <w:r w:rsidR="008F0530" w:rsidRPr="00836FA5">
          <w:rPr>
            <w:rStyle w:val="Hyperlink"/>
            <w:rFonts w:ascii="inherit" w:eastAsia="Times New Roman" w:hAnsi="inherit" w:cs="Courier New"/>
            <w:sz w:val="20"/>
            <w:szCs w:val="20"/>
            <w:lang w:eastAsia="en-GB"/>
          </w:rPr>
          <w:t>https://eprint.iacr.org/2000/067</w:t>
        </w:r>
      </w:hyperlink>
      <w:r w:rsidR="008F0530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for more </w:t>
      </w:r>
      <w:r w:rsidR="00047CF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details. 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* * * * * * * * * * * * * * * * * * * * * * * * * * * * * * * * * * * * *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Review #11B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=================================================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====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Overall merit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2. Weak reject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Reviewer expertise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------------------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2. Some familiarity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Weaknesses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Of the strengths just mentioned, only the last [perfect ledger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unrealisability] is explained in a self-contained way in the p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aper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itself.  The functionality, the lightning mechanisms, and the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argument for the latter, are all mainly contained in the appendices.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The summary in the paper is not understandable on its own.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</w:t>
      </w:r>
      <w:r w:rsidR="000A3FC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In the </w:t>
      </w:r>
      <w:r w:rsidR="008D3271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new </w:t>
      </w:r>
      <w:r w:rsidR="000A3FC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version, w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e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strived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for presenting a self-contained main body. The n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ew version has numerous clarifications and new explanations, which will hopefully make the summary understandable. Furthermore, we included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more formal definitions in the main body, e.g., the syntax and correctness definitions of the Combined Signatur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e primitive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. T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he definitions of the functionality and protocol however are far too lengthy to include in the main body.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Assurance is an open question.  The functionality is certainly not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simple, and the protocol is certainly complex.  The proof does 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break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down into a succession of plausible partial steps.  But if some small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details were a little bit wrong, would anyone be sure to notice?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Which means that it's possible something "interesting" is also wrong.</w:t>
      </w:r>
    </w:p>
    <w:p w:rsidR="00EC09AD" w:rsidRDefault="00F452C3" w:rsidP="00EC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</w:t>
      </w:r>
      <w:r w:rsidR="00EC09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This is a great point.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We believe that our approach to the proof, namely following the “execution token” as it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flows from one ITI to the next and analysing each possible execution path separately, to be especially effective in minimising the probability that we missed something “interesting”.</w:t>
      </w:r>
      <w:r w:rsidR="00EC09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Nevertheless, we believe that a full formally verified proof would be a great next step</w:t>
      </w:r>
      <w:r w:rsidR="00D41E50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(and we hope that our work would motivate it)</w:t>
      </w:r>
      <w:r w:rsidR="00EC09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. We now describe this in the future work section where we cite “</w:t>
      </w:r>
      <w:r w:rsidR="00EC09AD" w:rsidRPr="00EC09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Ran Canetti, Alley Stoughton, Mayank Varia:</w:t>
      </w:r>
      <w:r w:rsidR="0099776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</w:t>
      </w:r>
      <w:r w:rsidR="00EC09AD" w:rsidRPr="00EC09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EasyUC: Using EasyCrypt to Mechanize Proofs of Universally Composable Security. CSF 2019: 167-183</w:t>
      </w:r>
      <w:r w:rsidR="00EC09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” </w:t>
      </w:r>
      <w:r w:rsidR="0099776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</w:t>
      </w:r>
      <w:r w:rsidR="00EC09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as the natural candidate to base this </w:t>
      </w:r>
      <w:r w:rsidR="0064565E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future </w:t>
      </w:r>
      <w:r w:rsidR="00EC09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work on</w:t>
      </w:r>
      <w:r w:rsidR="007E0BE0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along with our paper</w:t>
      </w:r>
      <w:r w:rsidR="00EC09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. 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The paper's only reusable result or method appears to be the "no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instant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finality" result.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</w:t>
      </w:r>
      <w:r w:rsidR="00177081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While reusability is probably something that is somewhat subjective, we </w:t>
      </w:r>
      <w:r w:rsidR="008527E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would hope that the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Combined Signatures primitive that is defined in our paper is </w:t>
      </w:r>
      <w:r w:rsidR="008527E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also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reusable</w:t>
      </w:r>
      <w:r w:rsidR="008527E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in the same sense</w:t>
      </w:r>
      <w:r w:rsidR="00D479E9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the reviewer </w:t>
      </w:r>
      <w:r w:rsidR="009524D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uses the term above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.</w:t>
      </w:r>
      <w:r w:rsidR="008527E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It captures an interesting </w:t>
      </w:r>
      <w:r w:rsidR="00D479E9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set of properties </w:t>
      </w:r>
      <w:r w:rsidR="00A3723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in terms of </w:t>
      </w:r>
      <w:r w:rsidR="008C5EB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controlling message integrity and authentication </w:t>
      </w:r>
      <w:r w:rsidR="009B2AB7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between two parties </w:t>
      </w:r>
      <w:r w:rsidR="00A3723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and abstractly expressing it </w:t>
      </w:r>
      <w:r w:rsidR="004A18AF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in the way we did, </w:t>
      </w:r>
      <w:r w:rsidR="00A3723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contributes to both the </w:t>
      </w:r>
      <w:r w:rsidR="00A3723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lastRenderedPageBreak/>
        <w:t xml:space="preserve">primitive’s cryptographic agility as well as its potential use for modularising security in other protocols.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We also now mention that our approach to modelling payment networks is as generic as possible and we delineate the changes necessary to adapt the functionality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to other networks in the first bullet of "Our results"</w:t>
      </w:r>
      <w:r w:rsidR="007635A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so any future work can more readily relate to our results. 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Comments for author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-------------------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Section 5:  In the (POLL) event, so you really want to allow the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functionality to halt in case of a maliciously closed channel?  Or is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the point that the imp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lementation will prevent this from happening?</w:t>
      </w:r>
    </w:p>
    <w:p w:rsidR="00006F23" w:rsidRPr="006D56AD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</w:t>
      </w:r>
      <w:r w:rsidR="006D56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Yes indeed. The implementation will prevent this from happening.</w:t>
      </w:r>
      <w:r w:rsidR="006D56AD">
        <w:t xml:space="preserve">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As explained at the end of Section 5, the functionality doesn't know the low-level mechanism of LN, therefore it can only be certain that things went as planned only by checking the blockchain after channel c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losure.</w:t>
      </w:r>
      <w:r w:rsidR="00B634D6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If a protocol is to implement </w:t>
      </w:r>
      <w:r w:rsidR="00185C0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the</w:t>
      </w:r>
      <w:r w:rsidR="00B634D6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paynet functionality it should </w:t>
      </w:r>
      <w:r w:rsidR="00EA715C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take the necessary steps so</w:t>
      </w:r>
      <w:r w:rsidR="00B634D6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that it doesn’t halt. </w:t>
      </w:r>
    </w:p>
    <w:p w:rsidR="00E25763" w:rsidRDefault="00E25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(RESOLVEPAYS ...):  "expiry values in block heights":  You mean,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expiry values that are expressed as a number of blocks to be added?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* the two expiries are expressed in absolute block height, like the cltv_expiry field of the update_add_htlc messa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ge of BOLT (</w:t>
      </w:r>
      <w:hyperlink r:id="rId6" w:anchor="adding-an-htlc-update_add_htlc" w:history="1">
        <w:r>
          <w:rPr>
            <w:rStyle w:val="InternetLink"/>
            <w:rFonts w:ascii="inherit" w:eastAsia="Times New Roman" w:hAnsi="inherit" w:cs="Courier New"/>
            <w:color w:val="C9211E"/>
            <w:sz w:val="20"/>
            <w:szCs w:val="20"/>
            <w:lang w:eastAsia="en-GB"/>
          </w:rPr>
          <w:t>https://github.com/lightningnetwork/lightning-rfc/blob/master/02-peer-protocol.md#adding-an-htlc-update_add_htlc</w:t>
        </w:r>
      </w:hyperlink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). We rephrased for clarity.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What modeling decisions allowed you to specify lightning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accurately and prove your results rigorously?  We know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that UC is one.  And rejecting "instant finality" is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another.  But there were doubtless many other 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choices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that needed to be made.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</w:t>
      </w:r>
      <w:r w:rsidR="0060427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Yes indeed.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We mention </w:t>
      </w:r>
      <w:r w:rsidR="0060427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now in more detail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that synchronisation between players is handled entirely by the environment (as opposed to using </w:t>
      </w:r>
      <w:r w:rsidR="006C57C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the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global clock) and that we leverage the liveness and persistence properties of the ledger functionality to achiev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e our goals.</w:t>
      </w:r>
      <w:r w:rsidR="00C46DB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 </w:t>
      </w:r>
      <w:r w:rsidR="004A5185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Another modelling decision that we now expand more on in the main body is modularization of intermediate </w:t>
      </w:r>
      <w:r w:rsidR="00AD2BC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cryptographic </w:t>
      </w:r>
      <w:r w:rsidR="004A5185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primitives</w:t>
      </w:r>
      <w:r w:rsidR="00AD2BC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such as combined signatures. 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[…]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This is of course a core issue that motivates work using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mechanized reasoning for program correctness,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programming language implementations, etc.  Could a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mechanized Hoare logic (or relational Hoare logic, or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choose some other suitable f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ormalism) help you make sure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that the secure implementation relation really holds in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detail?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</w:t>
      </w:r>
      <w:r w:rsidR="00C40DB8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This is a great point.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We </w:t>
      </w:r>
      <w:r w:rsidR="004148E1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expanded more on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this in Future Work. </w:t>
      </w:r>
      <w:r w:rsidR="00C40DB8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We believe that combining our results with recent work of </w:t>
      </w:r>
      <w:r w:rsidR="00C40DB8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“</w:t>
      </w:r>
      <w:r w:rsidR="00C40DB8" w:rsidRPr="00EC09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Ran Canetti, Alley Stoughton, Mayank Varia:</w:t>
      </w:r>
      <w:r w:rsidR="00C40DB8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</w:t>
      </w:r>
      <w:r w:rsidR="00C40DB8" w:rsidRPr="00EC09A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EasyUC: Using EasyCrypt to Mechanize Proofs of Universally Composable Security. CSF 2019: 167-183</w:t>
      </w:r>
      <w:r w:rsidR="00C40DB8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” </w:t>
      </w:r>
      <w:r w:rsidR="00C40DB8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would be an interesting direction towards this goal</w:t>
      </w:r>
      <w:r w:rsidR="00CF6DF1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for future work</w:t>
      </w:r>
      <w:r w:rsidR="00C40DB8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. </w:t>
      </w:r>
    </w:p>
    <w:p w:rsidR="00C40DB8" w:rsidRDefault="00C4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Are there local correctness proofs (and local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specifications of correctness) for some of the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components of the lightning protocol?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*</w:t>
      </w:r>
      <w:r w:rsidR="009F7761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</w:t>
      </w:r>
      <w:r w:rsidR="00C96D3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W</w:t>
      </w:r>
      <w:r w:rsidR="00C96D3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e did modularise </w:t>
      </w:r>
      <w:r w:rsidR="00C96D3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lightning </w:t>
      </w:r>
      <w:r w:rsidR="00C96D3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where </w:t>
      </w:r>
      <w:r w:rsidR="00AD464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it was </w:t>
      </w:r>
      <w:r w:rsidR="00C96D3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possible</w:t>
      </w:r>
      <w:r w:rsidR="00AD464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. </w:t>
      </w:r>
      <w:r w:rsidR="00C96D3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In particular, the characterisation of the relevant protocol </w:t>
      </w:r>
      <w:r w:rsidR="00AD464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components in lightning </w:t>
      </w:r>
      <w:r w:rsidR="00C96D3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as equivalent to</w:t>
      </w:r>
      <w:r w:rsidR="00C96D32">
        <w:t xml:space="preserve"> </w:t>
      </w:r>
      <w:r w:rsidR="00C96D3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using </w:t>
      </w:r>
      <w:r w:rsidR="00AD464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identity based signatures, PRFs and our newly defined primitive</w:t>
      </w:r>
      <w:r w:rsidR="00C96D3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</w:t>
      </w:r>
      <w:r w:rsidR="009C278F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of </w:t>
      </w:r>
      <w:r w:rsidR="00C96D3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Combined Signatures</w:t>
      </w:r>
      <w:r w:rsidR="00AD464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is all novel to our work</w:t>
      </w:r>
      <w:r w:rsidR="00C96D3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.</w:t>
      </w:r>
      <w:r w:rsidR="00AD464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We believe that this modularisation not only helps in the analysis but also contributes to the cryptographic agility of the protocol enabling the substitution of such primitives with others</w:t>
      </w:r>
      <w:r w:rsidR="00A66B66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. 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* * * * * * * * * * * * * * * * * * * * * * * * * * * * * * * * * * * * * *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>Review #11C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=====================================================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Overall merit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4. Accept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Reviewer expertise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------------------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3. Knowledgeable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Comments for author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-------------------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[...] why is it better (or ok) to give the protocol access  to 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the two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functionalities as separate ones?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We state in the 3rd paragraph of "Hybrid functionalities used" that our protocol does not directly use </w:t>
      </w:r>
      <w:r w:rsidR="00806D5B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any functionality beyond G_ledger. The existence of other functionalities such as G_clock and their interaction with G_ledger </w:t>
      </w:r>
      <w:r w:rsidR="00621EE3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is in </w:t>
      </w:r>
      <w:r w:rsidR="002E284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accordance </w:t>
      </w:r>
      <w:r w:rsidR="00621EE3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with the GUC framework. 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 why is the *number* of times that the parties query the status of the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chain  importa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nt?   maybe there can be a simpler mechanism whereby a party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can possibly catch a cheater with some probability?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</w:t>
      </w:r>
      <w:r w:rsidR="00DD3D70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 think our choice is the simplest </w:t>
      </w:r>
      <w:r w:rsidR="00E0028C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and most general </w:t>
      </w:r>
      <w:r w:rsidR="00DD3D70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possible. We </w:t>
      </w:r>
      <w:r w:rsidR="00E0028C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“delegated”</w:t>
      </w:r>
      <w:r w:rsidR="00DD3D70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polling to the environment and </w:t>
      </w:r>
      <w:r w:rsidR="00B2688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expressed syntactically the conditions under which </w:t>
      </w:r>
      <w:r w:rsidR="003B757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the paynet functionality will </w:t>
      </w:r>
      <w:r w:rsidR="00F40973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offer </w:t>
      </w:r>
      <w:r w:rsidR="003B757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its guarantees. Using now our machinery, one can deploy </w:t>
      </w:r>
      <w:r w:rsidR="003B484B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the </w:t>
      </w:r>
      <w:r w:rsidR="003B757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paynet </w:t>
      </w:r>
      <w:r w:rsidR="003B484B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functionality </w:t>
      </w:r>
      <w:r w:rsidR="003B757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within an environment that does probabilistic polling according to some distribution and </w:t>
      </w:r>
      <w:r w:rsidR="00C003E6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then </w:t>
      </w:r>
      <w:r w:rsidR="003B757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prove a probabilistic result along the way suggested</w:t>
      </w:r>
      <w:r w:rsidR="00FF5E47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by the reviewer</w:t>
      </w:r>
      <w:r w:rsidR="003B757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. </w:t>
      </w:r>
      <w:r w:rsidR="00173103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H</w:t>
      </w:r>
      <w:r w:rsidR="00173103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owever</w:t>
      </w:r>
      <w:r w:rsidR="00173103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, f</w:t>
      </w:r>
      <w:r w:rsidR="007A78AC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rom our point of view this would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restrict us to specifi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c environments, </w:t>
      </w:r>
      <w:r w:rsidR="007A78AC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complicating the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composability of our result</w:t>
      </w:r>
      <w:r w:rsidR="006C038C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and restricting its </w:t>
      </w:r>
      <w:r w:rsidR="00496F9F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generality. 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-how would "slow down" attacks (ie attacks where the adversary sufficiently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slows down one of the parties so that it cannot check the gossip network or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ledger  in time)  be captured in 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your analysis?  are they allowed? or ruled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out by some ideal functionality?  (and then, how do you justify this ruling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out?)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* We explicitly model such situations already. We explain in the Introduction that it is possible for parties to be negligent if th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ey don't check the ledger often and state exactly when a party is negligent in the 2nd bullet of section 5, items 1,2 and 3.</w:t>
      </w:r>
      <w:r w:rsidR="00A813B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 the need to check the ledger is not symmetric (ie, only one of the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parties needs to).  can one decide which side would be the 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one that needs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to check?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The exact polling requirements are presented in Section 4, 1st and 2nd bullets. Both counterparties have to poll often otherwise they risk losing funds. </w:t>
      </w:r>
      <w:r w:rsidR="00D647C5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For example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, if there exist two past channel states F, G such that Alice i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s better off in F than in the latest state and Bob is better off in G than in the latest state, then both have to poll regularly.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  The paper claims that the previous work assumed that the ledger has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instant finality ("finality" is the time needed for a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transaction to appear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on the ledger). This does not appear to be correct, in particular in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[13,16]  messages are assumed to arrive to the ledger functionality in time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at most some parameter delta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.  Please address how your work differs.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* </w:t>
      </w:r>
      <w:r w:rsidR="00AB58EE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We expanded </w:t>
      </w:r>
      <w:r w:rsidR="007910FE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with </w:t>
      </w:r>
      <w:r w:rsidR="00AB58EE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more detail</w:t>
      </w:r>
      <w:r w:rsidR="007910FE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s</w:t>
      </w:r>
      <w:r w:rsidR="00AB58EE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</w:t>
      </w:r>
      <w:r w:rsidR="00F6222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about the problems of the abstractions used in previous works </w:t>
      </w:r>
      <w:r w:rsidR="001914FC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including [13,16]</w:t>
      </w:r>
      <w:r w:rsidR="00F6222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. In </w:t>
      </w:r>
      <w:r w:rsidR="00E820B5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more </w:t>
      </w:r>
      <w:r w:rsidR="00F6222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detail,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[16] explicitly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states that it uses a synchronous communication model. Also its Ledger updates balances directly upon receiving a relevant command</w:t>
      </w:r>
      <w:r w:rsidR="009235BF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so </w:t>
      </w:r>
      <w:r w:rsidR="00CF730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the issue of instant finality applies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. </w:t>
      </w:r>
      <w:r w:rsidR="003F3E53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Regarding [13], </w:t>
      </w:r>
      <w:r w:rsidR="00906ABC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indeed a delay is allowed but the problem with their abstraction lies elsewhere - </w:t>
      </w:r>
      <w:r w:rsidR="003F3E53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w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e have added </w:t>
      </w:r>
      <w:r w:rsidR="00441F5B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more details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on why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the model of [13] </w:t>
      </w:r>
      <w:r w:rsidR="000875A7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is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non-satisfactory in "Related Work"</w:t>
      </w:r>
      <w:r w:rsidR="00131779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(p.3 right column). </w:t>
      </w:r>
    </w:p>
    <w:p w:rsidR="00006F23" w:rsidRDefault="00006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-  The paper doesnt appe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ar to model the fees,  which are an essential part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>of  the protocol, and where interesting attacks have been recently mounted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(see https://eprint.iacr.org/2018/472.pdf)    How will the introduction of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fees change the security modeling?  How do you justify </w:t>
      </w: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abstracting the fees</w:t>
      </w:r>
    </w:p>
    <w:p w:rsidR="00006F23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out?</w:t>
      </w:r>
    </w:p>
    <w:p w:rsidR="0065520A" w:rsidRPr="0065520A" w:rsidRDefault="00F4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* This is a great point. Our model</w:t>
      </w:r>
      <w:r w:rsidR="003946D6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and analysis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is already quite extensive and we had to limit the scope to a level that the modelling and analysis would still be feasibly done in one paper. Adding fees would only increase the complexity of al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l parts (protocol, functionality, simulator, proof) and would make the balance security guarantees less clear.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It is worth noting that the attack mentioned is already captured by our model, as an adversary that controls two non-neighbouring nodes on a paym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ent path can skip the intermediate nodes. Nevertheless, such an attack is inconsequential in </w:t>
      </w:r>
      <w:r w:rsidR="0018750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the security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analysis given the lack of fees. </w:t>
      </w:r>
      <w:r w:rsidR="0018750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</w:t>
      </w:r>
      <w:r w:rsidR="002515C1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We </w:t>
      </w:r>
      <w:r w:rsidR="0004046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expand on this point further in the end of Section 3 as well as in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Future Work, </w:t>
      </w:r>
      <w:r w:rsidR="0004046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where we explain how it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is possible to extend our </w:t>
      </w:r>
      <w:r w:rsidR="00CE199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paynet functionality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formalism </w:t>
      </w:r>
      <w:r w:rsidR="00CE1992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to adhere to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the path specified by the payer. This </w:t>
      </w:r>
      <w:r w:rsidR="00341407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(slightly stronger)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functionality would express the </w:t>
      </w:r>
      <w:r w:rsidR="00E457B0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enhanced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security guarantees that lightning will offer after the </w:t>
      </w:r>
      <w:r w:rsidR="0051515E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upgrade to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the PTLC mechanism (</w:t>
      </w:r>
      <w:hyperlink r:id="rId7">
        <w:r>
          <w:rPr>
            <w:rStyle w:val="InternetLink"/>
            <w:rFonts w:ascii="inherit" w:eastAsia="Times New Roman" w:hAnsi="inherit" w:cs="Courier New"/>
            <w:color w:val="C9211E"/>
            <w:sz w:val="20"/>
            <w:szCs w:val="20"/>
            <w:lang w:eastAsia="en-GB"/>
          </w:rPr>
          <w:t>https://lists.linuxfoundation.org/pipermail/lightning-dev/2019-December/002375.html</w:t>
        </w:r>
      </w:hyperlink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, “Pointlocked Timelocked Contracts” section)</w:t>
      </w:r>
      <w:r w:rsidR="0065520A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that prevent </w:t>
      </w:r>
      <w:r w:rsidR="00DD38D7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attacks like the wormhole attack. </w:t>
      </w:r>
      <w:r w:rsidR="00C335D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 </w:t>
      </w:r>
      <w:r w:rsidR="00B336B5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Fully incorporating fees and </w:t>
      </w:r>
      <w:r w:rsidR="00D6222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analyse </w:t>
      </w:r>
      <w:r w:rsidR="00353E5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lightning with </w:t>
      </w:r>
      <w:r w:rsidR="006B44C9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the </w:t>
      </w:r>
      <w:r w:rsidR="00D6222D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PTLC </w:t>
      </w:r>
      <w:r w:rsidR="00353E54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mechanism </w:t>
      </w:r>
      <w:r w:rsidR="001727C8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will be an interesting step for </w:t>
      </w:r>
      <w:r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 xml:space="preserve">follow up </w:t>
      </w:r>
      <w:bookmarkStart w:id="0" w:name="_GoBack"/>
      <w:bookmarkEnd w:id="0"/>
      <w:r w:rsidR="001727C8">
        <w:rPr>
          <w:rFonts w:ascii="inherit" w:eastAsia="Times New Roman" w:hAnsi="inherit" w:cs="Courier New"/>
          <w:color w:val="C9211E"/>
          <w:sz w:val="20"/>
          <w:szCs w:val="20"/>
          <w:lang w:eastAsia="en-GB"/>
        </w:rPr>
        <w:t>work.</w:t>
      </w:r>
    </w:p>
    <w:sectPr w:rsidR="0065520A" w:rsidRPr="0065520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 PL UMing HK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inherit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B028D"/>
    <w:multiLevelType w:val="multilevel"/>
    <w:tmpl w:val="FF3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23"/>
    <w:rsid w:val="00005F7D"/>
    <w:rsid w:val="00006F23"/>
    <w:rsid w:val="00030A4D"/>
    <w:rsid w:val="00030B9B"/>
    <w:rsid w:val="0004046A"/>
    <w:rsid w:val="000429F7"/>
    <w:rsid w:val="00047CFD"/>
    <w:rsid w:val="00066FE1"/>
    <w:rsid w:val="000875A7"/>
    <w:rsid w:val="000A3FCD"/>
    <w:rsid w:val="00113EAE"/>
    <w:rsid w:val="001243EA"/>
    <w:rsid w:val="00131779"/>
    <w:rsid w:val="001727C8"/>
    <w:rsid w:val="00173103"/>
    <w:rsid w:val="001759F5"/>
    <w:rsid w:val="00177081"/>
    <w:rsid w:val="00185C04"/>
    <w:rsid w:val="0018750D"/>
    <w:rsid w:val="001914FC"/>
    <w:rsid w:val="001A554E"/>
    <w:rsid w:val="001D29CA"/>
    <w:rsid w:val="001E4574"/>
    <w:rsid w:val="0020188E"/>
    <w:rsid w:val="00213770"/>
    <w:rsid w:val="00215F76"/>
    <w:rsid w:val="002515C1"/>
    <w:rsid w:val="002646E2"/>
    <w:rsid w:val="00293261"/>
    <w:rsid w:val="002A2AC4"/>
    <w:rsid w:val="002D667D"/>
    <w:rsid w:val="002E284A"/>
    <w:rsid w:val="00304421"/>
    <w:rsid w:val="00341407"/>
    <w:rsid w:val="0034141B"/>
    <w:rsid w:val="00353E54"/>
    <w:rsid w:val="00377F83"/>
    <w:rsid w:val="00382A34"/>
    <w:rsid w:val="003946D6"/>
    <w:rsid w:val="003968CE"/>
    <w:rsid w:val="003A0364"/>
    <w:rsid w:val="003B484B"/>
    <w:rsid w:val="003B7572"/>
    <w:rsid w:val="003D2504"/>
    <w:rsid w:val="003F1A44"/>
    <w:rsid w:val="003F367B"/>
    <w:rsid w:val="003F3E53"/>
    <w:rsid w:val="0040487D"/>
    <w:rsid w:val="004148E1"/>
    <w:rsid w:val="00417C17"/>
    <w:rsid w:val="00441F5B"/>
    <w:rsid w:val="00473172"/>
    <w:rsid w:val="00496F9F"/>
    <w:rsid w:val="004A1229"/>
    <w:rsid w:val="004A18AF"/>
    <w:rsid w:val="004A5185"/>
    <w:rsid w:val="004C2F22"/>
    <w:rsid w:val="004C68B2"/>
    <w:rsid w:val="0050576E"/>
    <w:rsid w:val="0051515E"/>
    <w:rsid w:val="00537CC0"/>
    <w:rsid w:val="00556DB5"/>
    <w:rsid w:val="00567F94"/>
    <w:rsid w:val="005E6169"/>
    <w:rsid w:val="0060427D"/>
    <w:rsid w:val="00621EE3"/>
    <w:rsid w:val="00635E9B"/>
    <w:rsid w:val="00636974"/>
    <w:rsid w:val="0064565E"/>
    <w:rsid w:val="0065520A"/>
    <w:rsid w:val="006774BB"/>
    <w:rsid w:val="006B44C9"/>
    <w:rsid w:val="006C038C"/>
    <w:rsid w:val="006C5227"/>
    <w:rsid w:val="006C57CA"/>
    <w:rsid w:val="006C6ACF"/>
    <w:rsid w:val="006D56AD"/>
    <w:rsid w:val="006F475B"/>
    <w:rsid w:val="006F5327"/>
    <w:rsid w:val="00715713"/>
    <w:rsid w:val="00722159"/>
    <w:rsid w:val="00725E86"/>
    <w:rsid w:val="00752F13"/>
    <w:rsid w:val="00762D3D"/>
    <w:rsid w:val="007635A4"/>
    <w:rsid w:val="007819BC"/>
    <w:rsid w:val="007910FE"/>
    <w:rsid w:val="007958ED"/>
    <w:rsid w:val="007A78AC"/>
    <w:rsid w:val="007B142C"/>
    <w:rsid w:val="007C69BF"/>
    <w:rsid w:val="007E0BE0"/>
    <w:rsid w:val="00806D5B"/>
    <w:rsid w:val="008527EA"/>
    <w:rsid w:val="00860389"/>
    <w:rsid w:val="008A6953"/>
    <w:rsid w:val="008B6C1C"/>
    <w:rsid w:val="008C5EBD"/>
    <w:rsid w:val="008D3271"/>
    <w:rsid w:val="008F0530"/>
    <w:rsid w:val="0090390E"/>
    <w:rsid w:val="00906ABC"/>
    <w:rsid w:val="00906E94"/>
    <w:rsid w:val="009235BF"/>
    <w:rsid w:val="00934B50"/>
    <w:rsid w:val="009524D2"/>
    <w:rsid w:val="00961620"/>
    <w:rsid w:val="00995F9F"/>
    <w:rsid w:val="00997764"/>
    <w:rsid w:val="009A571C"/>
    <w:rsid w:val="009B2AB7"/>
    <w:rsid w:val="009C278F"/>
    <w:rsid w:val="009C7A0F"/>
    <w:rsid w:val="009D5507"/>
    <w:rsid w:val="009F2B84"/>
    <w:rsid w:val="009F7761"/>
    <w:rsid w:val="00A04B35"/>
    <w:rsid w:val="00A3723A"/>
    <w:rsid w:val="00A45206"/>
    <w:rsid w:val="00A53880"/>
    <w:rsid w:val="00A66B66"/>
    <w:rsid w:val="00A75E07"/>
    <w:rsid w:val="00A813B4"/>
    <w:rsid w:val="00AA185C"/>
    <w:rsid w:val="00AB58EE"/>
    <w:rsid w:val="00AC3497"/>
    <w:rsid w:val="00AD18F8"/>
    <w:rsid w:val="00AD2BC2"/>
    <w:rsid w:val="00AD464A"/>
    <w:rsid w:val="00B2688A"/>
    <w:rsid w:val="00B32E40"/>
    <w:rsid w:val="00B336B5"/>
    <w:rsid w:val="00B634D6"/>
    <w:rsid w:val="00B87061"/>
    <w:rsid w:val="00BE4DA9"/>
    <w:rsid w:val="00BE69A1"/>
    <w:rsid w:val="00BF510B"/>
    <w:rsid w:val="00C003E6"/>
    <w:rsid w:val="00C32926"/>
    <w:rsid w:val="00C335DD"/>
    <w:rsid w:val="00C40DB8"/>
    <w:rsid w:val="00C46DBD"/>
    <w:rsid w:val="00C67478"/>
    <w:rsid w:val="00C96D32"/>
    <w:rsid w:val="00CC6064"/>
    <w:rsid w:val="00CE1992"/>
    <w:rsid w:val="00CF6DF1"/>
    <w:rsid w:val="00CF7304"/>
    <w:rsid w:val="00D04F5A"/>
    <w:rsid w:val="00D36107"/>
    <w:rsid w:val="00D41E50"/>
    <w:rsid w:val="00D479E9"/>
    <w:rsid w:val="00D6222D"/>
    <w:rsid w:val="00D647C5"/>
    <w:rsid w:val="00DB4570"/>
    <w:rsid w:val="00DB5EE2"/>
    <w:rsid w:val="00DC30DD"/>
    <w:rsid w:val="00DD38D7"/>
    <w:rsid w:val="00DD3D70"/>
    <w:rsid w:val="00E0028C"/>
    <w:rsid w:val="00E02E29"/>
    <w:rsid w:val="00E25763"/>
    <w:rsid w:val="00E37716"/>
    <w:rsid w:val="00E457B0"/>
    <w:rsid w:val="00E77579"/>
    <w:rsid w:val="00E820B5"/>
    <w:rsid w:val="00EA0A1A"/>
    <w:rsid w:val="00EA5243"/>
    <w:rsid w:val="00EA715C"/>
    <w:rsid w:val="00EC09AD"/>
    <w:rsid w:val="00F00C45"/>
    <w:rsid w:val="00F16A68"/>
    <w:rsid w:val="00F339A1"/>
    <w:rsid w:val="00F40973"/>
    <w:rsid w:val="00F4274B"/>
    <w:rsid w:val="00F452C3"/>
    <w:rsid w:val="00F61B91"/>
    <w:rsid w:val="00F6222D"/>
    <w:rsid w:val="00FB0DBF"/>
    <w:rsid w:val="00FC71B3"/>
    <w:rsid w:val="00FD58A7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D6DAF"/>
  <w15:docId w15:val="{75F7D0D7-8F35-714A-AB2D-06197812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16F6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UMing H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16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716F65"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13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sts.linuxfoundation.org/pipermail/lightning-dev/2019-December/00237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ghtningnetwork/lightning-rfc/blob/master/02-peer-protocol.md" TargetMode="External"/><Relationship Id="rId5" Type="http://schemas.openxmlformats.org/officeDocument/2006/relationships/hyperlink" Target="https://eprint.iacr.org/2000/0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KIAYIAS Aggelos</dc:creator>
  <dc:description/>
  <cp:lastModifiedBy>KIAYIAS Aggelos</cp:lastModifiedBy>
  <cp:revision>201</cp:revision>
  <dcterms:created xsi:type="dcterms:W3CDTF">2020-02-06T11:45:00Z</dcterms:created>
  <dcterms:modified xsi:type="dcterms:W3CDTF">2020-02-08T10:31:00Z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