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400" w:after="300" w:line="259" w:lineRule="auto"/>
        <w:jc w:val="center"/>
      </w:pPr>
      <w:r>
        <w:rPr>
          <w:b/>
          <w:color w:val="595959"/>
          <w:sz w:val="22"/>
          <w:szCs w:val="22"/>
        </w:rPr>
        <w:t xml:space="preserve">INDUSTRIAL IOT ENGINEERING — MINI PROJECT REPORT</w:t>
      </w:r>
    </w:p>
    <w:p>
      <w:pPr>
        <w:spacing w:before="0" w:after="120" w:line="259" w:lineRule="auto"/>
        <w:jc w:val="center"/>
      </w:pPr>
      <w:r>
        <w:rPr>
          <w:b/>
          <w:color w:val="B7202E"/>
          <w:sz w:val="44"/>
          <w:szCs w:val="44"/>
        </w:rPr>
        <w:t xml:space="preserve">Digital Twin of a Mini Conveyor Belt</w:t>
      </w:r>
    </w:p>
    <w:p>
      <w:pPr>
        <w:spacing w:before="0" w:after="900" w:line="259" w:lineRule="auto"/>
        <w:jc w:val="center"/>
      </w:pPr>
      <w:r>
        <w:rPr>
          <w:i/>
          <w:sz w:val="24"/>
          <w:szCs w:val="24"/>
        </w:rPr>
        <w:t xml:space="preserve">Virtual commissioning, fault diagnosis, multi-camera inspection and predictive maintenance</w:t>
      </w:r>
    </w:p>
    <w:p>
      <w:pPr>
        <w:spacing w:before="0" w:after="60" w:line="259" w:lineRule="auto"/>
        <w:jc w:val="center"/>
      </w:pPr>
      <w:r>
        <w:rPr>
          <w:b/>
          <w:sz w:val="22"/>
          <w:szCs w:val="22"/>
        </w:rPr>
        <w:t xml:space="preserve">Submitted by</w:t>
      </w:r>
    </w:p>
    <w:p>
      <w:pPr>
        <w:spacing w:before="0" w:after="30" w:line="259" w:lineRule="auto"/>
        <w:jc w:val="center"/>
      </w:pPr>
      <w:r>
        <w:rPr>
          <w:sz w:val="22"/>
          <w:szCs w:val="22"/>
        </w:rPr>
        <w:t xml:space="preserve">Sarthak Wage</w:t>
      </w:r>
      <w:r>
        <w:rPr>
          <w:sz w:val="22"/>
          <w:szCs w:val="22"/>
        </w:rPr>
        <w:t xml:space="preserve">   —   Roll No. 16014323039</w:t>
      </w:r>
    </w:p>
    <w:p>
      <w:pPr>
        <w:spacing w:before="0" w:after="30" w:line="259" w:lineRule="auto"/>
        <w:jc w:val="center"/>
      </w:pPr>
      <w:r>
        <w:rPr>
          <w:sz w:val="22"/>
          <w:szCs w:val="22"/>
        </w:rPr>
        <w:t xml:space="preserve">Sameer Morya</w:t>
      </w:r>
      <w:r>
        <w:rPr>
          <w:sz w:val="22"/>
          <w:szCs w:val="22"/>
        </w:rPr>
        <w:t xml:space="preserve">   —   Roll No. 16014323036</w:t>
      </w:r>
    </w:p>
    <w:p>
      <w:pPr>
        <w:spacing w:before="400" w:after="60" w:line="259" w:lineRule="auto"/>
        <w:jc w:val="center"/>
      </w:pPr>
      <w:r>
        <w:rPr>
          <w:b/>
          <w:sz w:val="22"/>
          <w:szCs w:val="22"/>
        </w:rPr>
        <w:t xml:space="preserve">Under the guidance of</w:t>
      </w:r>
    </w:p>
    <w:p>
      <w:pPr>
        <w:spacing w:before="0" w:after="400" w:line="259" w:lineRule="auto"/>
        <w:jc w:val="center"/>
      </w:pPr>
      <w:r>
        <w:rPr>
          <w:sz w:val="22"/>
          <w:szCs w:val="22"/>
        </w:rPr>
        <w:t xml:space="preserve">Dinesh Chawde   ·   Venkataramanan V</w:t>
      </w:r>
    </w:p>
    <w:p>
      <w:pPr>
        <w:spacing w:before="0" w:after="30" w:line="259" w:lineRule="auto"/>
        <w:jc w:val="center"/>
      </w:pPr>
      <w:r>
        <w:rPr>
          <w:sz w:val="22"/>
          <w:szCs w:val="22"/>
        </w:rPr>
        <w:t xml:space="preserve">Department of Robotics and Artificial Intelligence</w:t>
      </w:r>
    </w:p>
    <w:p>
      <w:pPr>
        <w:spacing w:before="0" w:after="30" w:line="259" w:lineRule="auto"/>
        <w:jc w:val="center"/>
      </w:pPr>
      <w:r>
        <w:rPr>
          <w:sz w:val="22"/>
          <w:szCs w:val="22"/>
        </w:rPr>
        <w:t xml:space="preserve">K J Somaiya School of Engineering, Somaiya Vidyavihar University, Mumbai</w:t>
      </w:r>
    </w:p>
    <w:p>
      <w:pPr>
        <w:spacing w:before="0" w:after="30" w:line="259" w:lineRule="auto"/>
        <w:jc w:val="center"/>
      </w:pPr>
      <w:r>
        <w:rPr>
          <w:sz w:val="22"/>
          <w:szCs w:val="22"/>
        </w:rPr>
        <w:t xml:space="preserve">Academic Year 2026–27</w:t>
      </w:r>
    </w:p>
    <w:p>
      <w:pPr>
        <w:spacing w:before="600" w:after="0" w:line="259" w:lineRule="auto"/>
        <w:jc w:val="center"/>
      </w:pPr>
      <w:r>
        <w:rPr>
          <w:color w:val="595959"/>
          <w:sz w:val="20"/>
          <w:szCs w:val="20"/>
        </w:rPr>
        <w:t xml:space="preserve">Source code: github.com/Organic42/conveyor-digital-twin</w:t>
      </w:r>
    </w:p>
    <w:p>
      <w:pPr>
        <w:pageBreakBefore/>
        <w:keepNext/>
        <w:spacing w:before="60" w:after="80" w:line="259" w:lineRule="auto"/>
        <w:jc w:val="left"/>
      </w:pPr>
      <w:r>
        <w:rPr>
          <w:b/>
          <w:color w:val="B7202E"/>
          <w:sz w:val="28"/>
          <w:szCs w:val="28"/>
        </w:rPr>
        <w:t xml:space="preserve">1. INTRODUCTION</w:t>
      </w:r>
    </w:p>
    <w:p>
      <w:pPr>
        <w:keepNext/>
        <w:spacing w:before="120" w:after="40" w:line="259" w:lineRule="auto"/>
        <w:jc w:val="left"/>
      </w:pPr>
      <w:r>
        <w:rPr>
          <w:b/>
          <w:sz w:val="23"/>
          <w:szCs w:val="23"/>
        </w:rPr>
        <w:t xml:space="preserve">1.1 Background</w:t>
      </w:r>
    </w:p>
    <w:p>
      <w:pPr>
        <w:spacing w:before="0" w:after="70" w:line="259" w:lineRule="auto"/>
        <w:jc w:val="both"/>
      </w:pPr>
      <w:r>
        <w:rPr>
          <w:sz w:val="21"/>
          <w:szCs w:val="21"/>
        </w:rPr>
        <w:t xml:space="preserve">Belt conveyors are the backbone of discrete manufacturing and packaging lines. Their availability is limited by a small set of recurring problems: cartons jamming against guides or each other, belt slip on a worn drive roller, failing photo-eyes, and bearing wear in the drive. Quality is limited by defective products that reach the customer because inspection sees only part of the product. In most plants these problems are discovered after throughput has already dropped.</w:t>
      </w:r>
    </w:p>
    <w:p>
      <w:pPr>
        <w:spacing w:before="0" w:after="70" w:line="259" w:lineRule="auto"/>
        <w:jc w:val="both"/>
      </w:pPr>
      <w:r>
        <w:rPr>
          <w:sz w:val="21"/>
          <w:szCs w:val="21"/>
        </w:rPr>
        <w:t xml:space="preserve">A </w:t>
      </w:r>
      <w:r>
        <w:rPr>
          <w:b/>
          <w:sz w:val="21"/>
          <w:szCs w:val="21"/>
        </w:rPr>
        <w:t xml:space="preserve">digital twin</w:t>
      </w:r>
      <w:r>
        <w:rPr>
          <w:sz w:val="21"/>
          <w:szCs w:val="21"/>
        </w:rPr>
        <w:t xml:space="preserve"> addresses this by keeping a live computational model of the machine alongside the real one. It differs from a dashboard in three ways: data flows in both directions (the twin can command the machine), the twin runs its </w:t>
      </w:r>
      <w:r>
        <w:rPr>
          <w:i/>
          <w:sz w:val="21"/>
          <w:szCs w:val="21"/>
        </w:rPr>
        <w:t xml:space="preserve">own</w:t>
      </w:r>
      <w:r>
        <w:rPr>
          <w:sz w:val="21"/>
          <w:szCs w:val="21"/>
        </w:rPr>
        <w:t xml:space="preserve"> models and compares them with measurements, and it acts on the difference — diagnosing faults, predicting failures and recommending settings. In the classical classification, a digital model has no live data, a digital shadow receives data one way, and a digital twin is connected bidirectionally and model-based.</w:t>
      </w:r>
    </w:p>
    <w:p>
      <w:pPr>
        <w:keepNext/>
        <w:spacing w:before="120" w:after="40" w:line="259" w:lineRule="auto"/>
        <w:jc w:val="left"/>
      </w:pPr>
      <w:r>
        <w:rPr>
          <w:b/>
          <w:sz w:val="23"/>
          <w:szCs w:val="23"/>
        </w:rPr>
        <w:t xml:space="preserve">1.2 Problem statement</w:t>
      </w:r>
    </w:p>
    <w:p>
      <w:pPr>
        <w:spacing w:before="0" w:after="70" w:line="259" w:lineRule="auto"/>
        <w:jc w:val="both"/>
      </w:pPr>
      <w:r>
        <w:rPr>
          <w:sz w:val="21"/>
          <w:szCs w:val="21"/>
        </w:rPr>
        <w:t xml:space="preserve">Design and build a digital twin of a mini inspection-and-reject conveyor that (a) mirrors the machine in real time over an industrial-style interface, (b) detects and diagnoses faults that individual sensors cannot reveal, (c) inspects every carton and rejects defects automatically, (d) predicts maintenance needs before failure, and (e) proves its own accuracy quantitatively. Because commissioning a twin on real hardware is slow and risky, the twin is developed against a physics-based </w:t>
      </w:r>
      <w:r>
        <w:rPr>
          <w:b/>
          <w:sz w:val="21"/>
          <w:szCs w:val="21"/>
        </w:rPr>
        <w:t xml:space="preserve">virtual plant</w:t>
      </w:r>
      <w:r>
        <w:rPr>
          <w:sz w:val="21"/>
          <w:szCs w:val="21"/>
        </w:rPr>
        <w:t xml:space="preserve"> — the industrial practice known as </w:t>
      </w:r>
      <w:r>
        <w:rPr>
          <w:i/>
          <w:sz w:val="21"/>
          <w:szCs w:val="21"/>
        </w:rPr>
        <w:t xml:space="preserve">virtual commissioning</w:t>
      </w:r>
      <w:r>
        <w:rPr>
          <w:sz w:val="21"/>
          <w:szCs w:val="21"/>
        </w:rPr>
        <w:t xml:space="preserve">.</w:t>
      </w:r>
    </w:p>
    <w:p>
      <w:pPr>
        <w:keepNext/>
        <w:spacing w:before="120" w:after="40" w:line="259" w:lineRule="auto"/>
        <w:jc w:val="left"/>
      </w:pPr>
      <w:r>
        <w:rPr>
          <w:b/>
          <w:sz w:val="23"/>
          <w:szCs w:val="23"/>
        </w:rPr>
        <w:t xml:space="preserve">1.3 Objectives</w:t>
      </w:r>
    </w:p>
    <w:p>
      <w:pPr>
        <w:numPr>
          <w:ilvl w:val="0"/>
          <w:numId w:val="90"/>
        </w:numPr>
        <w:spacing w:before="0" w:after="25" w:line="259" w:lineRule="auto"/>
        <w:jc w:val="both"/>
      </w:pPr>
      <w:r>
        <w:rPr>
          <w:sz w:val="21"/>
          <w:szCs w:val="21"/>
        </w:rPr>
        <w:t xml:space="preserve">Real-time 3D mirror (25 Hz) and bidirectional PackML control of the conveyor through an OPC UA-style tag interface.</w:t>
      </w:r>
    </w:p>
    <w:p>
      <w:pPr>
        <w:numPr>
          <w:ilvl w:val="0"/>
          <w:numId w:val="90"/>
        </w:numPr>
        <w:spacing w:before="0" w:after="25" w:line="259" w:lineRule="auto"/>
        <w:jc w:val="both"/>
      </w:pPr>
      <w:r>
        <w:rPr>
          <w:sz w:val="21"/>
          <w:szCs w:val="21"/>
        </w:rPr>
        <w:t xml:space="preserve">Model-based detection and diagnosis of belt slip, jams, photo-eye failures and drive-train wear, with automatic protective action.</w:t>
      </w:r>
    </w:p>
    <w:p>
      <w:pPr>
        <w:numPr>
          <w:ilvl w:val="0"/>
          <w:numId w:val="90"/>
        </w:numPr>
        <w:spacing w:before="0" w:after="25" w:line="259" w:lineRule="auto"/>
        <w:jc w:val="both"/>
      </w:pPr>
      <w:r>
        <w:rPr>
          <w:sz w:val="21"/>
          <w:szCs w:val="21"/>
        </w:rPr>
        <w:t xml:space="preserve">Data-driven (learned) detection of faults for which no rule exists.</w:t>
      </w:r>
    </w:p>
    <w:p>
      <w:pPr>
        <w:numPr>
          <w:ilvl w:val="0"/>
          <w:numId w:val="90"/>
        </w:numPr>
        <w:spacing w:before="0" w:after="25" w:line="259" w:lineRule="auto"/>
        <w:jc w:val="both"/>
      </w:pPr>
      <w:r>
        <w:rPr>
          <w:sz w:val="21"/>
          <w:szCs w:val="21"/>
        </w:rPr>
        <w:t xml:space="preserve">Five-camera automated quality inspection with a fail-safe accept/reject decision.</w:t>
      </w:r>
    </w:p>
    <w:p>
      <w:pPr>
        <w:numPr>
          <w:ilvl w:val="0"/>
          <w:numId w:val="90"/>
        </w:numPr>
        <w:spacing w:before="0" w:after="25" w:line="259" w:lineRule="auto"/>
        <w:jc w:val="both"/>
      </w:pPr>
      <w:r>
        <w:rPr>
          <w:sz w:val="21"/>
          <w:szCs w:val="21"/>
        </w:rPr>
        <w:t xml:space="preserve">Predictive maintenance: vibration-based condition monitoring, remaining useful life (RUL) and maintenance work orders.</w:t>
      </w:r>
    </w:p>
    <w:p>
      <w:pPr>
        <w:numPr>
          <w:ilvl w:val="0"/>
          <w:numId w:val="90"/>
        </w:numPr>
        <w:spacing w:before="0" w:after="25" w:line="259" w:lineRule="auto"/>
        <w:jc w:val="both"/>
      </w:pPr>
      <w:r>
        <w:rPr>
          <w:sz w:val="21"/>
          <w:szCs w:val="21"/>
        </w:rPr>
        <w:t xml:space="preserve">Decision support — OEE, energy, SPC, what-if simulation and speed optimisation — and a validation benchmark of the twin itself.</w:t>
      </w:r>
    </w:p>
    <w:p>
      <w:pPr>
        <w:keepNext/>
        <w:spacing w:before="120" w:after="40" w:line="259" w:lineRule="auto"/>
        <w:jc w:val="left"/>
      </w:pPr>
      <w:r>
        <w:rPr>
          <w:b/>
          <w:sz w:val="23"/>
          <w:szCs w:val="23"/>
        </w:rPr>
        <w:t xml:space="preserve">1.4 Reference machine</w:t>
      </w:r>
    </w:p>
    <w:p>
      <w:pPr>
        <w:spacing w:before="0" w:after="70" w:line="259" w:lineRule="auto"/>
        <w:jc w:val="both"/>
      </w:pPr>
      <w:r>
        <w:rPr>
          <w:sz w:val="21"/>
          <w:szCs w:val="21"/>
        </w:rPr>
        <w:t xml:space="preserve">The twinned machine is a 1.2 m benchtop conveyor (160 mm belt, Ø50 mm rollers) carrying 60 × 50 × 45 mm cartons at up to 0.45 m/s. Instruments follow ISA-5.1 naming (Table 1).</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1500"/>
        <w:gridCol w:w="2000"/>
        <w:gridCol w:w="3240"/>
        <w:gridCol w:w="3700"/>
      </w:tblGrid>
      <w:tr>
        <w:trPr>
          <w:cantSplit/>
          <w:tblHeader/>
        </w:trPr>
        <w:tc>
          <w:tcPr>
            <w:tcW w:w="1500" w:type="dxa"/>
            <w:shd w:val="clear" w:color="auto" w:fill="F2F2F2"/>
            <w:vAlign w:val="center"/>
          </w:tcPr>
          <w:p>
            <w:pPr>
              <w:keepNext/>
              <w:spacing w:before="0" w:after="0" w:line="240" w:lineRule="auto"/>
              <w:jc w:val="left"/>
            </w:pPr>
            <w:r>
              <w:rPr>
                <w:b/>
                <w:sz w:val="18"/>
                <w:szCs w:val="18"/>
              </w:rPr>
              <w:t xml:space="preserve">Tag</w:t>
            </w:r>
          </w:p>
        </w:tc>
        <w:tc>
          <w:tcPr>
            <w:tcW w:w="2000" w:type="dxa"/>
            <w:shd w:val="clear" w:color="auto" w:fill="F2F2F2"/>
            <w:vAlign w:val="center"/>
          </w:tcPr>
          <w:p>
            <w:pPr>
              <w:keepNext/>
              <w:spacing w:before="0" w:after="0" w:line="240" w:lineRule="auto"/>
              <w:jc w:val="center"/>
            </w:pPr>
            <w:r>
              <w:rPr>
                <w:b/>
                <w:sz w:val="18"/>
                <w:szCs w:val="18"/>
              </w:rPr>
              <w:t xml:space="preserve">Device</w:t>
            </w:r>
          </w:p>
        </w:tc>
        <w:tc>
          <w:tcPr>
            <w:tcW w:w="3240" w:type="dxa"/>
            <w:shd w:val="clear" w:color="auto" w:fill="F2F2F2"/>
            <w:vAlign w:val="center"/>
          </w:tcPr>
          <w:p>
            <w:pPr>
              <w:keepNext/>
              <w:spacing w:before="0" w:after="0" w:line="240" w:lineRule="auto"/>
              <w:jc w:val="center"/>
            </w:pPr>
            <w:r>
              <w:rPr>
                <w:b/>
                <w:sz w:val="18"/>
                <w:szCs w:val="18"/>
              </w:rPr>
              <w:t xml:space="preserve">Specification</w:t>
            </w:r>
          </w:p>
        </w:tc>
        <w:tc>
          <w:tcPr>
            <w:tcW w:w="3700" w:type="dxa"/>
            <w:shd w:val="clear" w:color="auto" w:fill="F2F2F2"/>
            <w:vAlign w:val="center"/>
          </w:tcPr>
          <w:p>
            <w:pPr>
              <w:keepNext/>
              <w:spacing w:before="0" w:after="0" w:line="240" w:lineRule="auto"/>
              <w:jc w:val="center"/>
            </w:pPr>
            <w:r>
              <w:rPr>
                <w:b/>
                <w:sz w:val="18"/>
                <w:szCs w:val="18"/>
              </w:rPr>
              <w:t xml:space="preserve">Role in the twin</w:t>
            </w:r>
          </w:p>
        </w:tc>
      </w:tr>
      <w:tr>
        <w:trPr>
          <w:cantSplit/>
        </w:trPr>
        <w:tc>
          <w:tcPr>
            <w:tcW w:w="1500" w:type="dxa"/>
            <w:vAlign w:val="center"/>
          </w:tcPr>
          <w:p>
            <w:pPr>
              <w:keepNext/>
              <w:spacing w:before="0" w:after="0" w:line="240" w:lineRule="auto"/>
              <w:jc w:val="left"/>
            </w:pPr>
            <w:r>
              <w:rPr>
                <w:sz w:val="18"/>
                <w:szCs w:val="18"/>
              </w:rPr>
              <w:t xml:space="preserve">M-001</w:t>
            </w:r>
          </w:p>
        </w:tc>
        <w:tc>
          <w:tcPr>
            <w:tcW w:w="2000" w:type="dxa"/>
            <w:vAlign w:val="center"/>
          </w:tcPr>
          <w:p>
            <w:pPr>
              <w:keepNext/>
              <w:spacing w:before="0" w:after="0" w:line="240" w:lineRule="auto"/>
              <w:jc w:val="center"/>
            </w:pPr>
            <w:r>
              <w:rPr>
                <w:sz w:val="18"/>
                <w:szCs w:val="18"/>
              </w:rPr>
              <w:t xml:space="preserve">DC gearmotor</w:t>
            </w:r>
          </w:p>
        </w:tc>
        <w:tc>
          <w:tcPr>
            <w:tcW w:w="3240" w:type="dxa"/>
            <w:vAlign w:val="center"/>
          </w:tcPr>
          <w:p>
            <w:pPr>
              <w:keepNext/>
              <w:spacing w:before="0" w:after="0" w:line="240" w:lineRule="auto"/>
              <w:jc w:val="center"/>
            </w:pPr>
            <w:r>
              <w:rPr>
                <w:sz w:val="18"/>
                <w:szCs w:val="18"/>
              </w:rPr>
              <w:t xml:space="preserve">24 V, 60 W, i = 20:1</w:t>
            </w:r>
          </w:p>
        </w:tc>
        <w:tc>
          <w:tcPr>
            <w:tcW w:w="3700" w:type="dxa"/>
            <w:vAlign w:val="center"/>
          </w:tcPr>
          <w:p>
            <w:pPr>
              <w:keepNext/>
              <w:spacing w:before="0" w:after="0" w:line="240" w:lineRule="auto"/>
              <w:jc w:val="left"/>
            </w:pPr>
            <w:r>
              <w:rPr>
                <w:sz w:val="18"/>
                <w:szCs w:val="18"/>
              </w:rPr>
              <w:t xml:space="preserve">Drive; current used for health index</w:t>
            </w:r>
          </w:p>
        </w:tc>
      </w:tr>
      <w:tr>
        <w:trPr>
          <w:cantSplit/>
        </w:trPr>
        <w:tc>
          <w:tcPr>
            <w:tcW w:w="1500" w:type="dxa"/>
            <w:vAlign w:val="center"/>
          </w:tcPr>
          <w:p>
            <w:pPr>
              <w:keepNext/>
              <w:spacing w:before="0" w:after="0" w:line="240" w:lineRule="auto"/>
              <w:jc w:val="left"/>
            </w:pPr>
            <w:r>
              <w:rPr>
                <w:sz w:val="18"/>
                <w:szCs w:val="18"/>
              </w:rPr>
              <w:t xml:space="preserve">ENC-001</w:t>
            </w:r>
          </w:p>
        </w:tc>
        <w:tc>
          <w:tcPr>
            <w:tcW w:w="2000" w:type="dxa"/>
            <w:vAlign w:val="center"/>
          </w:tcPr>
          <w:p>
            <w:pPr>
              <w:keepNext/>
              <w:spacing w:before="0" w:after="0" w:line="240" w:lineRule="auto"/>
              <w:jc w:val="center"/>
            </w:pPr>
            <w:r>
              <w:rPr>
                <w:sz w:val="18"/>
                <w:szCs w:val="18"/>
              </w:rPr>
              <w:t xml:space="preserve">Incremental encoder</w:t>
            </w:r>
          </w:p>
        </w:tc>
        <w:tc>
          <w:tcPr>
            <w:tcW w:w="3240" w:type="dxa"/>
            <w:vAlign w:val="center"/>
          </w:tcPr>
          <w:p>
            <w:pPr>
              <w:keepNext/>
              <w:spacing w:before="0" w:after="0" w:line="240" w:lineRule="auto"/>
              <w:jc w:val="center"/>
            </w:pPr>
            <w:r>
              <w:rPr>
                <w:sz w:val="18"/>
                <w:szCs w:val="18"/>
              </w:rPr>
              <w:t xml:space="preserve">600 PPR, ×4 quadrature</w:t>
            </w:r>
          </w:p>
        </w:tc>
        <w:tc>
          <w:tcPr>
            <w:tcW w:w="3700" w:type="dxa"/>
            <w:vAlign w:val="center"/>
          </w:tcPr>
          <w:p>
            <w:pPr>
              <w:keepNext/>
              <w:spacing w:before="0" w:after="0" w:line="240" w:lineRule="auto"/>
              <w:jc w:val="left"/>
            </w:pPr>
            <w:r>
              <w:rPr>
                <w:sz w:val="18"/>
                <w:szCs w:val="18"/>
              </w:rPr>
              <w:t xml:space="preserve">Speed; reference for slip and tracking</w:t>
            </w:r>
          </w:p>
        </w:tc>
      </w:tr>
      <w:tr>
        <w:trPr>
          <w:cantSplit/>
        </w:trPr>
        <w:tc>
          <w:tcPr>
            <w:tcW w:w="1500" w:type="dxa"/>
            <w:vAlign w:val="center"/>
          </w:tcPr>
          <w:p>
            <w:pPr>
              <w:keepNext/>
              <w:spacing w:before="0" w:after="0" w:line="240" w:lineRule="auto"/>
              <w:jc w:val="left"/>
            </w:pPr>
            <w:r>
              <w:rPr>
                <w:sz w:val="18"/>
                <w:szCs w:val="18"/>
              </w:rPr>
              <w:t xml:space="preserve">PE-101…401</w:t>
            </w:r>
          </w:p>
        </w:tc>
        <w:tc>
          <w:tcPr>
            <w:tcW w:w="2000" w:type="dxa"/>
            <w:vAlign w:val="center"/>
          </w:tcPr>
          <w:p>
            <w:pPr>
              <w:keepNext/>
              <w:spacing w:before="0" w:after="0" w:line="240" w:lineRule="auto"/>
              <w:jc w:val="center"/>
            </w:pPr>
            <w:r>
              <w:rPr>
                <w:sz w:val="18"/>
                <w:szCs w:val="18"/>
              </w:rPr>
              <w:t xml:space="preserve">Diffuse photo-eyes</w:t>
            </w:r>
          </w:p>
        </w:tc>
        <w:tc>
          <w:tcPr>
            <w:tcW w:w="3240" w:type="dxa"/>
            <w:vAlign w:val="center"/>
          </w:tcPr>
          <w:p>
            <w:pPr>
              <w:keepNext/>
              <w:spacing w:before="0" w:after="0" w:line="240" w:lineRule="auto"/>
              <w:jc w:val="left"/>
            </w:pPr>
            <w:r>
              <w:rPr>
                <w:sz w:val="18"/>
                <w:szCs w:val="18"/>
              </w:rPr>
              <w:t xml:space="preserve">24 V DC PNP at 0.15/0.55/0.84/1.12 m</w:t>
            </w:r>
          </w:p>
        </w:tc>
        <w:tc>
          <w:tcPr>
            <w:tcW w:w="3700" w:type="dxa"/>
            <w:vAlign w:val="center"/>
          </w:tcPr>
          <w:p>
            <w:pPr>
              <w:keepNext/>
              <w:spacing w:before="0" w:after="0" w:line="240" w:lineRule="auto"/>
              <w:jc w:val="left"/>
            </w:pPr>
            <w:r>
              <w:rPr>
                <w:sz w:val="18"/>
                <w:szCs w:val="18"/>
              </w:rPr>
              <w:t xml:space="preserve">Carton edges; jam/sensor diagnosis</w:t>
            </w:r>
          </w:p>
        </w:tc>
      </w:tr>
      <w:tr>
        <w:trPr>
          <w:cantSplit/>
        </w:trPr>
        <w:tc>
          <w:tcPr>
            <w:tcW w:w="1500" w:type="dxa"/>
            <w:vAlign w:val="center"/>
          </w:tcPr>
          <w:p>
            <w:pPr>
              <w:keepNext/>
              <w:spacing w:before="0" w:after="0" w:line="240" w:lineRule="auto"/>
              <w:jc w:val="left"/>
            </w:pPr>
            <w:r>
              <w:rPr>
                <w:sz w:val="18"/>
                <w:szCs w:val="18"/>
              </w:rPr>
              <w:t xml:space="preserve">CAM-201…205</w:t>
            </w:r>
          </w:p>
        </w:tc>
        <w:tc>
          <w:tcPr>
            <w:tcW w:w="2000" w:type="dxa"/>
            <w:vAlign w:val="center"/>
          </w:tcPr>
          <w:p>
            <w:pPr>
              <w:keepNext/>
              <w:spacing w:before="0" w:after="0" w:line="240" w:lineRule="auto"/>
              <w:jc w:val="center"/>
            </w:pPr>
            <w:r>
              <w:rPr>
                <w:sz w:val="18"/>
                <w:szCs w:val="18"/>
              </w:rPr>
              <w:t xml:space="preserve">Area-scan cameras</w:t>
            </w:r>
          </w:p>
        </w:tc>
        <w:tc>
          <w:tcPr>
            <w:tcW w:w="3240" w:type="dxa"/>
            <w:vAlign w:val="center"/>
          </w:tcPr>
          <w:p>
            <w:pPr>
              <w:keepNext/>
              <w:spacing w:before="0" w:after="0" w:line="240" w:lineRule="auto"/>
              <w:jc w:val="left"/>
            </w:pPr>
            <w:r>
              <w:rPr>
                <w:sz w:val="18"/>
                <w:szCs w:val="18"/>
              </w:rPr>
              <w:t xml:space="preserve">Top, left, right, front 45°, back 45°</w:t>
            </w:r>
          </w:p>
        </w:tc>
        <w:tc>
          <w:tcPr>
            <w:tcW w:w="3700" w:type="dxa"/>
            <w:vAlign w:val="center"/>
          </w:tcPr>
          <w:p>
            <w:pPr>
              <w:keepNext/>
              <w:spacing w:before="0" w:after="0" w:line="240" w:lineRule="auto"/>
              <w:jc w:val="center"/>
            </w:pPr>
            <w:r>
              <w:rPr>
                <w:sz w:val="18"/>
                <w:szCs w:val="18"/>
              </w:rPr>
              <w:t xml:space="preserve">Five-face quality inspection</w:t>
            </w:r>
          </w:p>
        </w:tc>
      </w:tr>
      <w:tr>
        <w:trPr>
          <w:cantSplit/>
        </w:trPr>
        <w:tc>
          <w:tcPr>
            <w:tcW w:w="1500" w:type="dxa"/>
            <w:vAlign w:val="center"/>
          </w:tcPr>
          <w:p>
            <w:pPr>
              <w:keepNext/>
              <w:spacing w:before="0" w:after="0" w:line="240" w:lineRule="auto"/>
              <w:jc w:val="left"/>
            </w:pPr>
            <w:r>
              <w:rPr>
                <w:sz w:val="18"/>
                <w:szCs w:val="18"/>
              </w:rPr>
              <w:t xml:space="preserve">VT-001</w:t>
            </w:r>
          </w:p>
        </w:tc>
        <w:tc>
          <w:tcPr>
            <w:tcW w:w="2000" w:type="dxa"/>
            <w:vAlign w:val="center"/>
          </w:tcPr>
          <w:p>
            <w:pPr>
              <w:keepNext/>
              <w:spacing w:before="0" w:after="0" w:line="240" w:lineRule="auto"/>
              <w:jc w:val="center"/>
            </w:pPr>
            <w:r>
              <w:rPr>
                <w:sz w:val="18"/>
                <w:szCs w:val="18"/>
              </w:rPr>
              <w:t xml:space="preserve">Accelerometer</w:t>
            </w:r>
          </w:p>
        </w:tc>
        <w:tc>
          <w:tcPr>
            <w:tcW w:w="3240" w:type="dxa"/>
            <w:vAlign w:val="center"/>
          </w:tcPr>
          <w:p>
            <w:pPr>
              <w:keepNext/>
              <w:spacing w:before="0" w:after="0" w:line="240" w:lineRule="auto"/>
              <w:jc w:val="center"/>
            </w:pPr>
            <w:r>
              <w:rPr>
                <w:sz w:val="18"/>
                <w:szCs w:val="18"/>
              </w:rPr>
              <w:t xml:space="preserve">2.56 kHz, 1024-sample blocks</w:t>
            </w:r>
          </w:p>
        </w:tc>
        <w:tc>
          <w:tcPr>
            <w:tcW w:w="3700" w:type="dxa"/>
            <w:vAlign w:val="center"/>
          </w:tcPr>
          <w:p>
            <w:pPr>
              <w:keepNext/>
              <w:spacing w:before="0" w:after="0" w:line="240" w:lineRule="auto"/>
              <w:jc w:val="left"/>
            </w:pPr>
            <w:r>
              <w:rPr>
                <w:sz w:val="18"/>
                <w:szCs w:val="18"/>
              </w:rPr>
              <w:t xml:space="preserve">Bearing condition, ISO 10816, RUL</w:t>
            </w:r>
          </w:p>
        </w:tc>
      </w:tr>
      <w:tr>
        <w:trPr>
          <w:cantSplit/>
        </w:trPr>
        <w:tc>
          <w:tcPr>
            <w:tcW w:w="1500" w:type="dxa"/>
            <w:vAlign w:val="center"/>
          </w:tcPr>
          <w:p>
            <w:pPr>
              <w:keepNext/>
              <w:spacing w:before="0" w:after="0" w:line="240" w:lineRule="auto"/>
              <w:jc w:val="left"/>
            </w:pPr>
            <w:r>
              <w:rPr>
                <w:sz w:val="18"/>
                <w:szCs w:val="18"/>
              </w:rPr>
              <w:t xml:space="preserve">TT-001</w:t>
            </w:r>
          </w:p>
        </w:tc>
        <w:tc>
          <w:tcPr>
            <w:tcW w:w="2000" w:type="dxa"/>
            <w:vAlign w:val="center"/>
          </w:tcPr>
          <w:p>
            <w:pPr>
              <w:keepNext/>
              <w:spacing w:before="0" w:after="0" w:line="240" w:lineRule="auto"/>
              <w:jc w:val="center"/>
            </w:pPr>
            <w:r>
              <w:rPr>
                <w:sz w:val="18"/>
                <w:szCs w:val="18"/>
              </w:rPr>
              <w:t xml:space="preserve">PT100</w:t>
            </w:r>
          </w:p>
        </w:tc>
        <w:tc>
          <w:tcPr>
            <w:tcW w:w="3240" w:type="dxa"/>
            <w:vAlign w:val="center"/>
          </w:tcPr>
          <w:p>
            <w:pPr>
              <w:keepNext/>
              <w:spacing w:before="0" w:after="0" w:line="240" w:lineRule="auto"/>
              <w:jc w:val="center"/>
            </w:pPr>
            <w:r>
              <w:rPr>
                <w:sz w:val="18"/>
                <w:szCs w:val="18"/>
              </w:rPr>
              <w:t xml:space="preserve">Winding temperature</w:t>
            </w:r>
          </w:p>
        </w:tc>
        <w:tc>
          <w:tcPr>
            <w:tcW w:w="3700" w:type="dxa"/>
            <w:vAlign w:val="center"/>
          </w:tcPr>
          <w:p>
            <w:pPr>
              <w:keepNext/>
              <w:spacing w:before="0" w:after="0" w:line="240" w:lineRule="auto"/>
              <w:jc w:val="left"/>
            </w:pPr>
            <w:r>
              <w:rPr>
                <w:sz w:val="18"/>
                <w:szCs w:val="18"/>
              </w:rPr>
              <w:t xml:space="preserve">Thermal forecast, over-temperature trip</w:t>
            </w:r>
          </w:p>
        </w:tc>
      </w:tr>
      <w:tr>
        <w:trPr>
          <w:cantSplit/>
        </w:trPr>
        <w:tc>
          <w:tcPr>
            <w:tcW w:w="1500" w:type="dxa"/>
            <w:vAlign w:val="center"/>
          </w:tcPr>
          <w:p>
            <w:pPr>
              <w:keepNext/>
              <w:spacing w:before="0" w:after="0" w:line="240" w:lineRule="auto"/>
              <w:jc w:val="left"/>
            </w:pPr>
            <w:r>
              <w:rPr>
                <w:sz w:val="18"/>
                <w:szCs w:val="18"/>
              </w:rPr>
              <w:t xml:space="preserve">YV-301</w:t>
            </w:r>
          </w:p>
        </w:tc>
        <w:tc>
          <w:tcPr>
            <w:tcW w:w="2000" w:type="dxa"/>
            <w:vAlign w:val="center"/>
          </w:tcPr>
          <w:p>
            <w:pPr>
              <w:keepNext/>
              <w:spacing w:before="0" w:after="0" w:line="240" w:lineRule="auto"/>
              <w:jc w:val="center"/>
            </w:pPr>
            <w:r>
              <w:rPr>
                <w:sz w:val="18"/>
                <w:szCs w:val="18"/>
              </w:rPr>
              <w:t xml:space="preserve">Solenoid valve + cylinder</w:t>
            </w:r>
          </w:p>
        </w:tc>
        <w:tc>
          <w:tcPr>
            <w:tcW w:w="3240" w:type="dxa"/>
            <w:vAlign w:val="center"/>
          </w:tcPr>
          <w:p>
            <w:pPr>
              <w:keepNext/>
              <w:spacing w:before="0" w:after="0" w:line="240" w:lineRule="auto"/>
              <w:jc w:val="center"/>
            </w:pPr>
            <w:r>
              <w:rPr>
                <w:sz w:val="18"/>
                <w:szCs w:val="18"/>
              </w:rPr>
              <w:t xml:space="preserve">5/2 valve, Ø16 cylinder</w:t>
            </w:r>
          </w:p>
        </w:tc>
        <w:tc>
          <w:tcPr>
            <w:tcW w:w="3700" w:type="dxa"/>
            <w:vAlign w:val="center"/>
          </w:tcPr>
          <w:p>
            <w:pPr>
              <w:keepNext/>
              <w:spacing w:before="0" w:after="0" w:line="240" w:lineRule="auto"/>
              <w:jc w:val="left"/>
            </w:pPr>
            <w:r>
              <w:rPr>
                <w:sz w:val="18"/>
                <w:szCs w:val="18"/>
              </w:rPr>
              <w:t xml:space="preserve">Rejects cartons not confirmed good</w:t>
            </w:r>
          </w:p>
        </w:tc>
      </w:tr>
      <w:tr>
        <w:trPr>
          <w:cantSplit/>
        </w:trPr>
        <w:tc>
          <w:tcPr>
            <w:tcW w:w="1500" w:type="dxa"/>
            <w:vAlign w:val="center"/>
          </w:tcPr>
          <w:p>
            <w:pPr>
              <w:keepNext/>
              <w:spacing w:before="0" w:after="0" w:line="240" w:lineRule="auto"/>
              <w:jc w:val="left"/>
            </w:pPr>
            <w:r>
              <w:rPr>
                <w:sz w:val="18"/>
                <w:szCs w:val="18"/>
              </w:rPr>
              <w:t xml:space="preserve">HL-001 / ES-001</w:t>
            </w:r>
          </w:p>
        </w:tc>
        <w:tc>
          <w:tcPr>
            <w:tcW w:w="2000" w:type="dxa"/>
            <w:vAlign w:val="center"/>
          </w:tcPr>
          <w:p>
            <w:pPr>
              <w:keepNext/>
              <w:spacing w:before="0" w:after="0" w:line="240" w:lineRule="auto"/>
              <w:jc w:val="center"/>
            </w:pPr>
            <w:r>
              <w:rPr>
                <w:sz w:val="18"/>
                <w:szCs w:val="18"/>
              </w:rPr>
              <w:t xml:space="preserve">Stack light / E-stop</w:t>
            </w:r>
          </w:p>
        </w:tc>
        <w:tc>
          <w:tcPr>
            <w:tcW w:w="3240" w:type="dxa"/>
            <w:vAlign w:val="center"/>
          </w:tcPr>
          <w:p>
            <w:pPr>
              <w:keepNext/>
              <w:spacing w:before="0" w:after="0" w:line="240" w:lineRule="auto"/>
              <w:jc w:val="left"/>
            </w:pPr>
            <w:r>
              <w:rPr>
                <w:sz w:val="18"/>
                <w:szCs w:val="18"/>
              </w:rPr>
              <w:t xml:space="preserve">R/A/G + horn / twin-channel NC</w:t>
            </w:r>
          </w:p>
        </w:tc>
        <w:tc>
          <w:tcPr>
            <w:tcW w:w="3700" w:type="dxa"/>
            <w:vAlign w:val="center"/>
          </w:tcPr>
          <w:p>
            <w:pPr>
              <w:keepNext/>
              <w:spacing w:before="0" w:after="0" w:line="240" w:lineRule="auto"/>
              <w:jc w:val="left"/>
            </w:pPr>
            <w:r>
              <w:rPr>
                <w:sz w:val="18"/>
                <w:szCs w:val="18"/>
              </w:rPr>
              <w:t xml:space="preserve">State indication / safety abort</w:t>
            </w:r>
          </w:p>
        </w:tc>
      </w:tr>
    </w:tbl>
    <w:p>
      <w:pPr>
        <w:spacing w:before="0" w:after="120" w:line="259" w:lineRule="auto"/>
        <w:jc w:val="center"/>
      </w:pPr>
      <w:r>
        <w:rPr>
          <w:i/>
          <w:sz w:val="18"/>
          <w:szCs w:val="18"/>
        </w:rPr>
        <w:t xml:space="preserve">Table 1 — Instrument list of the reference conveyor.</w:t>
      </w:r>
    </w:p>
    <w:p>
      <w:pPr>
        <w:keepNext/>
        <w:spacing w:before="200" w:after="80" w:line="259" w:lineRule="auto"/>
        <w:jc w:val="left"/>
      </w:pPr>
      <w:r>
        <w:rPr>
          <w:b/>
          <w:color w:val="B7202E"/>
          <w:sz w:val="28"/>
          <w:szCs w:val="28"/>
        </w:rPr>
        <w:t xml:space="preserve">2. METHODOLOGY</w:t>
      </w:r>
    </w:p>
    <w:p>
      <w:pPr>
        <w:keepNext/>
        <w:spacing w:before="120" w:after="40" w:line="259" w:lineRule="auto"/>
        <w:jc w:val="left"/>
      </w:pPr>
      <w:r>
        <w:rPr>
          <w:b/>
          <w:sz w:val="23"/>
          <w:szCs w:val="23"/>
        </w:rPr>
        <w:t xml:space="preserve">2.1 System architecture</w:t>
      </w:r>
    </w:p>
    <w:p>
      <w:pPr>
        <w:spacing w:before="0" w:after="70" w:line="259" w:lineRule="auto"/>
        <w:jc w:val="both"/>
      </w:pPr>
      <w:r>
        <w:rPr>
          <w:sz w:val="21"/>
          <w:szCs w:val="21"/>
        </w:rPr>
        <w:t xml:space="preserve">The system is organised in three layers mapped to the ISA-95 levels (Figure 1). The </w:t>
      </w:r>
      <w:r>
        <w:rPr>
          <w:b/>
          <w:sz w:val="21"/>
          <w:szCs w:val="21"/>
        </w:rPr>
        <w:t xml:space="preserve">virtual plant</w:t>
      </w:r>
      <w:r>
        <w:rPr>
          <w:sz w:val="21"/>
          <w:szCs w:val="21"/>
        </w:rPr>
        <w:t xml:space="preserve"> runs in a separate Web Worker thread and behaves like the machine plus its PLC. The </w:t>
      </w:r>
      <w:r>
        <w:rPr>
          <w:b/>
          <w:sz w:val="21"/>
          <w:szCs w:val="21"/>
        </w:rPr>
        <w:t xml:space="preserve">digital twin</w:t>
      </w:r>
      <w:r>
        <w:rPr>
          <w:sz w:val="21"/>
          <w:szCs w:val="21"/>
        </w:rPr>
        <w:t xml:space="preserve"> runs in the main thread and can reach the plant only through the </w:t>
      </w:r>
      <w:r>
        <w:rPr>
          <w:b/>
          <w:sz w:val="21"/>
          <w:szCs w:val="21"/>
        </w:rPr>
        <w:t xml:space="preserve">plant link</w:t>
      </w:r>
      <w:r>
        <w:rPr>
          <w:sz w:val="21"/>
          <w:szCs w:val="21"/>
        </w:rPr>
        <w:t xml:space="preserve"> — a tag/method interface shaped like OPC UA. This single seam is the key design decision: replacing the worker with a real PLC or an OPC UA/MQTT gateway that exposes the same tags requires no change to the twin.</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3300"/>
        <w:gridCol w:w="700"/>
        <w:gridCol w:w="2440"/>
        <w:gridCol w:w="700"/>
        <w:gridCol w:w="3300"/>
      </w:tblGrid>
      <w:tr>
        <w:tc>
          <w:tcPr>
            <w:tcW w:w="3300" w:type="dxa"/>
            <w:shd w:val="clear" w:color="auto" w:fill="EDEFF2"/>
            <w:vAlign w:val="center"/>
          </w:tcPr>
          <w:p>
            <w:pPr>
              <w:spacing w:before="0" w:after="30" w:line="240" w:lineRule="auto"/>
              <w:jc w:val="center"/>
            </w:pPr>
            <w:r>
              <w:rPr>
                <w:b/>
                <w:sz w:val="17"/>
                <w:szCs w:val="17"/>
              </w:rPr>
              <w:t xml:space="preserve">VIRTUAL PLANT — Web Worker (ISA-95 L0–1)</w:t>
            </w:r>
          </w:p>
          <w:p>
            <w:pPr>
              <w:spacing w:before="0" w:after="0" w:line="235" w:lineRule="auto"/>
              <w:jc w:val="center"/>
            </w:pPr>
            <w:r>
              <w:rPr>
                <w:sz w:val="16"/>
                <w:szCs w:val="16"/>
              </w:rPr>
              <w:t xml:space="preserve">DC gearmotor, belt, cartons</w:t>
            </w:r>
          </w:p>
          <w:p>
            <w:pPr>
              <w:spacing w:before="0" w:after="0" w:line="235" w:lineRule="auto"/>
              <w:jc w:val="center"/>
            </w:pPr>
            <w:r>
              <w:rPr>
                <w:sz w:val="16"/>
                <w:szCs w:val="16"/>
              </w:rPr>
              <w:t xml:space="preserve">Photo-eyes PE-101…401, encoder</w:t>
            </w:r>
          </w:p>
          <w:p>
            <w:pPr>
              <w:spacing w:before="0" w:after="0" w:line="235" w:lineRule="auto"/>
              <w:jc w:val="center"/>
            </w:pPr>
            <w:r>
              <w:rPr>
                <w:sz w:val="16"/>
                <w:szCs w:val="16"/>
              </w:rPr>
              <w:t xml:space="preserve">VT-001 vibration, TT-001, current</w:t>
            </w:r>
          </w:p>
          <w:p>
            <w:pPr>
              <w:spacing w:before="0" w:after="0" w:line="235" w:lineRule="auto"/>
              <w:jc w:val="center"/>
            </w:pPr>
            <w:r>
              <w:rPr>
                <w:sz w:val="16"/>
                <w:szCs w:val="16"/>
              </w:rPr>
              <w:t xml:space="preserve">PackML state machine, 20 ms scan</w:t>
            </w:r>
          </w:p>
          <w:p>
            <w:pPr>
              <w:spacing w:before="0" w:after="0" w:line="235" w:lineRule="auto"/>
              <w:jc w:val="center"/>
            </w:pPr>
            <w:r>
              <w:rPr>
                <w:sz w:val="16"/>
                <w:szCs w:val="16"/>
              </w:rPr>
              <w:t xml:space="preserve">Reject tracking, pusher YV-301</w:t>
            </w:r>
          </w:p>
          <w:p>
            <w:pPr>
              <w:spacing w:before="0" w:after="0" w:line="235" w:lineRule="auto"/>
              <w:jc w:val="center"/>
            </w:pPr>
            <w:r>
              <w:rPr>
                <w:sz w:val="16"/>
                <w:szCs w:val="16"/>
              </w:rPr>
              <w:t xml:space="preserve">Fault injection (7 faults)</w:t>
            </w:r>
          </w:p>
        </w:tc>
        <w:tc>
          <w:tcPr>
            <w:tcW w:w="700" w:type="dxa"/>
            <w:vAlign w:val="center"/>
          </w:tcPr>
          <w:p>
            <w:pPr>
              <w:spacing w:before="0" w:after="0" w:line="240" w:lineRule="auto"/>
              <w:jc w:val="center"/>
            </w:pPr>
            <w:r>
              <w:rPr>
                <w:b/>
                <w:color w:val="B7202E"/>
                <w:sz w:val="32"/>
                <w:szCs w:val="32"/>
              </w:rPr>
              <w:t xml:space="preserve">⇄</w:t>
            </w:r>
          </w:p>
          <w:p>
            <w:pPr>
              <w:spacing w:before="0" w:after="0" w:line="220" w:lineRule="auto"/>
              <w:jc w:val="center"/>
            </w:pPr>
            <w:r>
              <w:rPr>
                <w:sz w:val="14"/>
                <w:szCs w:val="14"/>
              </w:rPr>
              <w:t xml:space="preserve">25 Hz tags · 1 Hz vibration</w:t>
            </w:r>
          </w:p>
        </w:tc>
        <w:tc>
          <w:tcPr>
            <w:tcW w:w="2440" w:type="dxa"/>
            <w:shd w:val="clear" w:color="auto" w:fill="FFF4E5"/>
            <w:vAlign w:val="center"/>
          </w:tcPr>
          <w:p>
            <w:pPr>
              <w:spacing w:before="0" w:after="30" w:line="240" w:lineRule="auto"/>
              <w:jc w:val="center"/>
            </w:pPr>
            <w:r>
              <w:rPr>
                <w:b/>
                <w:sz w:val="17"/>
                <w:szCs w:val="17"/>
              </w:rPr>
              <w:t xml:space="preserve">PLANT LINK (L2)</w:t>
            </w:r>
          </w:p>
          <w:p>
            <w:pPr>
              <w:spacing w:before="0" w:after="0" w:line="235" w:lineRule="auto"/>
              <w:jc w:val="center"/>
            </w:pPr>
            <w:r>
              <w:rPr>
                <w:sz w:val="16"/>
                <w:szCs w:val="16"/>
              </w:rPr>
              <w:t xml:space="preserve">OPC UA-style address space</w:t>
            </w:r>
          </w:p>
          <w:p>
            <w:pPr>
              <w:spacing w:before="0" w:after="0" w:line="235" w:lineRule="auto"/>
              <w:jc w:val="center"/>
            </w:pPr>
            <w:r>
              <w:rPr>
                <w:sz w:val="16"/>
                <w:szCs w:val="16"/>
              </w:rPr>
              <w:t xml:space="preserve">ISA-95 tag paths</w:t>
            </w:r>
          </w:p>
          <w:p>
            <w:pPr>
              <w:spacing w:before="0" w:after="0" w:line="235" w:lineRule="auto"/>
              <w:jc w:val="center"/>
            </w:pPr>
            <w:r>
              <w:rPr>
                <w:sz w:val="16"/>
                <w:szCs w:val="16"/>
              </w:rPr>
              <w:t xml:space="preserve">Methods: Start, Hold,</w:t>
            </w:r>
          </w:p>
          <w:p>
            <w:pPr>
              <w:spacing w:before="0" w:after="0" w:line="235" w:lineRule="auto"/>
              <w:jc w:val="center"/>
            </w:pPr>
            <w:r>
              <w:rPr>
                <w:sz w:val="16"/>
                <w:szCs w:val="16"/>
              </w:rPr>
              <w:t xml:space="preserve">SetSpeed, ReportInspection</w:t>
            </w:r>
          </w:p>
          <w:p>
            <w:pPr>
              <w:spacing w:before="0" w:after="0" w:line="235" w:lineRule="auto"/>
              <w:jc w:val="center"/>
            </w:pPr>
            <w:r>
              <w:rPr>
                <w:sz w:val="16"/>
                <w:szCs w:val="16"/>
              </w:rPr>
              <w:t xml:space="preserve">Status codes (Good, Bad…)</w:t>
            </w:r>
          </w:p>
        </w:tc>
        <w:tc>
          <w:tcPr>
            <w:tcW w:w="700" w:type="dxa"/>
            <w:vAlign w:val="center"/>
          </w:tcPr>
          <w:p>
            <w:pPr>
              <w:spacing w:before="0" w:after="0" w:line="240" w:lineRule="auto"/>
              <w:jc w:val="center"/>
            </w:pPr>
            <w:r>
              <w:rPr>
                <w:b/>
                <w:color w:val="B7202E"/>
                <w:sz w:val="32"/>
                <w:szCs w:val="32"/>
              </w:rPr>
              <w:t xml:space="preserve">⇄</w:t>
            </w:r>
          </w:p>
          <w:p>
            <w:pPr>
              <w:spacing w:before="0" w:after="0" w:line="220" w:lineRule="auto"/>
              <w:jc w:val="center"/>
            </w:pPr>
            <w:r>
              <w:rPr>
                <w:sz w:val="14"/>
                <w:szCs w:val="14"/>
              </w:rPr>
              <w:t xml:space="preserve">commands · verdicts</w:t>
            </w:r>
          </w:p>
        </w:tc>
        <w:tc>
          <w:tcPr>
            <w:tcW w:w="3300" w:type="dxa"/>
            <w:shd w:val="clear" w:color="auto" w:fill="E8F0F8"/>
            <w:vAlign w:val="center"/>
          </w:tcPr>
          <w:p>
            <w:pPr>
              <w:spacing w:before="0" w:after="30" w:line="240" w:lineRule="auto"/>
              <w:jc w:val="center"/>
            </w:pPr>
            <w:r>
              <w:rPr>
                <w:b/>
                <w:sz w:val="17"/>
                <w:szCs w:val="17"/>
              </w:rPr>
              <w:t xml:space="preserve">DIGITAL TWIN SERVICES (L2–3)</w:t>
            </w:r>
          </w:p>
          <w:p>
            <w:pPr>
              <w:spacing w:before="0" w:after="0" w:line="235" w:lineRule="auto"/>
              <w:jc w:val="center"/>
            </w:pPr>
            <w:r>
              <w:rPr>
                <w:sz w:val="16"/>
                <w:szCs w:val="16"/>
              </w:rPr>
              <w:t xml:space="preserve">Shadow model · rule diagnosis</w:t>
            </w:r>
          </w:p>
          <w:p>
            <w:pPr>
              <w:spacing w:before="0" w:after="0" w:line="235" w:lineRule="auto"/>
              <w:jc w:val="center"/>
            </w:pPr>
            <w:r>
              <w:rPr>
                <w:sz w:val="16"/>
                <w:szCs w:val="16"/>
              </w:rPr>
              <w:t xml:space="preserve">Learned PCA anomaly model</w:t>
            </w:r>
          </w:p>
          <w:p>
            <w:pPr>
              <w:spacing w:before="0" w:after="0" w:line="235" w:lineRule="auto"/>
              <w:jc w:val="center"/>
            </w:pPr>
            <w:r>
              <w:rPr>
                <w:sz w:val="16"/>
                <w:szCs w:val="16"/>
              </w:rPr>
              <w:t xml:space="preserve">5-camera vision node</w:t>
            </w:r>
          </w:p>
          <w:p>
            <w:pPr>
              <w:spacing w:before="0" w:after="0" w:line="235" w:lineRule="auto"/>
              <w:jc w:val="center"/>
            </w:pPr>
            <w:r>
              <w:rPr>
                <w:sz w:val="16"/>
                <w:szCs w:val="16"/>
              </w:rPr>
              <w:t xml:space="preserve">Vibration analysis · RUL</w:t>
            </w:r>
          </w:p>
          <w:p>
            <w:pPr>
              <w:spacing w:before="0" w:after="0" w:line="235" w:lineRule="auto"/>
              <w:jc w:val="center"/>
            </w:pPr>
            <w:r>
              <w:rPr>
                <w:sz w:val="16"/>
                <w:szCs w:val="16"/>
              </w:rPr>
              <w:t xml:space="preserve">Alarms (ISA-18.2) · historian · replay</w:t>
            </w:r>
          </w:p>
          <w:p>
            <w:pPr>
              <w:spacing w:before="0" w:after="0" w:line="235" w:lineRule="auto"/>
              <w:jc w:val="center"/>
            </w:pPr>
            <w:r>
              <w:rPr>
                <w:sz w:val="16"/>
                <w:szCs w:val="16"/>
              </w:rPr>
              <w:t xml:space="preserve">OEE · SPC · what-if · optimiser</w:t>
            </w:r>
          </w:p>
        </w:tc>
      </w:tr>
      <w:tr>
        <w:tc>
          <w:tcPr>
            <w:tcW w:w="10440" w:type="dxa"/>
            <w:gridSpan w:val="5"/>
            <w:shd w:val="clear" w:color="auto" w:fill="F2F2F2"/>
            <w:vAlign w:val="center"/>
          </w:tcPr>
          <w:p>
            <w:pPr>
              <w:spacing w:before="0" w:after="0" w:line="240" w:lineRule="auto"/>
              <w:jc w:val="center"/>
            </w:pPr>
            <w:r>
              <w:rPr>
                <w:b/>
                <w:sz w:val="17"/>
                <w:szCs w:val="17"/>
              </w:rPr>
              <w:t xml:space="preserve">HMI (ISA-101, L3): </w:t>
            </w:r>
            <w:r>
              <w:rPr>
                <w:sz w:val="16"/>
                <w:szCs w:val="16"/>
              </w:rPr>
              <w:t xml:space="preserve">Three.js 3D twin · 2D line overview · trends · alarms · faceplates · Health / Vision / PdM / OEE / SPC / Optimise / Maintenance / Validate tabs</w:t>
            </w:r>
          </w:p>
        </w:tc>
      </w:tr>
    </w:tbl>
    <w:p>
      <w:pPr>
        <w:spacing w:before="0" w:after="120" w:line="259" w:lineRule="auto"/>
        <w:jc w:val="center"/>
      </w:pPr>
      <w:r>
        <w:rPr>
          <w:i/>
          <w:sz w:val="18"/>
          <w:szCs w:val="18"/>
        </w:rPr>
        <w:t xml:space="preserve">Figure 1 — System architecture: virtual plant, plant link and digital twin services, presented through an ISA-101 HMI.</w:t>
      </w:r>
    </w:p>
    <w:p>
      <w:pPr>
        <w:keepNext/>
        <w:spacing w:before="120" w:after="40" w:line="259" w:lineRule="auto"/>
        <w:jc w:val="left"/>
      </w:pPr>
      <w:r>
        <w:rPr>
          <w:b/>
          <w:sz w:val="23"/>
          <w:szCs w:val="23"/>
        </w:rPr>
        <w:t xml:space="preserve">2.2 Virtual plant model</w:t>
      </w:r>
    </w:p>
    <w:p>
      <w:pPr>
        <w:spacing w:before="0" w:after="70" w:line="259" w:lineRule="auto"/>
        <w:jc w:val="both"/>
      </w:pPr>
      <w:r>
        <w:rPr>
          <w:sz w:val="21"/>
          <w:szCs w:val="21"/>
        </w:rPr>
        <w:t xml:space="preserve">Every 20 ms PLC scan reads inputs, runs the control program and writes outputs; the physics is then integrated in four 5 ms sub-steps. The DC motor is modelled by its armature and rotor equations:</w:t>
      </w:r>
    </w:p>
    <w:p>
      <w:pPr>
        <w:spacing w:before="0" w:after="50" w:line="259" w:lineRule="auto"/>
        <w:jc w:val="center"/>
      </w:pPr>
      <w:r>
        <w:rPr>
          <w:i/>
          <w:sz w:val="21"/>
          <w:szCs w:val="21"/>
        </w:rPr>
        <w:t xml:space="preserve">L · di/dt = V − R·i − Kₑ·ω</w:t>
      </w:r>
      <w:r>
        <w:rPr>
          <w:sz w:val="21"/>
          <w:szCs w:val="21"/>
        </w:rPr>
        <w:t xml:space="preserve">	(1)</w:t>
      </w:r>
    </w:p>
    <w:p>
      <w:pPr>
        <w:spacing w:before="0" w:after="50" w:line="259" w:lineRule="auto"/>
        <w:jc w:val="center"/>
      </w:pPr>
      <w:r>
        <w:rPr>
          <w:i/>
          <w:sz w:val="21"/>
          <w:szCs w:val="21"/>
        </w:rPr>
        <w:t xml:space="preserve">J · dω/dt = Kₜ·i − b·ω − T꜀ − T_load</w:t>
      </w:r>
      <w:r>
        <w:rPr>
          <w:sz w:val="21"/>
          <w:szCs w:val="21"/>
        </w:rPr>
        <w:t xml:space="preserve">	(2)</w:t>
      </w:r>
    </w:p>
    <w:p>
      <w:pPr>
        <w:spacing w:before="0" w:after="70" w:line="259" w:lineRule="auto"/>
        <w:jc w:val="both"/>
      </w:pPr>
      <w:r>
        <w:rPr>
          <w:sz w:val="21"/>
          <w:szCs w:val="21"/>
        </w:rPr>
        <w:t xml:space="preserve">where T_load includes belt drag on the slider bed, friction of carried cartons and the higher sliding friction of cartons held by an obstruction. Winding temperature follows a first-order thermal network:</w:t>
      </w:r>
    </w:p>
    <w:p>
      <w:pPr>
        <w:spacing w:before="0" w:after="50" w:line="259" w:lineRule="auto"/>
        <w:jc w:val="center"/>
      </w:pPr>
      <w:r>
        <w:rPr>
          <w:i/>
          <w:sz w:val="21"/>
          <w:szCs w:val="21"/>
        </w:rPr>
        <w:t xml:space="preserve">C_th · dT/dt = i²·R − (T − T_amb) / R_th</w:t>
      </w:r>
      <w:r>
        <w:rPr>
          <w:sz w:val="21"/>
          <w:szCs w:val="21"/>
        </w:rPr>
        <w:t xml:space="preserve">	(3)</w:t>
      </w:r>
    </w:p>
    <w:p>
      <w:pPr>
        <w:spacing w:before="0" w:after="70" w:line="259" w:lineRule="auto"/>
        <w:jc w:val="both"/>
      </w:pPr>
      <w:r>
        <w:rPr>
          <w:sz w:val="21"/>
          <w:szCs w:val="21"/>
        </w:rPr>
        <w:t xml:space="preserve">A feed-forward PI controller holds the belt speed from encoder counts. The control program implements the </w:t>
      </w:r>
      <w:r>
        <w:rPr>
          <w:b/>
          <w:sz w:val="21"/>
          <w:szCs w:val="21"/>
        </w:rPr>
        <w:t xml:space="preserve">PackML</w:t>
      </w:r>
      <w:r>
        <w:rPr>
          <w:sz w:val="21"/>
          <w:szCs w:val="21"/>
        </w:rPr>
        <w:t xml:space="preserve"> state machine (STOPPED → RESETTING → IDLE → STARTING → EXECUTE, with HOLD and ABORT paths), interlocks (E-stop, restart temperature) and encoder-based reject tracking: each carton is assigned a tracking ID at PE-201 and the pusher fires a measured encoder distance after PE-301. Seven faults can be injected without informing the twin: belt slip, zone-2 jam, photo-eye failure, bearing wear (instant or progressive), camera failure, a misaligned side guide and the upstream defect rate.</w:t>
      </w:r>
    </w:p>
    <w:p>
      <w:pPr>
        <w:keepNext/>
        <w:spacing w:before="120" w:after="40" w:line="259" w:lineRule="auto"/>
        <w:jc w:val="left"/>
      </w:pPr>
      <w:r>
        <w:rPr>
          <w:b/>
          <w:sz w:val="23"/>
          <w:szCs w:val="23"/>
        </w:rPr>
        <w:t xml:space="preserve">2.3 Plant link and information model</w:t>
      </w:r>
    </w:p>
    <w:p>
      <w:pPr>
        <w:spacing w:before="0" w:after="70" w:line="259" w:lineRule="auto"/>
        <w:jc w:val="both"/>
      </w:pPr>
      <w:r>
        <w:rPr>
          <w:sz w:val="21"/>
          <w:szCs w:val="21"/>
        </w:rPr>
        <w:t xml:space="preserve">The plant publishes its process image at 25 Hz and a vibration waveform at 1 Hz. Tags follow the ISA-95 hierarchy, for example </w:t>
      </w:r>
      <w:r>
        <w:rPr>
          <w:i/>
          <w:sz w:val="21"/>
          <w:szCs w:val="21"/>
        </w:rPr>
        <w:t xml:space="preserve">DemoPlant.Area1.Line1.Conveyor01.Drive.MotorCurrent</w:t>
      </w:r>
      <w:r>
        <w:rPr>
          <w:sz w:val="21"/>
          <w:szCs w:val="21"/>
        </w:rPr>
        <w:t xml:space="preserve">, with OPC UA-style node IDs, data types and units. Commands are method calls (Start, Hold, SetSpeed, ReportInspection …) that return status codes such as Good or BadInvalidState, so the plant enforces its own state model exactly as a PLC would.</w:t>
      </w:r>
    </w:p>
    <w:p>
      <w:pPr>
        <w:keepNext/>
        <w:spacing w:before="120" w:after="40" w:line="259" w:lineRule="auto"/>
        <w:jc w:val="left"/>
      </w:pPr>
      <w:r>
        <w:rPr>
          <w:b/>
          <w:sz w:val="23"/>
          <w:szCs w:val="23"/>
        </w:rPr>
        <w:t xml:space="preserve">2.4 Twin model and rule-based diagnosis</w:t>
      </w:r>
    </w:p>
    <w:p>
      <w:pPr>
        <w:spacing w:before="0" w:after="70" w:line="259" w:lineRule="auto"/>
        <w:jc w:val="both"/>
      </w:pPr>
      <w:r>
        <w:rPr>
          <w:sz w:val="21"/>
          <w:szCs w:val="21"/>
        </w:rPr>
        <w:t xml:space="preserve">The </w:t>
      </w:r>
      <w:r>
        <w:rPr>
          <w:b/>
          <w:sz w:val="21"/>
          <w:szCs w:val="21"/>
        </w:rPr>
        <w:t xml:space="preserve">shadow model</w:t>
      </w:r>
      <w:r>
        <w:rPr>
          <w:sz w:val="21"/>
          <w:szCs w:val="21"/>
        </w:rPr>
        <w:t xml:space="preserve"> tracks every carton independently of the PLC: it predicts each position from encoder travel and corrects it at every photo-eye edge. Comparing the known photo-eye spacing with the encoder travel between edges estimates </w:t>
      </w:r>
      <w:r>
        <w:rPr>
          <w:b/>
          <w:sz w:val="21"/>
          <w:szCs w:val="21"/>
        </w:rPr>
        <w:t xml:space="preserve">belt slip</w:t>
      </w:r>
      <w:r>
        <w:rPr>
          <w:sz w:val="21"/>
          <w:szCs w:val="21"/>
        </w:rPr>
        <w:t xml:space="preserve">, which the encoder cannot measure because it sits on the drive roller. A motor model (Eq. 2 at steady state) predicts the current for the measured speed and load; the residual between measured and modelled current gives a </w:t>
      </w:r>
      <w:r>
        <w:rPr>
          <w:b/>
          <w:sz w:val="21"/>
          <w:szCs w:val="21"/>
        </w:rPr>
        <w:t xml:space="preserve">drive-train health index</w:t>
      </w:r>
      <w:r>
        <w:rPr>
          <w:sz w:val="21"/>
          <w:szCs w:val="21"/>
        </w:rPr>
        <w:t xml:space="preserve">. Table 2 lists the diagnostic logic.</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2000"/>
        <w:gridCol w:w="4600"/>
        <w:gridCol w:w="3840"/>
      </w:tblGrid>
      <w:tr>
        <w:trPr>
          <w:cantSplit/>
          <w:tblHeader/>
        </w:trPr>
        <w:tc>
          <w:tcPr>
            <w:tcW w:w="2000" w:type="dxa"/>
            <w:shd w:val="clear" w:color="auto" w:fill="F2F2F2"/>
            <w:vAlign w:val="center"/>
          </w:tcPr>
          <w:p>
            <w:pPr>
              <w:keepNext/>
              <w:spacing w:before="0" w:after="0" w:line="240" w:lineRule="auto"/>
              <w:jc w:val="left"/>
            </w:pPr>
            <w:r>
              <w:rPr>
                <w:b/>
                <w:sz w:val="18"/>
                <w:szCs w:val="18"/>
              </w:rPr>
              <w:t xml:space="preserve">Fault</w:t>
            </w:r>
          </w:p>
        </w:tc>
        <w:tc>
          <w:tcPr>
            <w:tcW w:w="4600" w:type="dxa"/>
            <w:shd w:val="clear" w:color="auto" w:fill="F2F2F2"/>
            <w:vAlign w:val="center"/>
          </w:tcPr>
          <w:p>
            <w:pPr>
              <w:keepNext/>
              <w:spacing w:before="0" w:after="0" w:line="240" w:lineRule="auto"/>
              <w:jc w:val="center"/>
            </w:pPr>
            <w:r>
              <w:rPr>
                <w:b/>
                <w:sz w:val="18"/>
                <w:szCs w:val="18"/>
              </w:rPr>
              <w:t xml:space="preserve">Signature seen by the twin</w:t>
            </w:r>
          </w:p>
        </w:tc>
        <w:tc>
          <w:tcPr>
            <w:tcW w:w="3840" w:type="dxa"/>
            <w:shd w:val="clear" w:color="auto" w:fill="F2F2F2"/>
            <w:vAlign w:val="center"/>
          </w:tcPr>
          <w:p>
            <w:pPr>
              <w:keepNext/>
              <w:spacing w:before="0" w:after="0" w:line="240" w:lineRule="auto"/>
              <w:jc w:val="center"/>
            </w:pPr>
            <w:r>
              <w:rPr>
                <w:b/>
                <w:sz w:val="18"/>
                <w:szCs w:val="18"/>
              </w:rPr>
              <w:t xml:space="preserve">Twin response</w:t>
            </w:r>
          </w:p>
        </w:tc>
      </w:tr>
      <w:tr>
        <w:trPr>
          <w:cantSplit/>
        </w:trPr>
        <w:tc>
          <w:tcPr>
            <w:tcW w:w="2000" w:type="dxa"/>
            <w:vAlign w:val="center"/>
          </w:tcPr>
          <w:p>
            <w:pPr>
              <w:keepNext/>
              <w:spacing w:before="0" w:after="0" w:line="240" w:lineRule="auto"/>
              <w:jc w:val="left"/>
            </w:pPr>
            <w:r>
              <w:rPr>
                <w:sz w:val="18"/>
                <w:szCs w:val="18"/>
              </w:rPr>
              <w:t xml:space="preserve">Belt slip</w:t>
            </w:r>
          </w:p>
        </w:tc>
        <w:tc>
          <w:tcPr>
            <w:tcW w:w="4600" w:type="dxa"/>
            <w:vAlign w:val="center"/>
          </w:tcPr>
          <w:p>
            <w:pPr>
              <w:keepNext/>
              <w:spacing w:before="0" w:after="0" w:line="240" w:lineRule="auto"/>
              <w:jc w:val="left"/>
            </w:pPr>
            <w:r>
              <w:rPr>
                <w:sz w:val="18"/>
                <w:szCs w:val="18"/>
              </w:rPr>
              <w:t xml:space="preserve">Transit time longer than encoder travel predicts</w:t>
            </w:r>
          </w:p>
        </w:tc>
        <w:tc>
          <w:tcPr>
            <w:tcW w:w="3840" w:type="dxa"/>
            <w:vAlign w:val="center"/>
          </w:tcPr>
          <w:p>
            <w:pPr>
              <w:keepNext/>
              <w:spacing w:before="0" w:after="0" w:line="240" w:lineRule="auto"/>
              <w:jc w:val="left"/>
            </w:pPr>
            <w:r>
              <w:rPr>
                <w:sz w:val="18"/>
                <w:szCs w:val="18"/>
              </w:rPr>
              <w:t xml:space="preserve">Slip estimate, P2 alarm, work order</w:t>
            </w:r>
          </w:p>
        </w:tc>
      </w:tr>
      <w:tr>
        <w:trPr>
          <w:cantSplit/>
        </w:trPr>
        <w:tc>
          <w:tcPr>
            <w:tcW w:w="2000" w:type="dxa"/>
            <w:vAlign w:val="center"/>
          </w:tcPr>
          <w:p>
            <w:pPr>
              <w:keepNext/>
              <w:spacing w:before="0" w:after="0" w:line="240" w:lineRule="auto"/>
              <w:jc w:val="left"/>
            </w:pPr>
            <w:r>
              <w:rPr>
                <w:sz w:val="18"/>
                <w:szCs w:val="18"/>
              </w:rPr>
              <w:t xml:space="preserve">Jam</w:t>
            </w:r>
          </w:p>
        </w:tc>
        <w:tc>
          <w:tcPr>
            <w:tcW w:w="4600" w:type="dxa"/>
            <w:vAlign w:val="center"/>
          </w:tcPr>
          <w:p>
            <w:pPr>
              <w:keepNext/>
              <w:spacing w:before="0" w:after="0" w:line="240" w:lineRule="auto"/>
              <w:jc w:val="left"/>
            </w:pPr>
            <w:r>
              <w:rPr>
                <w:sz w:val="18"/>
                <w:szCs w:val="18"/>
              </w:rPr>
              <w:t xml:space="preserve">≥ 2 cartons overdue in a zone, or accumulation &gt; 3 carton lengths</w:t>
            </w:r>
          </w:p>
        </w:tc>
        <w:tc>
          <w:tcPr>
            <w:tcW w:w="3840" w:type="dxa"/>
            <w:vAlign w:val="center"/>
          </w:tcPr>
          <w:p>
            <w:pPr>
              <w:keepNext/>
              <w:spacing w:before="0" w:after="0" w:line="240" w:lineRule="auto"/>
              <w:jc w:val="left"/>
            </w:pPr>
            <w:r>
              <w:rPr>
                <w:sz w:val="18"/>
                <w:szCs w:val="18"/>
              </w:rPr>
              <w:t xml:space="preserve">P1 alarm, automatic Hold command</w:t>
            </w:r>
          </w:p>
        </w:tc>
      </w:tr>
      <w:tr>
        <w:trPr>
          <w:cantSplit/>
        </w:trPr>
        <w:tc>
          <w:tcPr>
            <w:tcW w:w="2000" w:type="dxa"/>
            <w:vAlign w:val="center"/>
          </w:tcPr>
          <w:p>
            <w:pPr>
              <w:keepNext/>
              <w:spacing w:before="0" w:after="0" w:line="240" w:lineRule="auto"/>
              <w:jc w:val="left"/>
            </w:pPr>
            <w:r>
              <w:rPr>
                <w:sz w:val="18"/>
                <w:szCs w:val="18"/>
              </w:rPr>
              <w:t xml:space="preserve">Photo-eye failure</w:t>
            </w:r>
          </w:p>
        </w:tc>
        <w:tc>
          <w:tcPr>
            <w:tcW w:w="4600" w:type="dxa"/>
            <w:vAlign w:val="center"/>
          </w:tcPr>
          <w:p>
            <w:pPr>
              <w:keepNext/>
              <w:spacing w:before="0" w:after="0" w:line="240" w:lineRule="auto"/>
              <w:jc w:val="left"/>
            </w:pPr>
            <w:r>
              <w:rPr>
                <w:sz w:val="18"/>
                <w:szCs w:val="18"/>
              </w:rPr>
              <w:t xml:space="preserve">Carton appears downstream without the sensor edge</w:t>
            </w:r>
          </w:p>
        </w:tc>
        <w:tc>
          <w:tcPr>
            <w:tcW w:w="3840" w:type="dxa"/>
            <w:vAlign w:val="center"/>
          </w:tcPr>
          <w:p>
            <w:pPr>
              <w:keepNext/>
              <w:spacing w:before="0" w:after="0" w:line="240" w:lineRule="auto"/>
              <w:jc w:val="center"/>
            </w:pPr>
            <w:r>
              <w:rPr>
                <w:sz w:val="18"/>
                <w:szCs w:val="18"/>
              </w:rPr>
              <w:t xml:space="preserve">P2 alarm, line keeps running</w:t>
            </w:r>
          </w:p>
        </w:tc>
      </w:tr>
      <w:tr>
        <w:trPr>
          <w:cantSplit/>
        </w:trPr>
        <w:tc>
          <w:tcPr>
            <w:tcW w:w="2000" w:type="dxa"/>
            <w:vAlign w:val="center"/>
          </w:tcPr>
          <w:p>
            <w:pPr>
              <w:keepNext/>
              <w:spacing w:before="0" w:after="0" w:line="240" w:lineRule="auto"/>
              <w:jc w:val="left"/>
            </w:pPr>
            <w:r>
              <w:rPr>
                <w:sz w:val="18"/>
                <w:szCs w:val="18"/>
              </w:rPr>
              <w:t xml:space="preserve">Bearing wear</w:t>
            </w:r>
          </w:p>
        </w:tc>
        <w:tc>
          <w:tcPr>
            <w:tcW w:w="4600" w:type="dxa"/>
            <w:vAlign w:val="center"/>
          </w:tcPr>
          <w:p>
            <w:pPr>
              <w:keepNext/>
              <w:spacing w:before="0" w:after="0" w:line="240" w:lineRule="auto"/>
              <w:jc w:val="left"/>
            </w:pPr>
            <w:r>
              <w:rPr>
                <w:sz w:val="18"/>
                <w:szCs w:val="18"/>
              </w:rPr>
              <w:t xml:space="preserve">Current above model at steady speed; vibration rising</w:t>
            </w:r>
          </w:p>
        </w:tc>
        <w:tc>
          <w:tcPr>
            <w:tcW w:w="3840" w:type="dxa"/>
            <w:vAlign w:val="center"/>
          </w:tcPr>
          <w:p>
            <w:pPr>
              <w:keepNext/>
              <w:spacing w:before="0" w:after="0" w:line="240" w:lineRule="auto"/>
              <w:jc w:val="left"/>
            </w:pPr>
            <w:r>
              <w:rPr>
                <w:sz w:val="18"/>
                <w:szCs w:val="18"/>
              </w:rPr>
              <w:t xml:space="preserve">Health index, SPC, RUL, work order</w:t>
            </w:r>
          </w:p>
        </w:tc>
      </w:tr>
      <w:tr>
        <w:trPr>
          <w:cantSplit/>
        </w:trPr>
        <w:tc>
          <w:tcPr>
            <w:tcW w:w="2000" w:type="dxa"/>
            <w:vAlign w:val="center"/>
          </w:tcPr>
          <w:p>
            <w:pPr>
              <w:keepNext/>
              <w:spacing w:before="0" w:after="0" w:line="240" w:lineRule="auto"/>
              <w:jc w:val="left"/>
            </w:pPr>
            <w:r>
              <w:rPr>
                <w:sz w:val="18"/>
                <w:szCs w:val="18"/>
              </w:rPr>
              <w:t xml:space="preserve">Over-temperature</w:t>
            </w:r>
          </w:p>
        </w:tc>
        <w:tc>
          <w:tcPr>
            <w:tcW w:w="4600" w:type="dxa"/>
            <w:vAlign w:val="center"/>
          </w:tcPr>
          <w:p>
            <w:pPr>
              <w:keepNext/>
              <w:spacing w:before="0" w:after="0" w:line="240" w:lineRule="auto"/>
              <w:jc w:val="left"/>
            </w:pPr>
            <w:r>
              <w:rPr>
                <w:sz w:val="18"/>
                <w:szCs w:val="18"/>
              </w:rPr>
              <w:t xml:space="preserve">First-order forecast of winding temperature</w:t>
            </w:r>
          </w:p>
        </w:tc>
        <w:tc>
          <w:tcPr>
            <w:tcW w:w="3840" w:type="dxa"/>
            <w:vAlign w:val="center"/>
          </w:tcPr>
          <w:p>
            <w:pPr>
              <w:keepNext/>
              <w:spacing w:before="0" w:after="0" w:line="240" w:lineRule="auto"/>
              <w:jc w:val="left"/>
            </w:pPr>
            <w:r>
              <w:rPr>
                <w:sz w:val="18"/>
                <w:szCs w:val="18"/>
              </w:rPr>
              <w:t xml:space="preserve">Time-to-trip, safe-speed advisory</w:t>
            </w:r>
          </w:p>
        </w:tc>
      </w:tr>
    </w:tbl>
    <w:p>
      <w:pPr>
        <w:spacing w:before="0" w:after="120" w:line="259" w:lineRule="auto"/>
        <w:jc w:val="center"/>
      </w:pPr>
      <w:r>
        <w:rPr>
          <w:i/>
          <w:sz w:val="18"/>
          <w:szCs w:val="18"/>
        </w:rPr>
        <w:t xml:space="preserve">Table 2 — Rule-based fault signatures and the twin's response.</w:t>
      </w:r>
    </w:p>
    <w:p>
      <w:pPr>
        <w:keepNext/>
        <w:spacing w:before="120" w:after="40" w:line="259" w:lineRule="auto"/>
        <w:jc w:val="left"/>
      </w:pPr>
      <w:r>
        <w:rPr>
          <w:b/>
          <w:sz w:val="23"/>
          <w:szCs w:val="23"/>
        </w:rPr>
        <w:t xml:space="preserve">2.5 Learned anomaly model</w:t>
      </w:r>
    </w:p>
    <w:p>
      <w:pPr>
        <w:spacing w:before="0" w:after="70" w:line="259" w:lineRule="auto"/>
        <w:jc w:val="both"/>
      </w:pPr>
      <w:r>
        <w:rPr>
          <w:sz w:val="21"/>
          <w:szCs w:val="21"/>
        </w:rPr>
        <w:t xml:space="preserve">Rules only catch faults someone anticipated. A data-driven detector therefore learns normal behaviour from ten raw signals (motor current, PWM duty, belt speed, four photo-eye occupancies and three zone transit ratios), sampled every 2 s. After 80 s of healthy running, </w:t>
      </w:r>
      <w:r>
        <w:rPr>
          <w:b/>
          <w:sz w:val="21"/>
          <w:szCs w:val="21"/>
        </w:rPr>
        <w:t xml:space="preserve">principal component analysis</w:t>
      </w:r>
      <w:r>
        <w:rPr>
          <w:sz w:val="21"/>
          <w:szCs w:val="21"/>
        </w:rPr>
        <w:t xml:space="preserve"> keeps the components explaining 90 % of the variance. Each new sample is scored with </w:t>
      </w:r>
      <w:r>
        <w:rPr>
          <w:b/>
          <w:sz w:val="21"/>
          <w:szCs w:val="21"/>
        </w:rPr>
        <w:t xml:space="preserve">Hotelling's T²</w:t>
      </w:r>
      <w:r>
        <w:rPr>
          <w:sz w:val="21"/>
          <w:szCs w:val="21"/>
        </w:rPr>
        <w:t xml:space="preserve"> (unusual combination inside the normal subspace) and the </w:t>
      </w:r>
      <w:r>
        <w:rPr>
          <w:b/>
          <w:sz w:val="21"/>
          <w:szCs w:val="21"/>
        </w:rPr>
        <w:t xml:space="preserve">Q statistic</w:t>
      </w:r>
      <w:r>
        <w:rPr>
          <w:sz w:val="21"/>
          <w:szCs w:val="21"/>
        </w:rPr>
        <w:t xml:space="preserve"> (variation the model cannot explain); limits come from the χ² distribution and the training residuals, and four consecutive exceedances raise an anomaly. A contribution analysis names the signal — and therefore the asset — responsible. One model is learned per speed setpoint.</w:t>
      </w:r>
    </w:p>
    <w:p>
      <w:pPr>
        <w:keepNext/>
        <w:spacing w:before="120" w:after="40" w:line="259" w:lineRule="auto"/>
        <w:jc w:val="left"/>
      </w:pPr>
      <w:r>
        <w:rPr>
          <w:b/>
          <w:sz w:val="23"/>
          <w:szCs w:val="23"/>
        </w:rPr>
        <w:t xml:space="preserve">2.6 Five-camera vision inspection — basis for acceptance and rejection</w:t>
      </w:r>
    </w:p>
    <w:p>
      <w:pPr>
        <w:spacing w:before="0" w:after="70" w:line="259" w:lineRule="auto"/>
        <w:jc w:val="both"/>
      </w:pPr>
      <w:r>
        <w:rPr>
          <w:sz w:val="21"/>
          <w:szCs w:val="21"/>
        </w:rPr>
        <w:t xml:space="preserve">Defects can occur on any carton face, so the inspection station is a tunnel of five cameras triggered together by PE-201. Each camera image (128 × 96 px) is processed with an explainable HSV colour pipeline, and the five verdicts are fused (Table 3).</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2300"/>
        <w:gridCol w:w="8140"/>
      </w:tblGrid>
      <w:tr>
        <w:trPr>
          <w:cantSplit/>
          <w:tblHeader/>
        </w:trPr>
        <w:tc>
          <w:tcPr>
            <w:tcW w:w="2300" w:type="dxa"/>
            <w:shd w:val="clear" w:color="auto" w:fill="F2F2F2"/>
            <w:vAlign w:val="center"/>
          </w:tcPr>
          <w:p>
            <w:pPr>
              <w:keepNext/>
              <w:spacing w:before="0" w:after="0" w:line="240" w:lineRule="auto"/>
              <w:jc w:val="left"/>
            </w:pPr>
            <w:r>
              <w:rPr>
                <w:b/>
                <w:sz w:val="18"/>
                <w:szCs w:val="18"/>
              </w:rPr>
              <w:t xml:space="preserve">Step</w:t>
            </w:r>
          </w:p>
        </w:tc>
        <w:tc>
          <w:tcPr>
            <w:tcW w:w="8140" w:type="dxa"/>
            <w:shd w:val="clear" w:color="auto" w:fill="F2F2F2"/>
            <w:vAlign w:val="center"/>
          </w:tcPr>
          <w:p>
            <w:pPr>
              <w:keepNext/>
              <w:spacing w:before="0" w:after="0" w:line="240" w:lineRule="auto"/>
              <w:jc w:val="center"/>
            </w:pPr>
            <w:r>
              <w:rPr>
                <w:b/>
                <w:sz w:val="18"/>
                <w:szCs w:val="18"/>
              </w:rPr>
              <w:t xml:space="preserve">Rule</w:t>
            </w:r>
          </w:p>
        </w:tc>
      </w:tr>
      <w:tr>
        <w:trPr>
          <w:cantSplit/>
        </w:trPr>
        <w:tc>
          <w:tcPr>
            <w:tcW w:w="2300" w:type="dxa"/>
            <w:vAlign w:val="center"/>
          </w:tcPr>
          <w:p>
            <w:pPr>
              <w:keepNext/>
              <w:spacing w:before="0" w:after="0" w:line="240" w:lineRule="auto"/>
              <w:jc w:val="left"/>
            </w:pPr>
            <w:r>
              <w:rPr>
                <w:sz w:val="18"/>
                <w:szCs w:val="18"/>
              </w:rPr>
              <w:t xml:space="preserve">1. Segment carton</w:t>
            </w:r>
          </w:p>
        </w:tc>
        <w:tc>
          <w:tcPr>
            <w:tcW w:w="8140" w:type="dxa"/>
            <w:vAlign w:val="center"/>
          </w:tcPr>
          <w:p>
            <w:pPr>
              <w:keepNext/>
              <w:spacing w:before="0" w:after="0" w:line="240" w:lineRule="auto"/>
              <w:jc w:val="left"/>
            </w:pPr>
            <w:r>
              <w:rPr>
                <w:sz w:val="18"/>
                <w:szCs w:val="18"/>
              </w:rPr>
              <w:t xml:space="preserve">Cardboard colour: hue 15–50°, saturation &gt; 0.28, value &gt; 0.15</w:t>
            </w:r>
          </w:p>
        </w:tc>
      </w:tr>
      <w:tr>
        <w:trPr>
          <w:cantSplit/>
        </w:trPr>
        <w:tc>
          <w:tcPr>
            <w:tcW w:w="2300" w:type="dxa"/>
            <w:vAlign w:val="center"/>
          </w:tcPr>
          <w:p>
            <w:pPr>
              <w:keepNext/>
              <w:spacing w:before="0" w:after="0" w:line="240" w:lineRule="auto"/>
              <w:jc w:val="left"/>
            </w:pPr>
            <w:r>
              <w:rPr>
                <w:sz w:val="18"/>
                <w:szCs w:val="18"/>
              </w:rPr>
              <w:t xml:space="preserve">2. Detect defects</w:t>
            </w:r>
          </w:p>
        </w:tc>
        <w:tc>
          <w:tcPr>
            <w:tcW w:w="8140" w:type="dxa"/>
            <w:vAlign w:val="center"/>
          </w:tcPr>
          <w:p>
            <w:pPr>
              <w:keepNext/>
              <w:spacing w:before="0" w:after="0" w:line="240" w:lineRule="auto"/>
              <w:jc w:val="left"/>
            </w:pPr>
            <w:r>
              <w:rPr>
                <w:sz w:val="18"/>
                <w:szCs w:val="18"/>
              </w:rPr>
              <w:t xml:space="preserve">Inside the carton outline — red (hue &lt; 14° or &gt; 340°) = wrong label; blue (hue 190–265°) = ink contamination</w:t>
            </w:r>
          </w:p>
        </w:tc>
      </w:tr>
      <w:tr>
        <w:trPr>
          <w:cantSplit/>
        </w:trPr>
        <w:tc>
          <w:tcPr>
            <w:tcW w:w="2300" w:type="dxa"/>
            <w:vAlign w:val="center"/>
          </w:tcPr>
          <w:p>
            <w:pPr>
              <w:keepNext/>
              <w:spacing w:before="0" w:after="0" w:line="240" w:lineRule="auto"/>
              <w:jc w:val="left"/>
            </w:pPr>
            <w:r>
              <w:rPr>
                <w:sz w:val="18"/>
                <w:szCs w:val="18"/>
              </w:rPr>
              <w:t xml:space="preserve">3. Verdict per camera</w:t>
            </w:r>
          </w:p>
        </w:tc>
        <w:tc>
          <w:tcPr>
            <w:tcW w:w="8140" w:type="dxa"/>
            <w:vAlign w:val="center"/>
          </w:tcPr>
          <w:p>
            <w:pPr>
              <w:keepNext/>
              <w:spacing w:before="0" w:after="0" w:line="240" w:lineRule="auto"/>
              <w:jc w:val="left"/>
            </w:pPr>
            <w:r>
              <w:rPr>
                <w:sz w:val="18"/>
                <w:szCs w:val="18"/>
              </w:rPr>
              <w:t xml:space="preserve">DEFECT if defect pixels &gt; 5 % of carton area; NO_READ if image dark or carton &lt; 3 % of frame; otherwise GOOD</w:t>
            </w:r>
          </w:p>
        </w:tc>
      </w:tr>
      <w:tr>
        <w:trPr>
          <w:cantSplit/>
        </w:trPr>
        <w:tc>
          <w:tcPr>
            <w:tcW w:w="2300" w:type="dxa"/>
            <w:vAlign w:val="center"/>
          </w:tcPr>
          <w:p>
            <w:pPr>
              <w:keepNext/>
              <w:spacing w:before="0" w:after="0" w:line="240" w:lineRule="auto"/>
              <w:jc w:val="left"/>
            </w:pPr>
            <w:r>
              <w:rPr>
                <w:sz w:val="18"/>
                <w:szCs w:val="18"/>
              </w:rPr>
              <w:t xml:space="preserve">4. Fusion</w:t>
            </w:r>
          </w:p>
        </w:tc>
        <w:tc>
          <w:tcPr>
            <w:tcW w:w="8140" w:type="dxa"/>
            <w:vAlign w:val="center"/>
          </w:tcPr>
          <w:p>
            <w:pPr>
              <w:keepNext/>
              <w:spacing w:before="0" w:after="0" w:line="240" w:lineRule="auto"/>
              <w:jc w:val="left"/>
            </w:pPr>
            <w:r>
              <w:rPr>
                <w:sz w:val="18"/>
                <w:szCs w:val="18"/>
              </w:rPr>
              <w:t xml:space="preserve">Any DEFECT → reject; any NO_READ → reject (fail-safe); all five GOOD → accept</w:t>
            </w:r>
          </w:p>
        </w:tc>
      </w:tr>
      <w:tr>
        <w:trPr>
          <w:cantSplit/>
        </w:trPr>
        <w:tc>
          <w:tcPr>
            <w:tcW w:w="2300" w:type="dxa"/>
            <w:vAlign w:val="center"/>
          </w:tcPr>
          <w:p>
            <w:pPr>
              <w:keepNext/>
              <w:spacing w:before="0" w:after="0" w:line="240" w:lineRule="auto"/>
              <w:jc w:val="left"/>
            </w:pPr>
            <w:r>
              <w:rPr>
                <w:sz w:val="18"/>
                <w:szCs w:val="18"/>
              </w:rPr>
              <w:t xml:space="preserve">5. PLC action</w:t>
            </w:r>
          </w:p>
        </w:tc>
        <w:tc>
          <w:tcPr>
            <w:tcW w:w="8140" w:type="dxa"/>
            <w:vAlign w:val="center"/>
          </w:tcPr>
          <w:p>
            <w:pPr>
              <w:keepNext/>
              <w:spacing w:before="0" w:after="0" w:line="240" w:lineRule="auto"/>
              <w:jc w:val="left"/>
            </w:pPr>
            <w:r>
              <w:rPr>
                <w:sz w:val="18"/>
                <w:szCs w:val="18"/>
              </w:rPr>
              <w:t xml:space="preserve">Verdict stored with the tracking ID; pusher YV-301 fires at PE-301 for every carton not confirmed GOOD</w:t>
            </w:r>
          </w:p>
        </w:tc>
      </w:tr>
    </w:tbl>
    <w:p>
      <w:pPr>
        <w:spacing w:before="0" w:after="120" w:line="259" w:lineRule="auto"/>
        <w:jc w:val="center"/>
      </w:pPr>
      <w:r>
        <w:rPr>
          <w:i/>
          <w:sz w:val="18"/>
          <w:szCs w:val="18"/>
        </w:rPr>
        <w:t xml:space="preserve">Table 3 — Accept/reject logic of the vision tunnel.</w:t>
      </w:r>
    </w:p>
    <w:p>
      <w:pPr>
        <w:keepNext/>
        <w:spacing w:before="120" w:after="40" w:line="259" w:lineRule="auto"/>
        <w:jc w:val="left"/>
      </w:pPr>
      <w:r>
        <w:rPr>
          <w:b/>
          <w:sz w:val="23"/>
          <w:szCs w:val="23"/>
        </w:rPr>
        <w:t xml:space="preserve">2.7 Predictive maintenance</w:t>
      </w:r>
    </w:p>
    <w:p>
      <w:pPr>
        <w:spacing w:before="0" w:after="70" w:line="259" w:lineRule="auto"/>
        <w:jc w:val="both"/>
      </w:pPr>
      <w:r>
        <w:rPr>
          <w:sz w:val="21"/>
          <w:szCs w:val="21"/>
        </w:rPr>
        <w:t xml:space="preserve">VT-001 is mounted on the drive-end bearing (6204 type: 8 balls, d = 7.94 mm, pitch diameter D = 33.5 mm). Each 1024-sample block is Hann-windowed, transformed with an FFT (2.5 Hz resolution) and integrated to velocity. The overall RMS velocity (10–1000 Hz) is classified on </w:t>
      </w:r>
      <w:r>
        <w:rPr>
          <w:b/>
          <w:sz w:val="21"/>
          <w:szCs w:val="21"/>
        </w:rPr>
        <w:t xml:space="preserve">ISO 10816-1</w:t>
      </w:r>
      <w:r>
        <w:rPr>
          <w:sz w:val="21"/>
          <w:szCs w:val="21"/>
        </w:rPr>
        <w:t xml:space="preserve"> class I zones: A ≤ 0.71, B ≤ 1.8, C ≤ 4.5 and D &gt; 4.5 mm/s. Bearing defect frequencies follow from geometry:</w:t>
      </w:r>
    </w:p>
    <w:p>
      <w:pPr>
        <w:spacing w:before="0" w:after="50" w:line="259" w:lineRule="auto"/>
        <w:jc w:val="center"/>
      </w:pPr>
      <w:r>
        <w:rPr>
          <w:i/>
          <w:sz w:val="21"/>
          <w:szCs w:val="21"/>
        </w:rPr>
        <w:t xml:space="preserve">BPFO = (n/2)·fᵣ·(1 − d/D) ≈ 3.05·fᵣ ,   BPFI = (n/2)·fᵣ·(1 + d/D) ≈ 4.95·fᵣ</w:t>
      </w:r>
      <w:r>
        <w:rPr>
          <w:sz w:val="21"/>
          <w:szCs w:val="21"/>
        </w:rPr>
        <w:t xml:space="preserve">	(4)</w:t>
      </w:r>
    </w:p>
    <w:p>
      <w:pPr>
        <w:spacing w:before="0" w:after="70" w:line="259" w:lineRule="auto"/>
        <w:jc w:val="both"/>
      </w:pPr>
      <w:r>
        <w:rPr>
          <w:sz w:val="21"/>
          <w:szCs w:val="21"/>
        </w:rPr>
        <w:t xml:space="preserve">Outer-race wear appears as BPFO and its harmonics rising above their healthy baseline. Entering zone C marks point </w:t>
      </w:r>
      <w:r>
        <w:rPr>
          <w:b/>
          <w:sz w:val="21"/>
          <w:szCs w:val="21"/>
        </w:rPr>
        <w:t xml:space="preserve">P</w:t>
      </w:r>
      <w:r>
        <w:rPr>
          <w:sz w:val="21"/>
          <w:szCs w:val="21"/>
        </w:rPr>
        <w:t xml:space="preserve"> (potential failure) and zone D point </w:t>
      </w:r>
      <w:r>
        <w:rPr>
          <w:b/>
          <w:sz w:val="21"/>
          <w:szCs w:val="21"/>
        </w:rPr>
        <w:t xml:space="preserve">F</w:t>
      </w:r>
      <w:r>
        <w:rPr>
          <w:sz w:val="21"/>
          <w:szCs w:val="21"/>
        </w:rPr>
        <w:t xml:space="preserve"> (functional failure) on the P-F curve. A linear trend fitted to the last minute is extrapolated to F to give the </w:t>
      </w:r>
      <w:r>
        <w:rPr>
          <w:b/>
          <w:sz w:val="21"/>
          <w:szCs w:val="21"/>
        </w:rPr>
        <w:t xml:space="preserve">remaining useful life</w:t>
      </w:r>
      <w:r>
        <w:rPr>
          <w:sz w:val="21"/>
          <w:szCs w:val="21"/>
        </w:rPr>
        <w:t xml:space="preserve"> with a ±2σ band; a predictive work order is raised when RUL falls below 150 s (demo-accelerated time). A cost model with Weibull wear-out (β = 2) compares reactive, time-based and predictive maintenance per bearing position.</w:t>
      </w:r>
    </w:p>
    <w:p>
      <w:pPr>
        <w:keepNext/>
        <w:spacing w:before="120" w:after="40" w:line="259" w:lineRule="auto"/>
        <w:jc w:val="left"/>
      </w:pPr>
      <w:r>
        <w:rPr>
          <w:b/>
          <w:sz w:val="23"/>
          <w:szCs w:val="23"/>
        </w:rPr>
        <w:t xml:space="preserve">2.8 HMI, analytics and validation</w:t>
      </w:r>
    </w:p>
    <w:p>
      <w:pPr>
        <w:spacing w:before="0" w:after="70" w:line="259" w:lineRule="auto"/>
        <w:jc w:val="both"/>
      </w:pPr>
      <w:r>
        <w:rPr>
          <w:sz w:val="21"/>
          <w:szCs w:val="21"/>
        </w:rPr>
        <w:t xml:space="preserve">The HMI follows </w:t>
      </w:r>
      <w:r>
        <w:rPr>
          <w:b/>
          <w:sz w:val="21"/>
          <w:szCs w:val="21"/>
        </w:rPr>
        <w:t xml:space="preserve">ISA-101</w:t>
      </w:r>
      <w:r>
        <w:rPr>
          <w:sz w:val="21"/>
          <w:szCs w:val="21"/>
        </w:rPr>
        <w:t xml:space="preserve">: grey for normal operation, colour only for abnormal states, and shape-coded alarm priorities managed to </w:t>
      </w:r>
      <w:r>
        <w:rPr>
          <w:b/>
          <w:sz w:val="21"/>
          <w:szCs w:val="21"/>
        </w:rPr>
        <w:t xml:space="preserve">ISA-18.2</w:t>
      </w:r>
      <w:r>
        <w:rPr>
          <w:sz w:val="21"/>
          <w:szCs w:val="21"/>
        </w:rPr>
        <w:t xml:space="preserve"> (unacknowledged, acknowledged, returned-to-normal). It provides OEE (availability × performance × quality), energy per carton, SPC charts with Western Electric rules, a 10-minute time-travel replay, and a what-if engine that runs a private copy of the plant about 10 000× faster than real time; the optimiser sweeps 0.15–0.45 m/s with it and keeps the motor below 80 °C. Finally, a </w:t>
      </w:r>
      <w:r>
        <w:rPr>
          <w:b/>
          <w:sz w:val="21"/>
          <w:szCs w:val="21"/>
        </w:rPr>
        <w:t xml:space="preserve">validation benchmark</w:t>
      </w:r>
      <w:r>
        <w:rPr>
          <w:sz w:val="21"/>
          <w:szCs w:val="21"/>
        </w:rPr>
        <w:t xml:space="preserve"> drives the same twin pipeline against headless plant copies with randomised faults and measures detection rate, time to detect, diagnosis accuracy and false alarms.</w:t>
      </w:r>
    </w:p>
    <w:p>
      <w:pPr>
        <w:keepNext/>
        <w:spacing w:before="120" w:after="40" w:line="259" w:lineRule="auto"/>
        <w:jc w:val="left"/>
      </w:pPr>
      <w:r>
        <w:rPr>
          <w:b/>
          <w:sz w:val="23"/>
          <w:szCs w:val="23"/>
        </w:rPr>
        <w:t xml:space="preserve">2.9 Tools and technologies</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2600"/>
        <w:gridCol w:w="7840"/>
      </w:tblGrid>
      <w:tr>
        <w:trPr>
          <w:cantSplit/>
          <w:tblHeader/>
        </w:trPr>
        <w:tc>
          <w:tcPr>
            <w:tcW w:w="2600" w:type="dxa"/>
            <w:shd w:val="clear" w:color="auto" w:fill="F2F2F2"/>
            <w:vAlign w:val="center"/>
          </w:tcPr>
          <w:p>
            <w:pPr>
              <w:keepNext/>
              <w:spacing w:before="0" w:after="0" w:line="240" w:lineRule="auto"/>
              <w:jc w:val="left"/>
            </w:pPr>
            <w:r>
              <w:rPr>
                <w:b/>
                <w:sz w:val="18"/>
                <w:szCs w:val="18"/>
              </w:rPr>
              <w:t xml:space="preserve">Layer</w:t>
            </w:r>
          </w:p>
        </w:tc>
        <w:tc>
          <w:tcPr>
            <w:tcW w:w="7840" w:type="dxa"/>
            <w:shd w:val="clear" w:color="auto" w:fill="F2F2F2"/>
            <w:vAlign w:val="center"/>
          </w:tcPr>
          <w:p>
            <w:pPr>
              <w:keepNext/>
              <w:spacing w:before="0" w:after="0" w:line="240" w:lineRule="auto"/>
              <w:jc w:val="center"/>
            </w:pPr>
            <w:r>
              <w:rPr>
                <w:b/>
                <w:sz w:val="18"/>
                <w:szCs w:val="18"/>
              </w:rPr>
              <w:t xml:space="preserve">Technology</w:t>
            </w:r>
          </w:p>
        </w:tc>
      </w:tr>
      <w:tr>
        <w:trPr>
          <w:cantSplit/>
        </w:trPr>
        <w:tc>
          <w:tcPr>
            <w:tcW w:w="2600" w:type="dxa"/>
            <w:vAlign w:val="center"/>
          </w:tcPr>
          <w:p>
            <w:pPr>
              <w:keepNext/>
              <w:spacing w:before="0" w:after="0" w:line="240" w:lineRule="auto"/>
              <w:jc w:val="left"/>
            </w:pPr>
            <w:r>
              <w:rPr>
                <w:sz w:val="18"/>
                <w:szCs w:val="18"/>
              </w:rPr>
              <w:t xml:space="preserve">Language and build</w:t>
            </w:r>
          </w:p>
        </w:tc>
        <w:tc>
          <w:tcPr>
            <w:tcW w:w="7840" w:type="dxa"/>
            <w:vAlign w:val="center"/>
          </w:tcPr>
          <w:p>
            <w:pPr>
              <w:keepNext/>
              <w:spacing w:before="0" w:after="0" w:line="240" w:lineRule="auto"/>
              <w:jc w:val="left"/>
            </w:pPr>
            <w:r>
              <w:rPr>
                <w:sz w:val="18"/>
                <w:szCs w:val="18"/>
              </w:rPr>
              <w:t xml:space="preserve">TypeScript 5.6, Vite 5 with single-file packaging, Terser minification</w:t>
            </w:r>
          </w:p>
        </w:tc>
      </w:tr>
      <w:tr>
        <w:trPr>
          <w:cantSplit/>
        </w:trPr>
        <w:tc>
          <w:tcPr>
            <w:tcW w:w="2600" w:type="dxa"/>
            <w:vAlign w:val="center"/>
          </w:tcPr>
          <w:p>
            <w:pPr>
              <w:keepNext/>
              <w:spacing w:before="0" w:after="0" w:line="240" w:lineRule="auto"/>
              <w:jc w:val="left"/>
            </w:pPr>
            <w:r>
              <w:rPr>
                <w:sz w:val="18"/>
                <w:szCs w:val="18"/>
              </w:rPr>
              <w:t xml:space="preserve">3D visualisation</w:t>
            </w:r>
          </w:p>
        </w:tc>
        <w:tc>
          <w:tcPr>
            <w:tcW w:w="7840" w:type="dxa"/>
            <w:vAlign w:val="center"/>
          </w:tcPr>
          <w:p>
            <w:pPr>
              <w:keepNext/>
              <w:spacing w:before="0" w:after="0" w:line="240" w:lineRule="auto"/>
              <w:jc w:val="left"/>
            </w:pPr>
            <w:r>
              <w:rPr>
                <w:sz w:val="18"/>
                <w:szCs w:val="18"/>
              </w:rPr>
              <w:t xml:space="preserve">Three.js r169 (WebGL), CSS2D labels; off-screen rendering for the camera tunnel</w:t>
            </w:r>
          </w:p>
        </w:tc>
      </w:tr>
      <w:tr>
        <w:trPr>
          <w:cantSplit/>
        </w:trPr>
        <w:tc>
          <w:tcPr>
            <w:tcW w:w="2600" w:type="dxa"/>
            <w:vAlign w:val="center"/>
          </w:tcPr>
          <w:p>
            <w:pPr>
              <w:keepNext/>
              <w:spacing w:before="0" w:after="0" w:line="240" w:lineRule="auto"/>
              <w:jc w:val="left"/>
            </w:pPr>
            <w:r>
              <w:rPr>
                <w:sz w:val="18"/>
                <w:szCs w:val="18"/>
              </w:rPr>
              <w:t xml:space="preserve">Charts</w:t>
            </w:r>
          </w:p>
        </w:tc>
        <w:tc>
          <w:tcPr>
            <w:tcW w:w="7840" w:type="dxa"/>
            <w:vAlign w:val="center"/>
          </w:tcPr>
          <w:p>
            <w:pPr>
              <w:keepNext/>
              <w:spacing w:before="0" w:after="0" w:line="240" w:lineRule="auto"/>
              <w:jc w:val="left"/>
            </w:pPr>
            <w:r>
              <w:rPr>
                <w:sz w:val="18"/>
                <w:szCs w:val="18"/>
              </w:rPr>
              <w:t xml:space="preserve">uPlot 1.6 (trends, SPC, spectrum, P-F curve)</w:t>
            </w:r>
          </w:p>
        </w:tc>
      </w:tr>
      <w:tr>
        <w:trPr>
          <w:cantSplit/>
        </w:trPr>
        <w:tc>
          <w:tcPr>
            <w:tcW w:w="2600" w:type="dxa"/>
            <w:vAlign w:val="center"/>
          </w:tcPr>
          <w:p>
            <w:pPr>
              <w:keepNext/>
              <w:spacing w:before="0" w:after="0" w:line="240" w:lineRule="auto"/>
              <w:jc w:val="left"/>
            </w:pPr>
            <w:r>
              <w:rPr>
                <w:sz w:val="18"/>
                <w:szCs w:val="18"/>
              </w:rPr>
              <w:t xml:space="preserve">Concurrency</w:t>
            </w:r>
          </w:p>
        </w:tc>
        <w:tc>
          <w:tcPr>
            <w:tcW w:w="7840" w:type="dxa"/>
            <w:vAlign w:val="center"/>
          </w:tcPr>
          <w:p>
            <w:pPr>
              <w:keepNext/>
              <w:spacing w:before="0" w:after="0" w:line="240" w:lineRule="auto"/>
              <w:jc w:val="left"/>
            </w:pPr>
            <w:r>
              <w:rPr>
                <w:sz w:val="18"/>
                <w:szCs w:val="18"/>
              </w:rPr>
              <w:t xml:space="preserve">Web Worker for the virtual plant; message-based plant link</w:t>
            </w:r>
          </w:p>
        </w:tc>
      </w:tr>
      <w:tr>
        <w:trPr>
          <w:cantSplit/>
        </w:trPr>
        <w:tc>
          <w:tcPr>
            <w:tcW w:w="2600" w:type="dxa"/>
            <w:vAlign w:val="center"/>
          </w:tcPr>
          <w:p>
            <w:pPr>
              <w:keepNext/>
              <w:spacing w:before="0" w:after="0" w:line="240" w:lineRule="auto"/>
              <w:jc w:val="left"/>
            </w:pPr>
            <w:r>
              <w:rPr>
                <w:sz w:val="18"/>
                <w:szCs w:val="18"/>
              </w:rPr>
              <w:t xml:space="preserve">Version control</w:t>
            </w:r>
          </w:p>
        </w:tc>
        <w:tc>
          <w:tcPr>
            <w:tcW w:w="7840" w:type="dxa"/>
            <w:vAlign w:val="center"/>
          </w:tcPr>
          <w:p>
            <w:pPr>
              <w:keepNext/>
              <w:spacing w:before="0" w:after="0" w:line="240" w:lineRule="auto"/>
              <w:jc w:val="left"/>
            </w:pPr>
            <w:r>
              <w:rPr>
                <w:sz w:val="18"/>
                <w:szCs w:val="18"/>
              </w:rPr>
              <w:t xml:space="preserve">Git and GitHub (public repository, MIT licence)</w:t>
            </w:r>
          </w:p>
        </w:tc>
      </w:tr>
    </w:tbl>
    <w:p>
      <w:pPr>
        <w:spacing w:before="0" w:after="120" w:line="259" w:lineRule="auto"/>
        <w:jc w:val="center"/>
      </w:pPr>
      <w:r>
        <w:rPr>
          <w:i/>
          <w:sz w:val="18"/>
          <w:szCs w:val="18"/>
        </w:rPr>
        <w:t xml:space="preserve">Table 4 — Technology stack.</w:t>
      </w:r>
    </w:p>
    <w:p>
      <w:pPr>
        <w:keepNext/>
        <w:spacing w:before="200" w:after="80" w:line="259" w:lineRule="auto"/>
        <w:jc w:val="left"/>
      </w:pPr>
      <w:r>
        <w:rPr>
          <w:b/>
          <w:color w:val="B7202E"/>
          <w:sz w:val="28"/>
          <w:szCs w:val="28"/>
        </w:rPr>
        <w:t xml:space="preserve">3. RESULTS</w:t>
      </w:r>
    </w:p>
    <w:p>
      <w:pPr>
        <w:keepNext/>
        <w:spacing w:before="120" w:after="40" w:line="259" w:lineRule="auto"/>
        <w:jc w:val="left"/>
      </w:pPr>
      <w:r>
        <w:rPr>
          <w:b/>
          <w:sz w:val="23"/>
          <w:szCs w:val="23"/>
        </w:rPr>
        <w:t xml:space="preserve">3.1 Working digital twin</w:t>
      </w:r>
    </w:p>
    <w:p>
      <w:pPr>
        <w:spacing w:before="0" w:after="70" w:line="259" w:lineRule="auto"/>
        <w:jc w:val="both"/>
      </w:pPr>
      <w:r>
        <w:rPr>
          <w:sz w:val="21"/>
          <w:szCs w:val="21"/>
        </w:rPr>
        <w:t xml:space="preserve">The complete twin runs in a browser from a single offline HTML file (≈ 217 KB compressed). Figure 2 shows the operator screen: PackML commands, live 3D model with device tags, the camera tunnel inset, the 2D line overview with plant cartons (filled) and twin estimates (outlined), trends and alarms. The plant link sustained 25 Hz with latency below 10 ms; in a steady run at 0.30 m/s the twin's motor model matched the measured current within 0.03 A, and OEE settled at 62 % (availability 100 %, performance 67 %, quality 93 %) at 34.7 J per good carton.</w:t>
      </w:r>
    </w:p>
    <w:p>
      <w:pPr>
        <w:keepNext/>
        <w:spacing w:before="0" w:after="30" w:line="259" w:lineRule="auto"/>
        <w:jc w:val="center"/>
      </w:pPr>
      <w:r>
        <w:drawing>
          <wp:inline distT="0" distB="0" distL="0" distR="0">
            <wp:extent cx="5940000" cy="3340800"/>
            <wp:docPr id="9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rep1.jpg"/>
                    <pic:cNvPicPr/>
                  </pic:nvPicPr>
                  <pic:blipFill>
                    <a:blip r:embed="rIdR1"/>
                    <a:stretch>
                      <a:fillRect/>
                    </a:stretch>
                  </pic:blipFill>
                  <pic:spPr>
                    <a:xfrm>
                      <a:off x="0" y="0"/>
                      <a:ext cx="5940000" cy="3340800"/>
                    </a:xfrm>
                    <a:prstGeom prst="rect">
                      <a:avLst/>
                    </a:prstGeom>
                  </pic:spPr>
                </pic:pic>
              </a:graphicData>
            </a:graphic>
          </wp:inline>
        </w:drawing>
      </w:r>
    </w:p>
    <w:p>
      <w:pPr>
        <w:spacing w:before="0" w:after="120" w:line="259" w:lineRule="auto"/>
        <w:jc w:val="center"/>
      </w:pPr>
      <w:r>
        <w:rPr>
          <w:i/>
          <w:sz w:val="18"/>
          <w:szCs w:val="18"/>
        </w:rPr>
        <w:t xml:space="preserve">Figure 2 — Operator screen of the digital twin (light ISA-101 theme).</w:t>
      </w:r>
    </w:p>
    <w:p>
      <w:pPr>
        <w:keepNext/>
        <w:spacing w:before="120" w:after="40" w:line="259" w:lineRule="auto"/>
        <w:jc w:val="left"/>
      </w:pPr>
      <w:r>
        <w:rPr>
          <w:b/>
          <w:sz w:val="23"/>
          <w:szCs w:val="23"/>
        </w:rPr>
        <w:t xml:space="preserve">3.2 Fault detection and diagnosis</w:t>
      </w:r>
    </w:p>
    <w:p>
      <w:pPr>
        <w:spacing w:before="0" w:after="70" w:line="259" w:lineRule="auto"/>
        <w:jc w:val="both"/>
      </w:pPr>
      <w:r>
        <w:rPr>
          <w:sz w:val="21"/>
          <w:szCs w:val="21"/>
        </w:rPr>
        <w:t xml:space="preserve">The validation benchmark injected each fault 20 times with random magnitude, onset time and operating speed (0.25–0.35 m/s) and observed 40 minutes of healthy running (Table 5).</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2840"/>
        <w:gridCol w:w="1500"/>
        <w:gridCol w:w="1200"/>
        <w:gridCol w:w="1700"/>
        <w:gridCol w:w="1700"/>
        <w:gridCol w:w="1500"/>
      </w:tblGrid>
      <w:tr>
        <w:trPr>
          <w:cantSplit/>
          <w:tblHeader/>
        </w:trPr>
        <w:tc>
          <w:tcPr>
            <w:tcW w:w="2840" w:type="dxa"/>
            <w:shd w:val="clear" w:color="auto" w:fill="F2F2F2"/>
            <w:vAlign w:val="center"/>
          </w:tcPr>
          <w:p>
            <w:pPr>
              <w:keepNext/>
              <w:spacing w:before="0" w:after="0" w:line="240" w:lineRule="auto"/>
              <w:jc w:val="left"/>
            </w:pPr>
            <w:r>
              <w:rPr>
                <w:b/>
                <w:sz w:val="18"/>
                <w:szCs w:val="18"/>
              </w:rPr>
              <w:t xml:space="preserve">Injected fault</w:t>
            </w:r>
          </w:p>
        </w:tc>
        <w:tc>
          <w:tcPr>
            <w:tcW w:w="1500" w:type="dxa"/>
            <w:shd w:val="clear" w:color="auto" w:fill="F2F2F2"/>
            <w:vAlign w:val="center"/>
          </w:tcPr>
          <w:p>
            <w:pPr>
              <w:keepNext/>
              <w:spacing w:before="0" w:after="0" w:line="240" w:lineRule="auto"/>
              <w:jc w:val="center"/>
            </w:pPr>
            <w:r>
              <w:rPr>
                <w:b/>
                <w:sz w:val="18"/>
                <w:szCs w:val="18"/>
              </w:rPr>
              <w:t xml:space="preserve">Rules: detected</w:t>
            </w:r>
          </w:p>
        </w:tc>
        <w:tc>
          <w:tcPr>
            <w:tcW w:w="1200" w:type="dxa"/>
            <w:shd w:val="clear" w:color="auto" w:fill="F2F2F2"/>
            <w:vAlign w:val="center"/>
          </w:tcPr>
          <w:p>
            <w:pPr>
              <w:keepNext/>
              <w:spacing w:before="0" w:after="0" w:line="240" w:lineRule="auto"/>
              <w:jc w:val="center"/>
            </w:pPr>
            <w:r>
              <w:rPr>
                <w:b/>
                <w:sz w:val="18"/>
                <w:szCs w:val="18"/>
              </w:rPr>
              <w:t xml:space="preserve">Mean time</w:t>
            </w:r>
          </w:p>
        </w:tc>
        <w:tc>
          <w:tcPr>
            <w:tcW w:w="1700" w:type="dxa"/>
            <w:shd w:val="clear" w:color="auto" w:fill="F2F2F2"/>
            <w:vAlign w:val="center"/>
          </w:tcPr>
          <w:p>
            <w:pPr>
              <w:keepNext/>
              <w:spacing w:before="0" w:after="0" w:line="240" w:lineRule="auto"/>
              <w:jc w:val="center"/>
            </w:pPr>
            <w:r>
              <w:rPr>
                <w:b/>
                <w:sz w:val="18"/>
                <w:szCs w:val="18"/>
              </w:rPr>
              <w:t xml:space="preserve">Correct diagnosis</w:t>
            </w:r>
          </w:p>
        </w:tc>
        <w:tc>
          <w:tcPr>
            <w:tcW w:w="1700" w:type="dxa"/>
            <w:shd w:val="clear" w:color="auto" w:fill="F2F2F2"/>
            <w:vAlign w:val="center"/>
          </w:tcPr>
          <w:p>
            <w:pPr>
              <w:keepNext/>
              <w:spacing w:before="0" w:after="0" w:line="240" w:lineRule="auto"/>
              <w:jc w:val="center"/>
            </w:pPr>
            <w:r>
              <w:rPr>
                <w:b/>
                <w:sz w:val="18"/>
                <w:szCs w:val="18"/>
              </w:rPr>
              <w:t xml:space="preserve">Learned: detected</w:t>
            </w:r>
          </w:p>
        </w:tc>
        <w:tc>
          <w:tcPr>
            <w:tcW w:w="1500" w:type="dxa"/>
            <w:shd w:val="clear" w:color="auto" w:fill="F2F2F2"/>
            <w:vAlign w:val="center"/>
          </w:tcPr>
          <w:p>
            <w:pPr>
              <w:keepNext/>
              <w:spacing w:before="0" w:after="0" w:line="240" w:lineRule="auto"/>
              <w:jc w:val="center"/>
            </w:pPr>
            <w:r>
              <w:rPr>
                <w:b/>
                <w:sz w:val="18"/>
                <w:szCs w:val="18"/>
              </w:rPr>
              <w:t xml:space="preserve">Mean time</w:t>
            </w:r>
          </w:p>
        </w:tc>
      </w:tr>
      <w:tr>
        <w:trPr>
          <w:cantSplit/>
        </w:trPr>
        <w:tc>
          <w:tcPr>
            <w:tcW w:w="2840" w:type="dxa"/>
            <w:vAlign w:val="center"/>
          </w:tcPr>
          <w:p>
            <w:pPr>
              <w:keepNext/>
              <w:spacing w:before="0" w:after="0" w:line="240" w:lineRule="auto"/>
              <w:jc w:val="left"/>
            </w:pPr>
            <w:r>
              <w:rPr>
                <w:sz w:val="18"/>
                <w:szCs w:val="18"/>
              </w:rPr>
              <w:t xml:space="preserve">Belt slip 15–35 %</w:t>
            </w:r>
          </w:p>
        </w:tc>
        <w:tc>
          <w:tcPr>
            <w:tcW w:w="1500" w:type="dxa"/>
            <w:vAlign w:val="center"/>
          </w:tcPr>
          <w:p>
            <w:pPr>
              <w:keepNext/>
              <w:spacing w:before="0" w:after="0" w:line="240" w:lineRule="auto"/>
              <w:jc w:val="center"/>
            </w:pPr>
            <w:r>
              <w:rPr>
                <w:sz w:val="18"/>
                <w:szCs w:val="18"/>
              </w:rPr>
              <w:t xml:space="preserve">20/20</w:t>
            </w:r>
          </w:p>
        </w:tc>
        <w:tc>
          <w:tcPr>
            <w:tcW w:w="1200" w:type="dxa"/>
            <w:vAlign w:val="center"/>
          </w:tcPr>
          <w:p>
            <w:pPr>
              <w:keepNext/>
              <w:spacing w:before="0" w:after="0" w:line="240" w:lineRule="auto"/>
              <w:jc w:val="center"/>
            </w:pPr>
            <w:r>
              <w:rPr>
                <w:sz w:val="18"/>
                <w:szCs w:val="18"/>
              </w:rPr>
              <w:t xml:space="preserve">2.5 s</w:t>
            </w:r>
          </w:p>
        </w:tc>
        <w:tc>
          <w:tcPr>
            <w:tcW w:w="1700" w:type="dxa"/>
            <w:vAlign w:val="center"/>
          </w:tcPr>
          <w:p>
            <w:pPr>
              <w:keepNext/>
              <w:spacing w:before="0" w:after="0" w:line="240" w:lineRule="auto"/>
              <w:jc w:val="center"/>
            </w:pPr>
            <w:r>
              <w:rPr>
                <w:sz w:val="18"/>
                <w:szCs w:val="18"/>
              </w:rPr>
              <w:t xml:space="preserve">100 %</w:t>
            </w:r>
          </w:p>
        </w:tc>
        <w:tc>
          <w:tcPr>
            <w:tcW w:w="1700" w:type="dxa"/>
            <w:vAlign w:val="center"/>
          </w:tcPr>
          <w:p>
            <w:pPr>
              <w:keepNext/>
              <w:spacing w:before="0" w:after="0" w:line="240" w:lineRule="auto"/>
              <w:jc w:val="center"/>
            </w:pPr>
            <w:r>
              <w:rPr>
                <w:sz w:val="18"/>
                <w:szCs w:val="18"/>
              </w:rPr>
              <w:t xml:space="preserve">20/20</w:t>
            </w:r>
          </w:p>
        </w:tc>
        <w:tc>
          <w:tcPr>
            <w:tcW w:w="1500" w:type="dxa"/>
            <w:vAlign w:val="center"/>
          </w:tcPr>
          <w:p>
            <w:pPr>
              <w:keepNext/>
              <w:spacing w:before="0" w:after="0" w:line="240" w:lineRule="auto"/>
              <w:jc w:val="center"/>
            </w:pPr>
            <w:r>
              <w:rPr>
                <w:sz w:val="18"/>
                <w:szCs w:val="18"/>
              </w:rPr>
              <w:t xml:space="preserve">8.3 s</w:t>
            </w:r>
          </w:p>
        </w:tc>
      </w:tr>
      <w:tr>
        <w:trPr>
          <w:cantSplit/>
        </w:trPr>
        <w:tc>
          <w:tcPr>
            <w:tcW w:w="2840" w:type="dxa"/>
            <w:vAlign w:val="center"/>
          </w:tcPr>
          <w:p>
            <w:pPr>
              <w:keepNext/>
              <w:spacing w:before="0" w:after="0" w:line="240" w:lineRule="auto"/>
              <w:jc w:val="left"/>
            </w:pPr>
            <w:r>
              <w:rPr>
                <w:sz w:val="18"/>
                <w:szCs w:val="18"/>
              </w:rPr>
              <w:t xml:space="preserve">Jam in zone 2</w:t>
            </w:r>
          </w:p>
        </w:tc>
        <w:tc>
          <w:tcPr>
            <w:tcW w:w="1500" w:type="dxa"/>
            <w:vAlign w:val="center"/>
          </w:tcPr>
          <w:p>
            <w:pPr>
              <w:keepNext/>
              <w:spacing w:before="0" w:after="0" w:line="240" w:lineRule="auto"/>
              <w:jc w:val="center"/>
            </w:pPr>
            <w:r>
              <w:rPr>
                <w:sz w:val="18"/>
                <w:szCs w:val="18"/>
              </w:rPr>
              <w:t xml:space="preserve">20/20</w:t>
            </w:r>
          </w:p>
        </w:tc>
        <w:tc>
          <w:tcPr>
            <w:tcW w:w="1200" w:type="dxa"/>
            <w:vAlign w:val="center"/>
          </w:tcPr>
          <w:p>
            <w:pPr>
              <w:keepNext/>
              <w:spacing w:before="0" w:after="0" w:line="240" w:lineRule="auto"/>
              <w:jc w:val="center"/>
            </w:pPr>
            <w:r>
              <w:rPr>
                <w:sz w:val="18"/>
                <w:szCs w:val="18"/>
              </w:rPr>
              <w:t xml:space="preserve">2.4 s</w:t>
            </w:r>
          </w:p>
        </w:tc>
        <w:tc>
          <w:tcPr>
            <w:tcW w:w="1700" w:type="dxa"/>
            <w:vAlign w:val="center"/>
          </w:tcPr>
          <w:p>
            <w:pPr>
              <w:keepNext/>
              <w:spacing w:before="0" w:after="0" w:line="240" w:lineRule="auto"/>
              <w:jc w:val="center"/>
            </w:pPr>
            <w:r>
              <w:rPr>
                <w:sz w:val="18"/>
                <w:szCs w:val="18"/>
              </w:rPr>
              <w:t xml:space="preserve">100 %</w:t>
            </w:r>
          </w:p>
        </w:tc>
        <w:tc>
          <w:tcPr>
            <w:tcW w:w="1700" w:type="dxa"/>
            <w:vAlign w:val="center"/>
          </w:tcPr>
          <w:p>
            <w:pPr>
              <w:keepNext/>
              <w:spacing w:before="0" w:after="0" w:line="240" w:lineRule="auto"/>
              <w:jc w:val="center"/>
            </w:pPr>
            <w:r>
              <w:rPr>
                <w:sz w:val="18"/>
                <w:szCs w:val="18"/>
              </w:rPr>
              <w:t xml:space="preserve">0/20 *</w:t>
            </w:r>
          </w:p>
        </w:tc>
        <w:tc>
          <w:tcPr>
            <w:tcW w:w="1500" w:type="dxa"/>
            <w:vAlign w:val="center"/>
          </w:tcPr>
          <w:p>
            <w:pPr>
              <w:keepNext/>
              <w:spacing w:before="0" w:after="0" w:line="240" w:lineRule="auto"/>
              <w:jc w:val="center"/>
            </w:pPr>
            <w:r>
              <w:rPr>
                <w:sz w:val="18"/>
                <w:szCs w:val="18"/>
              </w:rPr>
              <w:t xml:space="preserve">—</w:t>
            </w:r>
          </w:p>
        </w:tc>
      </w:tr>
      <w:tr>
        <w:trPr>
          <w:cantSplit/>
        </w:trPr>
        <w:tc>
          <w:tcPr>
            <w:tcW w:w="2840" w:type="dxa"/>
            <w:vAlign w:val="center"/>
          </w:tcPr>
          <w:p>
            <w:pPr>
              <w:keepNext/>
              <w:spacing w:before="0" w:after="0" w:line="240" w:lineRule="auto"/>
              <w:jc w:val="left"/>
            </w:pPr>
            <w:r>
              <w:rPr>
                <w:sz w:val="18"/>
                <w:szCs w:val="18"/>
              </w:rPr>
              <w:t xml:space="preserve">Photo-eye failure</w:t>
            </w:r>
          </w:p>
        </w:tc>
        <w:tc>
          <w:tcPr>
            <w:tcW w:w="1500" w:type="dxa"/>
            <w:vAlign w:val="center"/>
          </w:tcPr>
          <w:p>
            <w:pPr>
              <w:keepNext/>
              <w:spacing w:before="0" w:after="0" w:line="240" w:lineRule="auto"/>
              <w:jc w:val="center"/>
            </w:pPr>
            <w:r>
              <w:rPr>
                <w:sz w:val="18"/>
                <w:szCs w:val="18"/>
              </w:rPr>
              <w:t xml:space="preserve">20/20</w:t>
            </w:r>
          </w:p>
        </w:tc>
        <w:tc>
          <w:tcPr>
            <w:tcW w:w="1200" w:type="dxa"/>
            <w:vAlign w:val="center"/>
          </w:tcPr>
          <w:p>
            <w:pPr>
              <w:keepNext/>
              <w:spacing w:before="0" w:after="0" w:line="240" w:lineRule="auto"/>
              <w:jc w:val="center"/>
            </w:pPr>
            <w:r>
              <w:rPr>
                <w:sz w:val="18"/>
                <w:szCs w:val="18"/>
              </w:rPr>
              <w:t xml:space="preserve">1.4 s</w:t>
            </w:r>
          </w:p>
        </w:tc>
        <w:tc>
          <w:tcPr>
            <w:tcW w:w="1700" w:type="dxa"/>
            <w:vAlign w:val="center"/>
          </w:tcPr>
          <w:p>
            <w:pPr>
              <w:keepNext/>
              <w:spacing w:before="0" w:after="0" w:line="240" w:lineRule="auto"/>
              <w:jc w:val="center"/>
            </w:pPr>
            <w:r>
              <w:rPr>
                <w:sz w:val="18"/>
                <w:szCs w:val="18"/>
              </w:rPr>
              <w:t xml:space="preserve">100 %</w:t>
            </w:r>
          </w:p>
        </w:tc>
        <w:tc>
          <w:tcPr>
            <w:tcW w:w="1700" w:type="dxa"/>
            <w:vAlign w:val="center"/>
          </w:tcPr>
          <w:p>
            <w:pPr>
              <w:keepNext/>
              <w:spacing w:before="0" w:after="0" w:line="240" w:lineRule="auto"/>
              <w:jc w:val="center"/>
            </w:pPr>
            <w:r>
              <w:rPr>
                <w:sz w:val="18"/>
                <w:szCs w:val="18"/>
              </w:rPr>
              <w:t xml:space="preserve">20/20</w:t>
            </w:r>
          </w:p>
        </w:tc>
        <w:tc>
          <w:tcPr>
            <w:tcW w:w="1500" w:type="dxa"/>
            <w:vAlign w:val="center"/>
          </w:tcPr>
          <w:p>
            <w:pPr>
              <w:keepNext/>
              <w:spacing w:before="0" w:after="0" w:line="240" w:lineRule="auto"/>
              <w:jc w:val="center"/>
            </w:pPr>
            <w:r>
              <w:rPr>
                <w:sz w:val="18"/>
                <w:szCs w:val="18"/>
              </w:rPr>
              <w:t xml:space="preserve">11.2 s</w:t>
            </w:r>
          </w:p>
        </w:tc>
      </w:tr>
      <w:tr>
        <w:trPr>
          <w:cantSplit/>
        </w:trPr>
        <w:tc>
          <w:tcPr>
            <w:tcW w:w="2840" w:type="dxa"/>
            <w:vAlign w:val="center"/>
          </w:tcPr>
          <w:p>
            <w:pPr>
              <w:keepNext/>
              <w:spacing w:before="0" w:after="0" w:line="240" w:lineRule="auto"/>
              <w:jc w:val="left"/>
            </w:pPr>
            <w:r>
              <w:rPr>
                <w:sz w:val="18"/>
                <w:szCs w:val="18"/>
              </w:rPr>
              <w:t xml:space="preserve">Bearing wear 50–100 %</w:t>
            </w:r>
          </w:p>
        </w:tc>
        <w:tc>
          <w:tcPr>
            <w:tcW w:w="1500" w:type="dxa"/>
            <w:vAlign w:val="center"/>
          </w:tcPr>
          <w:p>
            <w:pPr>
              <w:keepNext/>
              <w:spacing w:before="0" w:after="0" w:line="240" w:lineRule="auto"/>
              <w:jc w:val="center"/>
            </w:pPr>
            <w:r>
              <w:rPr>
                <w:sz w:val="18"/>
                <w:szCs w:val="18"/>
              </w:rPr>
              <w:t xml:space="preserve">20/20</w:t>
            </w:r>
          </w:p>
        </w:tc>
        <w:tc>
          <w:tcPr>
            <w:tcW w:w="1200" w:type="dxa"/>
            <w:vAlign w:val="center"/>
          </w:tcPr>
          <w:p>
            <w:pPr>
              <w:keepNext/>
              <w:spacing w:before="0" w:after="0" w:line="240" w:lineRule="auto"/>
              <w:jc w:val="center"/>
            </w:pPr>
            <w:r>
              <w:rPr>
                <w:sz w:val="18"/>
                <w:szCs w:val="18"/>
              </w:rPr>
              <w:t xml:space="preserve">11.5 s</w:t>
            </w:r>
          </w:p>
        </w:tc>
        <w:tc>
          <w:tcPr>
            <w:tcW w:w="1700" w:type="dxa"/>
            <w:vAlign w:val="center"/>
          </w:tcPr>
          <w:p>
            <w:pPr>
              <w:keepNext/>
              <w:spacing w:before="0" w:after="0" w:line="240" w:lineRule="auto"/>
              <w:jc w:val="center"/>
            </w:pPr>
            <w:r>
              <w:rPr>
                <w:sz w:val="18"/>
                <w:szCs w:val="18"/>
              </w:rPr>
              <w:t xml:space="preserve">100 %</w:t>
            </w:r>
          </w:p>
        </w:tc>
        <w:tc>
          <w:tcPr>
            <w:tcW w:w="1700" w:type="dxa"/>
            <w:vAlign w:val="center"/>
          </w:tcPr>
          <w:p>
            <w:pPr>
              <w:keepNext/>
              <w:spacing w:before="0" w:after="0" w:line="240" w:lineRule="auto"/>
              <w:jc w:val="center"/>
            </w:pPr>
            <w:r>
              <w:rPr>
                <w:sz w:val="18"/>
                <w:szCs w:val="18"/>
              </w:rPr>
              <w:t xml:space="preserve">20/20</w:t>
            </w:r>
          </w:p>
        </w:tc>
        <w:tc>
          <w:tcPr>
            <w:tcW w:w="1500" w:type="dxa"/>
            <w:vAlign w:val="center"/>
          </w:tcPr>
          <w:p>
            <w:pPr>
              <w:keepNext/>
              <w:spacing w:before="0" w:after="0" w:line="240" w:lineRule="auto"/>
              <w:jc w:val="center"/>
            </w:pPr>
            <w:r>
              <w:rPr>
                <w:sz w:val="18"/>
                <w:szCs w:val="18"/>
              </w:rPr>
              <w:t xml:space="preserve">8.4 s</w:t>
            </w:r>
          </w:p>
        </w:tc>
      </w:tr>
      <w:tr>
        <w:trPr>
          <w:cantSplit/>
        </w:trPr>
        <w:tc>
          <w:tcPr>
            <w:tcW w:w="2840" w:type="dxa"/>
            <w:vAlign w:val="center"/>
          </w:tcPr>
          <w:p>
            <w:pPr>
              <w:keepNext/>
              <w:spacing w:before="0" w:after="0" w:line="240" w:lineRule="auto"/>
              <w:jc w:val="left"/>
            </w:pPr>
            <w:r>
              <w:rPr>
                <w:sz w:val="18"/>
                <w:szCs w:val="18"/>
              </w:rPr>
              <w:t xml:space="preserve">Guide rub (no rule exists)</w:t>
            </w:r>
          </w:p>
        </w:tc>
        <w:tc>
          <w:tcPr>
            <w:tcW w:w="1500" w:type="dxa"/>
            <w:vAlign w:val="center"/>
          </w:tcPr>
          <w:p>
            <w:pPr>
              <w:keepNext/>
              <w:spacing w:before="0" w:after="0" w:line="240" w:lineRule="auto"/>
              <w:jc w:val="center"/>
            </w:pPr>
            <w:r>
              <w:rPr>
                <w:sz w:val="18"/>
                <w:szCs w:val="18"/>
              </w:rPr>
              <w:t xml:space="preserve">0/20</w:t>
            </w:r>
          </w:p>
        </w:tc>
        <w:tc>
          <w:tcPr>
            <w:tcW w:w="1200" w:type="dxa"/>
            <w:vAlign w:val="center"/>
          </w:tcPr>
          <w:p>
            <w:pPr>
              <w:keepNext/>
              <w:spacing w:before="0" w:after="0" w:line="240" w:lineRule="auto"/>
              <w:jc w:val="center"/>
            </w:pPr>
            <w:r>
              <w:rPr>
                <w:sz w:val="18"/>
                <w:szCs w:val="18"/>
              </w:rPr>
              <w:t xml:space="preserve">—</w:t>
            </w:r>
          </w:p>
        </w:tc>
        <w:tc>
          <w:tcPr>
            <w:tcW w:w="1700" w:type="dxa"/>
            <w:vAlign w:val="center"/>
          </w:tcPr>
          <w:p>
            <w:pPr>
              <w:keepNext/>
              <w:spacing w:before="0" w:after="0" w:line="240" w:lineRule="auto"/>
              <w:jc w:val="center"/>
            </w:pPr>
            <w:r>
              <w:rPr>
                <w:sz w:val="18"/>
                <w:szCs w:val="18"/>
              </w:rPr>
              <w:t xml:space="preserve">—</w:t>
            </w:r>
          </w:p>
        </w:tc>
        <w:tc>
          <w:tcPr>
            <w:tcW w:w="1700" w:type="dxa"/>
            <w:vAlign w:val="center"/>
          </w:tcPr>
          <w:p>
            <w:pPr>
              <w:keepNext/>
              <w:spacing w:before="0" w:after="0" w:line="240" w:lineRule="auto"/>
              <w:jc w:val="center"/>
            </w:pPr>
            <w:r>
              <w:rPr>
                <w:sz w:val="18"/>
                <w:szCs w:val="18"/>
              </w:rPr>
              <w:t xml:space="preserve">20/20</w:t>
            </w:r>
          </w:p>
        </w:tc>
        <w:tc>
          <w:tcPr>
            <w:tcW w:w="1500" w:type="dxa"/>
            <w:vAlign w:val="center"/>
          </w:tcPr>
          <w:p>
            <w:pPr>
              <w:keepNext/>
              <w:spacing w:before="0" w:after="0" w:line="240" w:lineRule="auto"/>
              <w:jc w:val="center"/>
            </w:pPr>
            <w:r>
              <w:rPr>
                <w:sz w:val="18"/>
                <w:szCs w:val="18"/>
              </w:rPr>
              <w:t xml:space="preserve">8.3 s</w:t>
            </w:r>
          </w:p>
        </w:tc>
      </w:tr>
      <w:tr>
        <w:trPr>
          <w:cantSplit/>
        </w:trPr>
        <w:tc>
          <w:tcPr>
            <w:tcW w:w="2840" w:type="dxa"/>
            <w:vAlign w:val="center"/>
          </w:tcPr>
          <w:p>
            <w:pPr>
              <w:keepNext/>
              <w:spacing w:before="0" w:after="0" w:line="240" w:lineRule="auto"/>
              <w:jc w:val="left"/>
            </w:pPr>
            <w:r>
              <w:rPr>
                <w:sz w:val="18"/>
                <w:szCs w:val="18"/>
              </w:rPr>
              <w:t xml:space="preserve">False alarms in 40 min healthy</w:t>
            </w:r>
          </w:p>
        </w:tc>
        <w:tc>
          <w:tcPr>
            <w:tcW w:w="1500" w:type="dxa"/>
            <w:vAlign w:val="center"/>
          </w:tcPr>
          <w:p>
            <w:pPr>
              <w:keepNext/>
              <w:spacing w:before="0" w:after="0" w:line="240" w:lineRule="auto"/>
              <w:jc w:val="center"/>
            </w:pPr>
            <w:r>
              <w:rPr>
                <w:sz w:val="18"/>
                <w:szCs w:val="18"/>
              </w:rPr>
              <w:t xml:space="preserve">0</w:t>
            </w:r>
          </w:p>
        </w:tc>
        <w:tc>
          <w:tcPr>
            <w:tcW w:w="1200" w:type="dxa"/>
            <w:vAlign w:val="center"/>
          </w:tcPr>
          <w:p>
            <w:pPr>
              <w:keepNext/>
              <w:spacing w:before="0" w:after="0" w:line="240" w:lineRule="auto"/>
              <w:jc w:val="center"/>
            </w:pPr>
          </w:p>
        </w:tc>
        <w:tc>
          <w:tcPr>
            <w:tcW w:w="1700" w:type="dxa"/>
            <w:vAlign w:val="center"/>
          </w:tcPr>
          <w:p>
            <w:pPr>
              <w:keepNext/>
              <w:spacing w:before="0" w:after="0" w:line="240" w:lineRule="auto"/>
              <w:jc w:val="center"/>
            </w:pPr>
          </w:p>
        </w:tc>
        <w:tc>
          <w:tcPr>
            <w:tcW w:w="1700" w:type="dxa"/>
            <w:vAlign w:val="center"/>
          </w:tcPr>
          <w:p>
            <w:pPr>
              <w:keepNext/>
              <w:spacing w:before="0" w:after="0" w:line="240" w:lineRule="auto"/>
              <w:jc w:val="center"/>
            </w:pPr>
            <w:r>
              <w:rPr>
                <w:sz w:val="18"/>
                <w:szCs w:val="18"/>
              </w:rPr>
              <w:t xml:space="preserve">0</w:t>
            </w:r>
          </w:p>
        </w:tc>
        <w:tc>
          <w:tcPr>
            <w:tcW w:w="1500" w:type="dxa"/>
            <w:vAlign w:val="center"/>
          </w:tcPr>
          <w:p>
            <w:pPr>
              <w:keepNext/>
              <w:spacing w:before="0" w:after="0" w:line="240" w:lineRule="auto"/>
              <w:jc w:val="center"/>
            </w:pPr>
          </w:p>
        </w:tc>
      </w:tr>
    </w:tbl>
    <w:p>
      <w:pPr>
        <w:spacing w:before="0" w:after="120" w:line="259" w:lineRule="auto"/>
        <w:jc w:val="center"/>
      </w:pPr>
      <w:r>
        <w:rPr>
          <w:i/>
          <w:sz w:val="18"/>
          <w:szCs w:val="18"/>
        </w:rPr>
        <w:t xml:space="preserve">Table 5 — Validation benchmark (100 fault scenarios, 4.3 h of plant time simulated in 3.5 s). * The rule-based auto-protect already holds the line.</w:t>
      </w:r>
    </w:p>
    <w:p>
      <w:pPr>
        <w:spacing w:before="0" w:after="70" w:line="259" w:lineRule="auto"/>
        <w:jc w:val="both"/>
      </w:pPr>
      <w:r>
        <w:rPr>
          <w:sz w:val="21"/>
          <w:szCs w:val="21"/>
        </w:rPr>
        <w:t xml:space="preserve">Rules are fast and name the fault precisely; the learned model is slower but catches the unmodelled guide-rub fault in every run, pointing to the </w:t>
      </w:r>
      <w:r>
        <w:rPr>
          <w:i/>
          <w:sz w:val="21"/>
          <w:szCs w:val="21"/>
        </w:rPr>
        <w:t xml:space="preserve">zone 3 transit ratio</w:t>
      </w:r>
      <w:r>
        <w:rPr>
          <w:sz w:val="21"/>
          <w:szCs w:val="21"/>
        </w:rPr>
        <w:t xml:space="preserve"> as the cause (93–96 % contribution). The two approaches are complementary. In a separate run, the slip estimate converged to 24.7 % for an injected 25 % slip, while the encoder still reported the nominal 0.300 m/s.</w:t>
      </w:r>
    </w:p>
    <w:p>
      <w:pPr>
        <w:keepNext/>
        <w:spacing w:before="120" w:after="40" w:line="259" w:lineRule="auto"/>
        <w:jc w:val="left"/>
      </w:pPr>
      <w:r>
        <w:rPr>
          <w:b/>
          <w:sz w:val="23"/>
          <w:szCs w:val="23"/>
        </w:rPr>
        <w:t xml:space="preserve">3.3 Vision inspection</w:t>
      </w:r>
    </w:p>
    <w:p>
      <w:pPr>
        <w:spacing w:before="0" w:after="70" w:line="259" w:lineRule="auto"/>
        <w:jc w:val="both"/>
      </w:pPr>
      <w:r>
        <w:rPr>
          <w:sz w:val="21"/>
          <w:szCs w:val="21"/>
        </w:rPr>
        <w:t xml:space="preserve">With the defect rate raised to 35–40 % so that many defects occur, test runs of 31–34 cartons gave </w:t>
      </w:r>
      <w:r>
        <w:rPr>
          <w:b/>
          <w:sz w:val="21"/>
          <w:szCs w:val="21"/>
        </w:rPr>
        <w:t xml:space="preserve">zero escaped defects and zero false rejects</w:t>
      </w:r>
      <w:r>
        <w:rPr>
          <w:sz w:val="21"/>
          <w:szCs w:val="21"/>
        </w:rPr>
        <w:t xml:space="preserve"> with all five cameras. Because defects appear on any face, the top camera alone would have passed more than 80 % of the defective cartons. The five views are captured with a single GPU read-back and processed in about 12 ms per carton.</w:t>
      </w:r>
    </w:p>
    <w:p>
      <w:pPr>
        <w:keepNext/>
        <w:spacing w:before="0" w:after="30" w:line="259" w:lineRule="auto"/>
        <w:jc w:val="center"/>
      </w:pPr>
      <w:r>
        <w:drawing>
          <wp:inline distT="0" distB="0" distL="0" distR="0">
            <wp:extent cx="5400000" cy="3031200"/>
            <wp:docPr id="9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rep2.jpg"/>
                    <pic:cNvPicPr/>
                  </pic:nvPicPr>
                  <pic:blipFill>
                    <a:blip r:embed="rIdR2"/>
                    <a:stretch>
                      <a:fillRect/>
                    </a:stretch>
                  </pic:blipFill>
                  <pic:spPr>
                    <a:xfrm>
                      <a:off x="0" y="0"/>
                      <a:ext cx="5400000" cy="3031200"/>
                    </a:xfrm>
                    <a:prstGeom prst="rect">
                      <a:avLst/>
                    </a:prstGeom>
                  </pic:spPr>
                </pic:pic>
              </a:graphicData>
            </a:graphic>
          </wp:inline>
        </w:drawing>
      </w:r>
    </w:p>
    <w:p>
      <w:pPr>
        <w:spacing w:before="0" w:after="120" w:line="259" w:lineRule="auto"/>
        <w:jc w:val="center"/>
      </w:pPr>
      <w:r>
        <w:rPr>
          <w:i/>
          <w:sz w:val="18"/>
          <w:szCs w:val="18"/>
        </w:rPr>
        <w:t xml:space="preserve">Figure 3 — Vision tunnel view: five camera thumbnails, fused verdict and per-camera results in the Vision tab.</w:t>
      </w:r>
    </w:p>
    <w:p>
      <w:pPr>
        <w:keepNext/>
        <w:spacing w:before="120" w:after="40" w:line="259" w:lineRule="auto"/>
        <w:jc w:val="left"/>
      </w:pPr>
      <w:r>
        <w:rPr>
          <w:b/>
          <w:sz w:val="23"/>
          <w:szCs w:val="23"/>
        </w:rPr>
        <w:t xml:space="preserve">3.4 Predictive maintenance</w:t>
      </w:r>
    </w:p>
    <w:p>
      <w:pPr>
        <w:spacing w:before="0" w:after="70" w:line="259" w:lineRule="auto"/>
        <w:jc w:val="both"/>
      </w:pPr>
      <w:r>
        <w:rPr>
          <w:sz w:val="21"/>
          <w:szCs w:val="21"/>
        </w:rPr>
        <w:t xml:space="preserve">Table 6 shows the vibration response to bearing wear at 0.30 m/s. Healthy operation sits in zone A; the defect appears as BPFO at 116.5 Hz (3.05 × the 38.2 Hz shaft frequency) with harmonics. In a progressive-wear run the twin diagnosed an outer-race defect with BPFO at 41× its baseline, detected point P on entering zone C, predicted RUL = 1 min 40 s (band 1:28–1:54), and raised a </w:t>
      </w:r>
      <w:r>
        <w:rPr>
          <w:b/>
          <w:sz w:val="21"/>
          <w:szCs w:val="21"/>
        </w:rPr>
        <w:t xml:space="preserve">predictive work order</w:t>
      </w:r>
      <w:r>
        <w:rPr>
          <w:sz w:val="21"/>
          <w:szCs w:val="21"/>
        </w:rPr>
        <w:t xml:space="preserve"> before failure. Completing the work order repaired the plant and the health index returned to 99 %.</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3040"/>
        <w:gridCol w:w="1230"/>
        <w:gridCol w:w="1230"/>
        <w:gridCol w:w="1230"/>
        <w:gridCol w:w="1230"/>
        <w:gridCol w:w="1230"/>
        <w:gridCol w:w="1250"/>
      </w:tblGrid>
      <w:tr>
        <w:trPr>
          <w:cantSplit/>
          <w:tblHeader/>
        </w:trPr>
        <w:tc>
          <w:tcPr>
            <w:tcW w:w="3040" w:type="dxa"/>
            <w:shd w:val="clear" w:color="auto" w:fill="F2F2F2"/>
            <w:vAlign w:val="center"/>
          </w:tcPr>
          <w:p>
            <w:pPr>
              <w:keepNext/>
              <w:spacing w:before="0" w:after="0" w:line="240" w:lineRule="auto"/>
              <w:jc w:val="left"/>
            </w:pPr>
            <w:r>
              <w:rPr>
                <w:b/>
                <w:sz w:val="18"/>
                <w:szCs w:val="18"/>
              </w:rPr>
              <w:t xml:space="preserve">Bearing wear</w:t>
            </w:r>
          </w:p>
        </w:tc>
        <w:tc>
          <w:tcPr>
            <w:tcW w:w="1230" w:type="dxa"/>
            <w:shd w:val="clear" w:color="auto" w:fill="F2F2F2"/>
            <w:vAlign w:val="center"/>
          </w:tcPr>
          <w:p>
            <w:pPr>
              <w:keepNext/>
              <w:spacing w:before="0" w:after="0" w:line="240" w:lineRule="auto"/>
              <w:jc w:val="center"/>
            </w:pPr>
            <w:r>
              <w:rPr>
                <w:b/>
                <w:sz w:val="18"/>
                <w:szCs w:val="18"/>
              </w:rPr>
              <w:t xml:space="preserve">0 %</w:t>
            </w:r>
          </w:p>
        </w:tc>
        <w:tc>
          <w:tcPr>
            <w:tcW w:w="1230" w:type="dxa"/>
            <w:shd w:val="clear" w:color="auto" w:fill="F2F2F2"/>
            <w:vAlign w:val="center"/>
          </w:tcPr>
          <w:p>
            <w:pPr>
              <w:keepNext/>
              <w:spacing w:before="0" w:after="0" w:line="240" w:lineRule="auto"/>
              <w:jc w:val="center"/>
            </w:pPr>
            <w:r>
              <w:rPr>
                <w:b/>
                <w:sz w:val="18"/>
                <w:szCs w:val="18"/>
              </w:rPr>
              <w:t xml:space="preserve">30 %</w:t>
            </w:r>
          </w:p>
        </w:tc>
        <w:tc>
          <w:tcPr>
            <w:tcW w:w="1230" w:type="dxa"/>
            <w:shd w:val="clear" w:color="auto" w:fill="F2F2F2"/>
            <w:vAlign w:val="center"/>
          </w:tcPr>
          <w:p>
            <w:pPr>
              <w:keepNext/>
              <w:spacing w:before="0" w:after="0" w:line="240" w:lineRule="auto"/>
              <w:jc w:val="center"/>
            </w:pPr>
            <w:r>
              <w:rPr>
                <w:b/>
                <w:sz w:val="18"/>
                <w:szCs w:val="18"/>
              </w:rPr>
              <w:t xml:space="preserve">50 %</w:t>
            </w:r>
          </w:p>
        </w:tc>
        <w:tc>
          <w:tcPr>
            <w:tcW w:w="1230" w:type="dxa"/>
            <w:shd w:val="clear" w:color="auto" w:fill="F2F2F2"/>
            <w:vAlign w:val="center"/>
          </w:tcPr>
          <w:p>
            <w:pPr>
              <w:keepNext/>
              <w:spacing w:before="0" w:after="0" w:line="240" w:lineRule="auto"/>
              <w:jc w:val="center"/>
            </w:pPr>
            <w:r>
              <w:rPr>
                <w:b/>
                <w:sz w:val="18"/>
                <w:szCs w:val="18"/>
              </w:rPr>
              <w:t xml:space="preserve">70 %</w:t>
            </w:r>
          </w:p>
        </w:tc>
        <w:tc>
          <w:tcPr>
            <w:tcW w:w="1230" w:type="dxa"/>
            <w:shd w:val="clear" w:color="auto" w:fill="F2F2F2"/>
            <w:vAlign w:val="center"/>
          </w:tcPr>
          <w:p>
            <w:pPr>
              <w:keepNext/>
              <w:spacing w:before="0" w:after="0" w:line="240" w:lineRule="auto"/>
              <w:jc w:val="center"/>
            </w:pPr>
            <w:r>
              <w:rPr>
                <w:b/>
                <w:sz w:val="18"/>
                <w:szCs w:val="18"/>
              </w:rPr>
              <w:t xml:space="preserve">85 %</w:t>
            </w:r>
          </w:p>
        </w:tc>
        <w:tc>
          <w:tcPr>
            <w:tcW w:w="1250" w:type="dxa"/>
            <w:shd w:val="clear" w:color="auto" w:fill="F2F2F2"/>
            <w:vAlign w:val="center"/>
          </w:tcPr>
          <w:p>
            <w:pPr>
              <w:keepNext/>
              <w:spacing w:before="0" w:after="0" w:line="240" w:lineRule="auto"/>
              <w:jc w:val="center"/>
            </w:pPr>
            <w:r>
              <w:rPr>
                <w:b/>
                <w:sz w:val="18"/>
                <w:szCs w:val="18"/>
              </w:rPr>
              <w:t xml:space="preserve">100 %</w:t>
            </w:r>
          </w:p>
        </w:tc>
      </w:tr>
      <w:tr>
        <w:trPr>
          <w:cantSplit/>
        </w:trPr>
        <w:tc>
          <w:tcPr>
            <w:tcW w:w="3040" w:type="dxa"/>
            <w:vAlign w:val="center"/>
          </w:tcPr>
          <w:p>
            <w:pPr>
              <w:keepNext/>
              <w:spacing w:before="0" w:after="0" w:line="240" w:lineRule="auto"/>
              <w:jc w:val="left"/>
            </w:pPr>
            <w:r>
              <w:rPr>
                <w:sz w:val="18"/>
                <w:szCs w:val="18"/>
              </w:rPr>
              <w:t xml:space="preserve">Velocity RMS (mm/s)</w:t>
            </w:r>
          </w:p>
        </w:tc>
        <w:tc>
          <w:tcPr>
            <w:tcW w:w="1230" w:type="dxa"/>
            <w:vAlign w:val="center"/>
          </w:tcPr>
          <w:p>
            <w:pPr>
              <w:keepNext/>
              <w:spacing w:before="0" w:after="0" w:line="240" w:lineRule="auto"/>
              <w:jc w:val="center"/>
            </w:pPr>
            <w:r>
              <w:rPr>
                <w:sz w:val="18"/>
                <w:szCs w:val="18"/>
              </w:rPr>
              <w:t xml:space="preserve">0.55</w:t>
            </w:r>
          </w:p>
        </w:tc>
        <w:tc>
          <w:tcPr>
            <w:tcW w:w="1230" w:type="dxa"/>
            <w:vAlign w:val="center"/>
          </w:tcPr>
          <w:p>
            <w:pPr>
              <w:keepNext/>
              <w:spacing w:before="0" w:after="0" w:line="240" w:lineRule="auto"/>
              <w:jc w:val="center"/>
            </w:pPr>
            <w:r>
              <w:rPr>
                <w:sz w:val="18"/>
                <w:szCs w:val="18"/>
              </w:rPr>
              <w:t xml:space="preserve">1.39</w:t>
            </w:r>
          </w:p>
        </w:tc>
        <w:tc>
          <w:tcPr>
            <w:tcW w:w="1230" w:type="dxa"/>
            <w:vAlign w:val="center"/>
          </w:tcPr>
          <w:p>
            <w:pPr>
              <w:keepNext/>
              <w:spacing w:before="0" w:after="0" w:line="240" w:lineRule="auto"/>
              <w:jc w:val="center"/>
            </w:pPr>
            <w:r>
              <w:rPr>
                <w:sz w:val="18"/>
                <w:szCs w:val="18"/>
              </w:rPr>
              <w:t xml:space="preserve">2.44</w:t>
            </w:r>
          </w:p>
        </w:tc>
        <w:tc>
          <w:tcPr>
            <w:tcW w:w="1230" w:type="dxa"/>
            <w:vAlign w:val="center"/>
          </w:tcPr>
          <w:p>
            <w:pPr>
              <w:keepNext/>
              <w:spacing w:before="0" w:after="0" w:line="240" w:lineRule="auto"/>
              <w:jc w:val="center"/>
            </w:pPr>
            <w:r>
              <w:rPr>
                <w:sz w:val="18"/>
                <w:szCs w:val="18"/>
              </w:rPr>
              <w:t xml:space="preserve">3.74</w:t>
            </w:r>
          </w:p>
        </w:tc>
        <w:tc>
          <w:tcPr>
            <w:tcW w:w="1230" w:type="dxa"/>
            <w:vAlign w:val="center"/>
          </w:tcPr>
          <w:p>
            <w:pPr>
              <w:keepNext/>
              <w:spacing w:before="0" w:after="0" w:line="240" w:lineRule="auto"/>
              <w:jc w:val="center"/>
            </w:pPr>
            <w:r>
              <w:rPr>
                <w:sz w:val="18"/>
                <w:szCs w:val="18"/>
              </w:rPr>
              <w:t xml:space="preserve">4.84</w:t>
            </w:r>
          </w:p>
        </w:tc>
        <w:tc>
          <w:tcPr>
            <w:tcW w:w="1250" w:type="dxa"/>
            <w:vAlign w:val="center"/>
          </w:tcPr>
          <w:p>
            <w:pPr>
              <w:keepNext/>
              <w:spacing w:before="0" w:after="0" w:line="240" w:lineRule="auto"/>
              <w:jc w:val="center"/>
            </w:pPr>
            <w:r>
              <w:rPr>
                <w:sz w:val="18"/>
                <w:szCs w:val="18"/>
              </w:rPr>
              <w:t xml:space="preserve">6.03</w:t>
            </w:r>
          </w:p>
        </w:tc>
      </w:tr>
      <w:tr>
        <w:trPr>
          <w:cantSplit/>
        </w:trPr>
        <w:tc>
          <w:tcPr>
            <w:tcW w:w="3040" w:type="dxa"/>
            <w:vAlign w:val="center"/>
          </w:tcPr>
          <w:p>
            <w:pPr>
              <w:keepNext/>
              <w:spacing w:before="0" w:after="0" w:line="240" w:lineRule="auto"/>
              <w:jc w:val="left"/>
            </w:pPr>
            <w:r>
              <w:rPr>
                <w:sz w:val="18"/>
                <w:szCs w:val="18"/>
              </w:rPr>
              <w:t xml:space="preserve">ISO 10816 zone</w:t>
            </w:r>
          </w:p>
        </w:tc>
        <w:tc>
          <w:tcPr>
            <w:tcW w:w="1230" w:type="dxa"/>
            <w:vAlign w:val="center"/>
          </w:tcPr>
          <w:p>
            <w:pPr>
              <w:keepNext/>
              <w:spacing w:before="0" w:after="0" w:line="240" w:lineRule="auto"/>
              <w:jc w:val="center"/>
            </w:pPr>
            <w:r>
              <w:rPr>
                <w:sz w:val="18"/>
                <w:szCs w:val="18"/>
              </w:rPr>
              <w:t xml:space="preserve">A</w:t>
            </w:r>
          </w:p>
        </w:tc>
        <w:tc>
          <w:tcPr>
            <w:tcW w:w="1230" w:type="dxa"/>
            <w:vAlign w:val="center"/>
          </w:tcPr>
          <w:p>
            <w:pPr>
              <w:keepNext/>
              <w:spacing w:before="0" w:after="0" w:line="240" w:lineRule="auto"/>
              <w:jc w:val="center"/>
            </w:pPr>
            <w:r>
              <w:rPr>
                <w:sz w:val="18"/>
                <w:szCs w:val="18"/>
              </w:rPr>
              <w:t xml:space="preserve">B</w:t>
            </w:r>
          </w:p>
        </w:tc>
        <w:tc>
          <w:tcPr>
            <w:tcW w:w="1230" w:type="dxa"/>
            <w:vAlign w:val="center"/>
          </w:tcPr>
          <w:p>
            <w:pPr>
              <w:keepNext/>
              <w:spacing w:before="0" w:after="0" w:line="240" w:lineRule="auto"/>
              <w:jc w:val="center"/>
            </w:pPr>
            <w:r>
              <w:rPr>
                <w:sz w:val="18"/>
                <w:szCs w:val="18"/>
              </w:rPr>
              <w:t xml:space="preserve">C (P)</w:t>
            </w:r>
          </w:p>
        </w:tc>
        <w:tc>
          <w:tcPr>
            <w:tcW w:w="1230" w:type="dxa"/>
            <w:vAlign w:val="center"/>
          </w:tcPr>
          <w:p>
            <w:pPr>
              <w:keepNext/>
              <w:spacing w:before="0" w:after="0" w:line="240" w:lineRule="auto"/>
              <w:jc w:val="center"/>
            </w:pPr>
            <w:r>
              <w:rPr>
                <w:sz w:val="18"/>
                <w:szCs w:val="18"/>
              </w:rPr>
              <w:t xml:space="preserve">C</w:t>
            </w:r>
          </w:p>
        </w:tc>
        <w:tc>
          <w:tcPr>
            <w:tcW w:w="1230" w:type="dxa"/>
            <w:vAlign w:val="center"/>
          </w:tcPr>
          <w:p>
            <w:pPr>
              <w:keepNext/>
              <w:spacing w:before="0" w:after="0" w:line="240" w:lineRule="auto"/>
              <w:jc w:val="center"/>
            </w:pPr>
            <w:r>
              <w:rPr>
                <w:sz w:val="18"/>
                <w:szCs w:val="18"/>
              </w:rPr>
              <w:t xml:space="preserve">D (F)</w:t>
            </w:r>
          </w:p>
        </w:tc>
        <w:tc>
          <w:tcPr>
            <w:tcW w:w="1250" w:type="dxa"/>
            <w:vAlign w:val="center"/>
          </w:tcPr>
          <w:p>
            <w:pPr>
              <w:keepNext/>
              <w:spacing w:before="0" w:after="0" w:line="240" w:lineRule="auto"/>
              <w:jc w:val="center"/>
            </w:pPr>
            <w:r>
              <w:rPr>
                <w:sz w:val="18"/>
                <w:szCs w:val="18"/>
              </w:rPr>
              <w:t xml:space="preserve">D</w:t>
            </w:r>
          </w:p>
        </w:tc>
      </w:tr>
      <w:tr>
        <w:trPr>
          <w:cantSplit/>
        </w:trPr>
        <w:tc>
          <w:tcPr>
            <w:tcW w:w="3040" w:type="dxa"/>
            <w:vAlign w:val="center"/>
          </w:tcPr>
          <w:p>
            <w:pPr>
              <w:keepNext/>
              <w:spacing w:before="0" w:after="0" w:line="240" w:lineRule="auto"/>
              <w:jc w:val="left"/>
            </w:pPr>
            <w:r>
              <w:rPr>
                <w:sz w:val="18"/>
                <w:szCs w:val="18"/>
              </w:rPr>
              <w:t xml:space="preserve">BPFO amplitude (mm/s pk)</w:t>
            </w:r>
          </w:p>
        </w:tc>
        <w:tc>
          <w:tcPr>
            <w:tcW w:w="1230" w:type="dxa"/>
            <w:vAlign w:val="center"/>
          </w:tcPr>
          <w:p>
            <w:pPr>
              <w:keepNext/>
              <w:spacing w:before="0" w:after="0" w:line="240" w:lineRule="auto"/>
              <w:jc w:val="center"/>
            </w:pPr>
            <w:r>
              <w:rPr>
                <w:sz w:val="18"/>
                <w:szCs w:val="18"/>
              </w:rPr>
              <w:t xml:space="preserve">0.04</w:t>
            </w:r>
          </w:p>
        </w:tc>
        <w:tc>
          <w:tcPr>
            <w:tcW w:w="1230" w:type="dxa"/>
            <w:vAlign w:val="center"/>
          </w:tcPr>
          <w:p>
            <w:pPr>
              <w:keepNext/>
              <w:spacing w:before="0" w:after="0" w:line="240" w:lineRule="auto"/>
              <w:jc w:val="center"/>
            </w:pPr>
            <w:r>
              <w:rPr>
                <w:sz w:val="18"/>
                <w:szCs w:val="18"/>
              </w:rPr>
              <w:t xml:space="preserve">0.97</w:t>
            </w:r>
          </w:p>
        </w:tc>
        <w:tc>
          <w:tcPr>
            <w:tcW w:w="1230" w:type="dxa"/>
            <w:vAlign w:val="center"/>
          </w:tcPr>
          <w:p>
            <w:pPr>
              <w:keepNext/>
              <w:spacing w:before="0" w:after="0" w:line="240" w:lineRule="auto"/>
              <w:jc w:val="center"/>
            </w:pPr>
            <w:r>
              <w:rPr>
                <w:sz w:val="18"/>
                <w:szCs w:val="18"/>
              </w:rPr>
              <w:t xml:space="preserve">2.06</w:t>
            </w:r>
          </w:p>
        </w:tc>
        <w:tc>
          <w:tcPr>
            <w:tcW w:w="1230" w:type="dxa"/>
            <w:vAlign w:val="center"/>
          </w:tcPr>
          <w:p>
            <w:pPr>
              <w:keepNext/>
              <w:spacing w:before="0" w:after="0" w:line="240" w:lineRule="auto"/>
              <w:jc w:val="center"/>
            </w:pPr>
            <w:r>
              <w:rPr>
                <w:sz w:val="18"/>
                <w:szCs w:val="18"/>
              </w:rPr>
              <w:t xml:space="preserve">3.45</w:t>
            </w:r>
          </w:p>
        </w:tc>
        <w:tc>
          <w:tcPr>
            <w:tcW w:w="1230" w:type="dxa"/>
            <w:vAlign w:val="center"/>
          </w:tcPr>
          <w:p>
            <w:pPr>
              <w:keepNext/>
              <w:spacing w:before="0" w:after="0" w:line="240" w:lineRule="auto"/>
              <w:jc w:val="center"/>
            </w:pPr>
            <w:r>
              <w:rPr>
                <w:sz w:val="18"/>
                <w:szCs w:val="18"/>
              </w:rPr>
              <w:t xml:space="preserve">4.62</w:t>
            </w:r>
          </w:p>
        </w:tc>
        <w:tc>
          <w:tcPr>
            <w:tcW w:w="1250" w:type="dxa"/>
            <w:vAlign w:val="center"/>
          </w:tcPr>
          <w:p>
            <w:pPr>
              <w:keepNext/>
              <w:spacing w:before="0" w:after="0" w:line="240" w:lineRule="auto"/>
              <w:jc w:val="center"/>
            </w:pPr>
            <w:r>
              <w:rPr>
                <w:sz w:val="18"/>
                <w:szCs w:val="18"/>
              </w:rPr>
              <w:t xml:space="preserve">5.94</w:t>
            </w:r>
          </w:p>
        </w:tc>
      </w:tr>
    </w:tbl>
    <w:p>
      <w:pPr>
        <w:spacing w:before="0" w:after="120" w:line="259" w:lineRule="auto"/>
        <w:jc w:val="center"/>
      </w:pPr>
      <w:r>
        <w:rPr>
          <w:i/>
          <w:sz w:val="18"/>
          <w:szCs w:val="18"/>
        </w:rPr>
        <w:t xml:space="preserve">Table 6 — Vibration severity versus bearing wear.</w:t>
      </w:r>
    </w:p>
    <w:p>
      <w:pPr>
        <w:keepNext/>
        <w:spacing w:before="0" w:after="30" w:line="259" w:lineRule="auto"/>
        <w:jc w:val="center"/>
      </w:pPr>
      <w:r>
        <w:drawing>
          <wp:inline distT="0" distB="0" distL="0" distR="0">
            <wp:extent cx="5400000" cy="3031200"/>
            <wp:docPr id="9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rep3.jpg"/>
                    <pic:cNvPicPr/>
                  </pic:nvPicPr>
                  <pic:blipFill>
                    <a:blip r:embed="rIdR3"/>
                    <a:stretch>
                      <a:fillRect/>
                    </a:stretch>
                  </pic:blipFill>
                  <pic:spPr>
                    <a:xfrm>
                      <a:off x="0" y="0"/>
                      <a:ext cx="5400000" cy="3031200"/>
                    </a:xfrm>
                    <a:prstGeom prst="rect">
                      <a:avLst/>
                    </a:prstGeom>
                  </pic:spPr>
                </pic:pic>
              </a:graphicData>
            </a:graphic>
          </wp:inline>
        </w:drawing>
      </w:r>
    </w:p>
    <w:p>
      <w:pPr>
        <w:spacing w:before="0" w:after="120" w:line="259" w:lineRule="auto"/>
        <w:jc w:val="center"/>
      </w:pPr>
      <w:r>
        <w:rPr>
          <w:i/>
          <w:sz w:val="18"/>
          <w:szCs w:val="18"/>
        </w:rPr>
        <w:t xml:space="preserve">Figure 4 — PdM tab: ISO 10816 severity bar, bearing diagnosis and velocity spectrum with BPFO/BPFI markers.</w:t>
      </w:r>
    </w:p>
    <w:p>
      <w:pPr>
        <w:spacing w:before="0" w:after="70" w:line="259" w:lineRule="auto"/>
        <w:jc w:val="both"/>
      </w:pPr>
      <w:r>
        <w:rPr>
          <w:sz w:val="21"/>
          <w:szCs w:val="21"/>
        </w:rPr>
        <w:t xml:space="preserve">The economic comparison (Table 7) uses 6000 operating hours per year, ₹ 500/min downtime, ₹ 1 200 per bearing and a 98 % detection rate taken from the benchmark.</w:t>
      </w:r>
    </w:p>
    <w:tbl>
      <w:tblPr>
        <w:tblW w:w="1044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5" w:type="dxa"/>
          <w:left w:w="80" w:type="dxa"/>
          <w:bottom w:w="35" w:type="dxa"/>
          <w:right w:w="80" w:type="dxa"/>
        </w:tblCellMar>
      </w:tblPr>
      <w:tblGrid>
        <w:gridCol w:w="4640"/>
        <w:gridCol w:w="1700"/>
        <w:gridCol w:w="1800"/>
        <w:gridCol w:w="2300"/>
      </w:tblGrid>
      <w:tr>
        <w:trPr>
          <w:cantSplit/>
          <w:tblHeader/>
        </w:trPr>
        <w:tc>
          <w:tcPr>
            <w:tcW w:w="4640" w:type="dxa"/>
            <w:shd w:val="clear" w:color="auto" w:fill="F2F2F2"/>
            <w:vAlign w:val="center"/>
          </w:tcPr>
          <w:p>
            <w:pPr>
              <w:keepNext/>
              <w:spacing w:before="0" w:after="0" w:line="240" w:lineRule="auto"/>
              <w:jc w:val="left"/>
            </w:pPr>
            <w:r>
              <w:rPr>
                <w:b/>
                <w:sz w:val="18"/>
                <w:szCs w:val="18"/>
              </w:rPr>
              <w:t xml:space="preserve">Strategy</w:t>
            </w:r>
          </w:p>
        </w:tc>
        <w:tc>
          <w:tcPr>
            <w:tcW w:w="1700" w:type="dxa"/>
            <w:shd w:val="clear" w:color="auto" w:fill="F2F2F2"/>
            <w:vAlign w:val="center"/>
          </w:tcPr>
          <w:p>
            <w:pPr>
              <w:keepNext/>
              <w:spacing w:before="0" w:after="0" w:line="240" w:lineRule="auto"/>
              <w:jc w:val="center"/>
            </w:pPr>
            <w:r>
              <w:rPr>
                <w:b/>
                <w:sz w:val="18"/>
                <w:szCs w:val="18"/>
              </w:rPr>
              <w:t xml:space="preserve">Jobs / year</w:t>
            </w:r>
          </w:p>
        </w:tc>
        <w:tc>
          <w:tcPr>
            <w:tcW w:w="1800" w:type="dxa"/>
            <w:shd w:val="clear" w:color="auto" w:fill="F2F2F2"/>
            <w:vAlign w:val="center"/>
          </w:tcPr>
          <w:p>
            <w:pPr>
              <w:keepNext/>
              <w:spacing w:before="0" w:after="0" w:line="240" w:lineRule="auto"/>
              <w:jc w:val="center"/>
            </w:pPr>
            <w:r>
              <w:rPr>
                <w:b/>
                <w:sz w:val="18"/>
                <w:szCs w:val="18"/>
              </w:rPr>
              <w:t xml:space="preserve">Breakdowns / year</w:t>
            </w:r>
          </w:p>
        </w:tc>
        <w:tc>
          <w:tcPr>
            <w:tcW w:w="2300" w:type="dxa"/>
            <w:shd w:val="clear" w:color="auto" w:fill="F2F2F2"/>
            <w:vAlign w:val="center"/>
          </w:tcPr>
          <w:p>
            <w:pPr>
              <w:keepNext/>
              <w:spacing w:before="0" w:after="0" w:line="240" w:lineRule="auto"/>
              <w:jc w:val="center"/>
            </w:pPr>
            <w:r>
              <w:rPr>
                <w:b/>
                <w:sz w:val="18"/>
                <w:szCs w:val="18"/>
              </w:rPr>
              <w:t xml:space="preserve">Annual cost</w:t>
            </w:r>
          </w:p>
        </w:tc>
      </w:tr>
      <w:tr>
        <w:trPr>
          <w:cantSplit/>
        </w:trPr>
        <w:tc>
          <w:tcPr>
            <w:tcW w:w="4640" w:type="dxa"/>
            <w:vAlign w:val="center"/>
          </w:tcPr>
          <w:p>
            <w:pPr>
              <w:keepNext/>
              <w:spacing w:before="0" w:after="0" w:line="240" w:lineRule="auto"/>
              <w:jc w:val="left"/>
            </w:pPr>
            <w:r>
              <w:rPr>
                <w:sz w:val="18"/>
                <w:szCs w:val="18"/>
              </w:rPr>
              <w:t xml:space="preserve">Reactive (run to failure)</w:t>
            </w:r>
          </w:p>
        </w:tc>
        <w:tc>
          <w:tcPr>
            <w:tcW w:w="1700" w:type="dxa"/>
            <w:vAlign w:val="center"/>
          </w:tcPr>
          <w:p>
            <w:pPr>
              <w:keepNext/>
              <w:spacing w:before="0" w:after="0" w:line="240" w:lineRule="auto"/>
              <w:jc w:val="center"/>
            </w:pPr>
            <w:r>
              <w:rPr>
                <w:sz w:val="18"/>
                <w:szCs w:val="18"/>
              </w:rPr>
              <w:t xml:space="preserve">1.50</w:t>
            </w:r>
          </w:p>
        </w:tc>
        <w:tc>
          <w:tcPr>
            <w:tcW w:w="1800" w:type="dxa"/>
            <w:vAlign w:val="center"/>
          </w:tcPr>
          <w:p>
            <w:pPr>
              <w:keepNext/>
              <w:spacing w:before="0" w:after="0" w:line="240" w:lineRule="auto"/>
              <w:jc w:val="center"/>
            </w:pPr>
            <w:r>
              <w:rPr>
                <w:sz w:val="18"/>
                <w:szCs w:val="18"/>
              </w:rPr>
              <w:t xml:space="preserve">1.50</w:t>
            </w:r>
          </w:p>
        </w:tc>
        <w:tc>
          <w:tcPr>
            <w:tcW w:w="2300" w:type="dxa"/>
            <w:vAlign w:val="center"/>
          </w:tcPr>
          <w:p>
            <w:pPr>
              <w:keepNext/>
              <w:spacing w:before="0" w:after="0" w:line="240" w:lineRule="auto"/>
              <w:jc w:val="center"/>
            </w:pPr>
            <w:r>
              <w:rPr>
                <w:sz w:val="18"/>
                <w:szCs w:val="18"/>
              </w:rPr>
              <w:t xml:space="preserve">₹ 1,51,200</w:t>
            </w:r>
          </w:p>
        </w:tc>
      </w:tr>
      <w:tr>
        <w:trPr>
          <w:cantSplit/>
        </w:trPr>
        <w:tc>
          <w:tcPr>
            <w:tcW w:w="4640" w:type="dxa"/>
            <w:vAlign w:val="center"/>
          </w:tcPr>
          <w:p>
            <w:pPr>
              <w:keepNext/>
              <w:spacing w:before="0" w:after="0" w:line="240" w:lineRule="auto"/>
              <w:jc w:val="left"/>
            </w:pPr>
            <w:r>
              <w:rPr>
                <w:sz w:val="18"/>
                <w:szCs w:val="18"/>
              </w:rPr>
              <w:t xml:space="preserve">Preventive (replace every 2000 h)</w:t>
            </w:r>
          </w:p>
        </w:tc>
        <w:tc>
          <w:tcPr>
            <w:tcW w:w="1700" w:type="dxa"/>
            <w:vAlign w:val="center"/>
          </w:tcPr>
          <w:p>
            <w:pPr>
              <w:keepNext/>
              <w:spacing w:before="0" w:after="0" w:line="240" w:lineRule="auto"/>
              <w:jc w:val="center"/>
            </w:pPr>
            <w:r>
              <w:rPr>
                <w:sz w:val="18"/>
                <w:szCs w:val="18"/>
              </w:rPr>
              <w:t xml:space="preserve">3.20</w:t>
            </w:r>
          </w:p>
        </w:tc>
        <w:tc>
          <w:tcPr>
            <w:tcW w:w="1800" w:type="dxa"/>
            <w:vAlign w:val="center"/>
          </w:tcPr>
          <w:p>
            <w:pPr>
              <w:keepNext/>
              <w:spacing w:before="0" w:after="0" w:line="240" w:lineRule="auto"/>
              <w:jc w:val="center"/>
            </w:pPr>
            <w:r>
              <w:rPr>
                <w:sz w:val="18"/>
                <w:szCs w:val="18"/>
              </w:rPr>
              <w:t xml:space="preserve">0.57</w:t>
            </w:r>
          </w:p>
        </w:tc>
        <w:tc>
          <w:tcPr>
            <w:tcW w:w="2300" w:type="dxa"/>
            <w:vAlign w:val="center"/>
          </w:tcPr>
          <w:p>
            <w:pPr>
              <w:keepNext/>
              <w:spacing w:before="0" w:after="0" w:line="240" w:lineRule="auto"/>
              <w:jc w:val="center"/>
            </w:pPr>
            <w:r>
              <w:rPr>
                <w:sz w:val="18"/>
                <w:szCs w:val="18"/>
              </w:rPr>
              <w:t xml:space="preserve">₹ 1,01,076</w:t>
            </w:r>
          </w:p>
        </w:tc>
      </w:tr>
      <w:tr>
        <w:trPr>
          <w:cantSplit/>
        </w:trPr>
        <w:tc>
          <w:tcPr>
            <w:tcW w:w="4640" w:type="dxa"/>
            <w:vAlign w:val="center"/>
          </w:tcPr>
          <w:p>
            <w:pPr>
              <w:keepNext/>
              <w:spacing w:before="0" w:after="0" w:line="240" w:lineRule="auto"/>
              <w:jc w:val="left"/>
            </w:pPr>
            <w:r>
              <w:rPr>
                <w:b/>
                <w:sz w:val="18"/>
                <w:szCs w:val="18"/>
              </w:rPr>
              <w:t xml:space="preserve">Predictive (this digital twin)</w:t>
            </w:r>
          </w:p>
        </w:tc>
        <w:tc>
          <w:tcPr>
            <w:tcW w:w="1700" w:type="dxa"/>
            <w:vAlign w:val="center"/>
          </w:tcPr>
          <w:p>
            <w:pPr>
              <w:keepNext/>
              <w:spacing w:before="0" w:after="0" w:line="240" w:lineRule="auto"/>
              <w:jc w:val="center"/>
            </w:pPr>
            <w:r>
              <w:rPr>
                <w:sz w:val="18"/>
                <w:szCs w:val="18"/>
              </w:rPr>
              <w:t xml:space="preserve">1.67</w:t>
            </w:r>
          </w:p>
        </w:tc>
        <w:tc>
          <w:tcPr>
            <w:tcW w:w="1800" w:type="dxa"/>
            <w:vAlign w:val="center"/>
          </w:tcPr>
          <w:p>
            <w:pPr>
              <w:keepNext/>
              <w:spacing w:before="0" w:after="0" w:line="240" w:lineRule="auto"/>
              <w:jc w:val="center"/>
            </w:pPr>
            <w:r>
              <w:rPr>
                <w:sz w:val="18"/>
                <w:szCs w:val="18"/>
              </w:rPr>
              <w:t xml:space="preserve">0.03</w:t>
            </w:r>
          </w:p>
        </w:tc>
        <w:tc>
          <w:tcPr>
            <w:tcW w:w="2300" w:type="dxa"/>
            <w:vAlign w:val="center"/>
          </w:tcPr>
          <w:p>
            <w:pPr>
              <w:keepNext/>
              <w:spacing w:before="0" w:after="0" w:line="240" w:lineRule="auto"/>
              <w:jc w:val="center"/>
            </w:pPr>
            <w:r>
              <w:rPr>
                <w:b/>
                <w:sz w:val="18"/>
                <w:szCs w:val="18"/>
              </w:rPr>
              <w:t xml:space="preserve">₹ 36,473</w:t>
            </w:r>
          </w:p>
        </w:tc>
      </w:tr>
    </w:tbl>
    <w:p>
      <w:pPr>
        <w:spacing w:before="0" w:after="120" w:line="259" w:lineRule="auto"/>
        <w:jc w:val="center"/>
      </w:pPr>
      <w:r>
        <w:rPr>
          <w:i/>
          <w:sz w:val="18"/>
          <w:szCs w:val="18"/>
        </w:rPr>
        <w:t xml:space="preserve">Table 7 — Maintenance strategy cost per bearing position: predictive maintenance saves 76 % versus run-to-failure.</w:t>
      </w:r>
    </w:p>
    <w:p>
      <w:pPr>
        <w:keepNext/>
        <w:spacing w:before="120" w:after="40" w:line="259" w:lineRule="auto"/>
        <w:jc w:val="left"/>
      </w:pPr>
      <w:r>
        <w:rPr>
          <w:b/>
          <w:sz w:val="23"/>
          <w:szCs w:val="23"/>
        </w:rPr>
        <w:t xml:space="preserve">3.5 Optimisation and simulation speed</w:t>
      </w:r>
    </w:p>
    <w:p>
      <w:pPr>
        <w:spacing w:before="0" w:after="70" w:line="259" w:lineRule="auto"/>
        <w:jc w:val="both"/>
      </w:pPr>
      <w:r>
        <w:rPr>
          <w:sz w:val="21"/>
          <w:szCs w:val="21"/>
        </w:rPr>
        <w:t xml:space="preserve">The what-if engine simulated 120 minutes of plant time in 0.59 s (≈ 12 000× real time). The optimiser recommended </w:t>
      </w:r>
      <w:r>
        <w:rPr>
          <w:b/>
          <w:sz w:val="21"/>
          <w:szCs w:val="21"/>
        </w:rPr>
        <w:t xml:space="preserve">0.39 m/s</w:t>
      </w:r>
      <w:r>
        <w:rPr>
          <w:sz w:val="21"/>
          <w:szCs w:val="21"/>
        </w:rPr>
        <w:t xml:space="preserve">, giving +35 % throughput (≈ 4 000 good cartons/h) over the 0.30 m/s baseline, and rejected three higher speeds that would overheat the motor. With heavy bearing wear the same engine correctly predicted an over-temperature trip within 1.6 minutes at 0.42 m/s.</w:t>
      </w:r>
    </w:p>
    <w:p>
      <w:pPr>
        <w:keepNext/>
        <w:spacing w:before="200" w:after="80" w:line="259" w:lineRule="auto"/>
        <w:jc w:val="left"/>
      </w:pPr>
      <w:r>
        <w:rPr>
          <w:b/>
          <w:color w:val="B7202E"/>
          <w:sz w:val="28"/>
          <w:szCs w:val="28"/>
        </w:rPr>
        <w:t xml:space="preserve">4. CONCLUSION</w:t>
      </w:r>
    </w:p>
    <w:p>
      <w:pPr>
        <w:spacing w:before="0" w:after="70" w:line="259" w:lineRule="auto"/>
        <w:jc w:val="both"/>
      </w:pPr>
      <w:r>
        <w:rPr>
          <w:sz w:val="21"/>
          <w:szCs w:val="21"/>
        </w:rPr>
        <w:t xml:space="preserve">The project delivers a working digital twin of a mini conveyor that goes well beyond visualisation. It keeps physical and statistical models of the machine, diagnoses faults that no single sensor can reveal (belt slip, jam versus sensor failure, drive-train wear), protects the line automatically, inspects all five visible faces of every carton with a fail-safe decision, predicts bearing failure from vibration and plans maintenance before it happens. Most importantly, it quantifies its own performance: 100 % detection and correct diagnosis of the modelled faults, detection of an unmodelled fault by the learned model, and zero false alarms.</w:t>
      </w:r>
    </w:p>
    <w:p>
      <w:pPr>
        <w:spacing w:before="0" w:after="70" w:line="259" w:lineRule="auto"/>
        <w:jc w:val="both"/>
      </w:pPr>
      <w:r>
        <w:rPr>
          <w:sz w:val="21"/>
          <w:szCs w:val="21"/>
        </w:rPr>
        <w:t xml:space="preserve">Because the twin communicates with the plant only through a standard tag interface, the same software can be commissioned on a real conveyor — the purpose of virtual commissioning.</w:t>
      </w:r>
    </w:p>
    <w:p>
      <w:pPr>
        <w:keepNext/>
        <w:spacing w:before="120" w:after="40" w:line="259" w:lineRule="auto"/>
        <w:jc w:val="left"/>
      </w:pPr>
      <w:r>
        <w:rPr>
          <w:b/>
          <w:sz w:val="23"/>
          <w:szCs w:val="23"/>
        </w:rPr>
        <w:t xml:space="preserve">Limitations</w:t>
      </w:r>
    </w:p>
    <w:p>
      <w:pPr>
        <w:numPr>
          <w:ilvl w:val="0"/>
          <w:numId w:val="90"/>
        </w:numPr>
        <w:spacing w:before="0" w:after="25" w:line="259" w:lineRule="auto"/>
        <w:jc w:val="both"/>
      </w:pPr>
      <w:r>
        <w:rPr>
          <w:sz w:val="21"/>
          <w:szCs w:val="21"/>
        </w:rPr>
        <w:t xml:space="preserve">The plant is simulated; the plant link has the OPC UA structure but is an in-browser message channel.</w:t>
      </w:r>
    </w:p>
    <w:p>
      <w:pPr>
        <w:numPr>
          <w:ilvl w:val="0"/>
          <w:numId w:val="90"/>
        </w:numPr>
        <w:spacing w:before="0" w:after="25" w:line="259" w:lineRule="auto"/>
        <w:jc w:val="both"/>
      </w:pPr>
      <w:r>
        <w:rPr>
          <w:sz w:val="21"/>
          <w:szCs w:val="21"/>
        </w:rPr>
        <w:t xml:space="preserve">Thermal and wear time constants are accelerated so that effects are visible within a demonstration.</w:t>
      </w:r>
    </w:p>
    <w:p>
      <w:pPr>
        <w:numPr>
          <w:ilvl w:val="0"/>
          <w:numId w:val="90"/>
        </w:numPr>
        <w:spacing w:before="0" w:after="25" w:line="259" w:lineRule="auto"/>
        <w:jc w:val="both"/>
      </w:pPr>
      <w:r>
        <w:rPr>
          <w:sz w:val="21"/>
          <w:szCs w:val="21"/>
        </w:rPr>
        <w:t xml:space="preserve">The bottom carton face is not inspected; this needs a camera beneath a gap between two belts.</w:t>
      </w:r>
    </w:p>
    <w:p>
      <w:pPr>
        <w:keepNext/>
        <w:spacing w:before="120" w:after="40" w:line="259" w:lineRule="auto"/>
        <w:jc w:val="left"/>
      </w:pPr>
      <w:r>
        <w:rPr>
          <w:b/>
          <w:sz w:val="23"/>
          <w:szCs w:val="23"/>
        </w:rPr>
        <w:t xml:space="preserve">Future scope</w:t>
      </w:r>
    </w:p>
    <w:p>
      <w:pPr>
        <w:numPr>
          <w:ilvl w:val="0"/>
          <w:numId w:val="90"/>
        </w:numPr>
        <w:spacing w:before="0" w:after="25" w:line="259" w:lineRule="auto"/>
        <w:jc w:val="both"/>
      </w:pPr>
      <w:r>
        <w:rPr>
          <w:sz w:val="21"/>
          <w:szCs w:val="21"/>
        </w:rPr>
        <w:t xml:space="preserve">OPC UA or MQTT (Unified Namespace) gateway to a physical conveyor and PLC.</w:t>
      </w:r>
    </w:p>
    <w:p>
      <w:pPr>
        <w:numPr>
          <w:ilvl w:val="0"/>
          <w:numId w:val="90"/>
        </w:numPr>
        <w:spacing w:before="0" w:after="25" w:line="259" w:lineRule="auto"/>
        <w:jc w:val="both"/>
      </w:pPr>
      <w:r>
        <w:rPr>
          <w:sz w:val="21"/>
          <w:szCs w:val="21"/>
        </w:rPr>
        <w:t xml:space="preserve">Jetson Nano edge node with real cameras and a trained defect-detection network.</w:t>
      </w:r>
    </w:p>
    <w:p>
      <w:pPr>
        <w:numPr>
          <w:ilvl w:val="0"/>
          <w:numId w:val="90"/>
        </w:numPr>
        <w:spacing w:before="0" w:after="25" w:line="259" w:lineRule="auto"/>
        <w:jc w:val="both"/>
      </w:pPr>
      <w:r>
        <w:rPr>
          <w:sz w:val="21"/>
          <w:szCs w:val="21"/>
        </w:rPr>
        <w:t xml:space="preserve">Extension from one conveyor to a multi-line plant with bottleneck analysis.</w:t>
      </w:r>
    </w:p>
    <w:p>
      <w:pPr>
        <w:keepNext/>
        <w:spacing w:before="200" w:after="80" w:line="259" w:lineRule="auto"/>
        <w:jc w:val="left"/>
      </w:pPr>
      <w:r>
        <w:rPr>
          <w:b/>
          <w:color w:val="B7202E"/>
          <w:sz w:val="28"/>
          <w:szCs w:val="28"/>
        </w:rPr>
        <w:t xml:space="preserve">REFERENCES</w:t>
      </w:r>
    </w:p>
    <w:p>
      <w:pPr>
        <w:spacing w:before="0" w:after="30" w:line="245" w:lineRule="auto"/>
        <w:jc w:val="left"/>
      </w:pPr>
      <w:r>
        <w:rPr>
          <w:sz w:val="19"/>
          <w:szCs w:val="19"/>
        </w:rPr>
        <w:t xml:space="preserve">[1]  M. Grieves and J. Vickers, "Digital Twin: Mitigating Unpredictable, Undesirable Emergent Behavior in Complex Systems," in Transdisciplinary Perspectives on Complex Systems, Springer, 2017.</w:t>
      </w:r>
    </w:p>
    <w:p>
      <w:pPr>
        <w:spacing w:before="0" w:after="30" w:line="245" w:lineRule="auto"/>
        <w:jc w:val="left"/>
      </w:pPr>
      <w:r>
        <w:rPr>
          <w:sz w:val="19"/>
          <w:szCs w:val="19"/>
        </w:rPr>
        <w:t xml:space="preserve">[2]  ISO 10816-1, Mechanical vibration — Evaluation of machine vibration by measurements on non-rotating parts — Part 1: General guidelines.</w:t>
      </w:r>
    </w:p>
    <w:p>
      <w:pPr>
        <w:spacing w:before="0" w:after="30" w:line="245" w:lineRule="auto"/>
        <w:jc w:val="left"/>
      </w:pPr>
      <w:r>
        <w:rPr>
          <w:sz w:val="19"/>
          <w:szCs w:val="19"/>
        </w:rPr>
        <w:t xml:space="preserve">[3]  ANSI/ISA-95 (enterprise–control integration), ANSI/ISA-18.2 (alarm management), ANSI/ISA-101.01 (HMI) and ISA-TR88.00.02 (PackML).</w:t>
      </w:r>
    </w:p>
    <w:p>
      <w:pPr>
        <w:spacing w:before="0" w:after="30" w:line="245" w:lineRule="auto"/>
        <w:jc w:val="left"/>
      </w:pPr>
      <w:r>
        <w:rPr>
          <w:sz w:val="19"/>
          <w:szCs w:val="19"/>
        </w:rPr>
        <w:t xml:space="preserve">[4]  OPC Foundation, OPC Unified Architecture, IEC 62541.</w:t>
      </w:r>
    </w:p>
    <w:p>
      <w:pPr>
        <w:spacing w:before="0" w:after="30" w:line="245" w:lineRule="auto"/>
        <w:jc w:val="left"/>
      </w:pPr>
      <w:r>
        <w:rPr>
          <w:sz w:val="19"/>
          <w:szCs w:val="19"/>
        </w:rPr>
        <w:t xml:space="preserve">[5]  R. B. Randall, Vibration-based Condition Monitoring, Wiley, 2011.</w:t>
      </w:r>
    </w:p>
    <w:p>
      <w:pPr>
        <w:spacing w:before="0" w:after="30" w:line="245" w:lineRule="auto"/>
        <w:jc w:val="left"/>
      </w:pPr>
      <w:r>
        <w:rPr>
          <w:sz w:val="19"/>
          <w:szCs w:val="19"/>
        </w:rPr>
        <w:t xml:space="preserve">[6]  J. E. Jackson and G. S. Mudholkar, "Control procedures for residuals associated with principal component analysis," Technometrics, 1979.</w:t>
      </w:r>
    </w:p>
    <w:p>
      <w:pPr>
        <w:spacing w:before="0" w:after="30" w:line="245" w:lineRule="auto"/>
        <w:jc w:val="left"/>
      </w:pPr>
      <w:r>
        <w:rPr>
          <w:sz w:val="19"/>
          <w:szCs w:val="19"/>
        </w:rPr>
        <w:t xml:space="preserve">[7]  Project repository: https://github.com/Organic42/conveyor-digital-twin</w:t>
      </w:r>
    </w:p>
    <w:sectPr w:rsidR="00F640AE" w:rsidRPr="00B02661" w:rsidSect="00D06237">
      <w:headerReference w:type="default" r:id="rId8"/>
      <w:footerReference w:type="default" r:id="rId9"/>
      <w:pgSz w:w="11906" w:h="16838"/>
      <w:pgMar w:top="1440" w:right="566" w:bottom="810" w:left="900" w:header="45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FDA695" w14:textId="77777777" w:rsidR="00F2295D" w:rsidRDefault="00F2295D" w:rsidP="00451901">
      <w:pPr>
        <w:spacing w:after="0" w:line="240" w:lineRule="auto"/>
      </w:pPr>
      <w:r>
        <w:separator/>
      </w:r>
    </w:p>
  </w:endnote>
  <w:endnote w:type="continuationSeparator" w:id="0">
    <w:p w14:paraId="1DF0493B" w14:textId="77777777" w:rsidR="00F2295D" w:rsidRDefault="00F2295D" w:rsidP="0045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1624F" w14:textId="77777777" w:rsidR="00451901" w:rsidRPr="00790558" w:rsidRDefault="00451901" w:rsidP="00451901">
    <w:pPr>
      <w:keepNext/>
      <w:keepLines/>
      <w:tabs>
        <w:tab w:val="center" w:pos="4680"/>
        <w:tab w:val="right" w:pos="9360"/>
      </w:tabs>
      <w:spacing w:after="0" w:line="288" w:lineRule="auto"/>
      <w:ind w:right="-1440" w:hanging="2"/>
      <w:rPr>
        <w:rFonts w:ascii="Arial" w:eastAsia="Arial" w:hAnsi="Arial" w:cs="Arial"/>
        <w:b/>
        <w:color w:val="58595B"/>
        <w:sz w:val="18"/>
        <w:szCs w:val="18"/>
        <w:highlight w:val="white"/>
      </w:rPr>
    </w:pPr>
  </w:p>
  <w:p w14:paraId="1BD569F0" w14:textId="77777777" w:rsidR="00710228" w:rsidRPr="00790558" w:rsidRDefault="00710228" w:rsidP="00710228">
    <w:pPr>
      <w:keepNext/>
      <w:keepLines/>
      <w:tabs>
        <w:tab w:val="center" w:pos="4680"/>
        <w:tab w:val="right" w:pos="9360"/>
      </w:tabs>
      <w:spacing w:after="0" w:line="288" w:lineRule="auto"/>
      <w:ind w:right="-1440" w:hanging="2"/>
      <w:rPr>
        <w:rFonts w:ascii="Arial" w:eastAsia="Arial" w:hAnsi="Arial" w:cs="Arial"/>
        <w:b/>
        <w:color w:val="58595B"/>
        <w:sz w:val="18"/>
        <w:szCs w:val="18"/>
      </w:rPr>
    </w:pPr>
    <w:r w:rsidRPr="00790558">
      <w:rPr>
        <w:rFonts w:ascii="Arial" w:eastAsia="Arial" w:hAnsi="Arial" w:cs="Arial"/>
        <w:b/>
        <w:color w:val="58595B"/>
        <w:sz w:val="18"/>
        <w:szCs w:val="18"/>
        <w:highlight w:val="white"/>
      </w:rPr>
      <w:t>K J Somaiya School of Engineering</w:t>
    </w:r>
  </w:p>
  <w:p w14:paraId="654DCB9D" w14:textId="5D8F5578" w:rsidR="00710228" w:rsidRPr="00790558" w:rsidRDefault="00710228"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Somaiya Vidyavihar</w:t>
    </w:r>
    <w:r w:rsidR="00EB65DA">
      <w:rPr>
        <w:rFonts w:ascii="Arial" w:eastAsia="Arial" w:hAnsi="Arial" w:cs="Arial"/>
        <w:color w:val="58595B"/>
        <w:sz w:val="18"/>
        <w:szCs w:val="18"/>
      </w:rPr>
      <w:t xml:space="preserve"> University</w:t>
    </w:r>
    <w:r w:rsidRPr="00790558">
      <w:rPr>
        <w:rFonts w:ascii="Arial" w:eastAsia="Arial" w:hAnsi="Arial" w:cs="Arial"/>
        <w:color w:val="58595B"/>
        <w:sz w:val="18"/>
        <w:szCs w:val="18"/>
      </w:rPr>
      <w:t>, Vidyavihar East,</w:t>
    </w:r>
  </w:p>
  <w:p w14:paraId="74894569" w14:textId="77777777" w:rsidR="00710228" w:rsidRPr="00790558" w:rsidRDefault="00710228"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Mumbai, Maharashtra 400077, India</w:t>
    </w:r>
  </w:p>
  <w:p w14:paraId="5138C541" w14:textId="01E9B25E" w:rsidR="00710228" w:rsidRPr="00790558" w:rsidRDefault="00790558"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hAnsi="Arial" w:cs="Arial"/>
        <w:noProof/>
        <w:lang w:eastAsia="en-IN" w:bidi="ar-SA"/>
      </w:rPr>
      <w:drawing>
        <wp:anchor distT="0" distB="0" distL="0" distR="0" simplePos="0" relativeHeight="251657728" behindDoc="1" locked="0" layoutInCell="1" hidden="0" allowOverlap="1" wp14:anchorId="257A7365" wp14:editId="7AC64FCC">
          <wp:simplePos x="0" y="0"/>
          <wp:positionH relativeFrom="column">
            <wp:posOffset>-967740</wp:posOffset>
          </wp:positionH>
          <wp:positionV relativeFrom="paragraph">
            <wp:posOffset>203835</wp:posOffset>
          </wp:positionV>
          <wp:extent cx="7947660" cy="572770"/>
          <wp:effectExtent l="0" t="0" r="0" b="0"/>
          <wp:wrapNone/>
          <wp:docPr id="1519040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47660" cy="572770"/>
                  </a:xfrm>
                  <a:prstGeom prst="rect">
                    <a:avLst/>
                  </a:prstGeom>
                  <a:ln/>
                </pic:spPr>
              </pic:pic>
            </a:graphicData>
          </a:graphic>
          <wp14:sizeRelH relativeFrom="margin">
            <wp14:pctWidth>0</wp14:pctWidth>
          </wp14:sizeRelH>
        </wp:anchor>
      </w:drawing>
    </w:r>
    <w:r w:rsidR="00710228" w:rsidRPr="00790558">
      <w:rPr>
        <w:rFonts w:ascii="Arial" w:eastAsia="Arial" w:hAnsi="Arial" w:cs="Arial"/>
        <w:color w:val="58595B"/>
        <w:sz w:val="18"/>
        <w:szCs w:val="18"/>
      </w:rPr>
      <w:t xml:space="preserve">P: (91-22) </w:t>
    </w:r>
    <w:r w:rsidR="00710228" w:rsidRPr="00790558">
      <w:rPr>
        <w:rFonts w:ascii="Arial" w:eastAsia="Arial" w:hAnsi="Arial" w:cs="Arial"/>
        <w:color w:val="58595B"/>
        <w:sz w:val="18"/>
        <w:szCs w:val="18"/>
        <w:highlight w:val="white"/>
      </w:rPr>
      <w:t>6644 9191</w:t>
    </w:r>
    <w:r w:rsidR="00710228" w:rsidRPr="00790558">
      <w:rPr>
        <w:rFonts w:ascii="Arial" w:eastAsia="Arial" w:hAnsi="Arial" w:cs="Arial"/>
        <w:color w:val="58595B"/>
        <w:sz w:val="18"/>
        <w:szCs w:val="18"/>
      </w:rPr>
      <w:t xml:space="preserve"> | E: </w:t>
    </w:r>
    <w:hyperlink r:id="rId2" w:history="1">
      <w:r w:rsidR="00710228" w:rsidRPr="00790558">
        <w:rPr>
          <w:rStyle w:val="Hyperlink"/>
          <w:rFonts w:ascii="Arial" w:eastAsia="Arial" w:hAnsi="Arial" w:cs="Arial"/>
          <w:sz w:val="18"/>
          <w:szCs w:val="18"/>
        </w:rPr>
        <w:t>director.kjsse@somaiya.edu</w:t>
      </w:r>
    </w:hyperlink>
    <w:r w:rsidR="00710228" w:rsidRPr="00790558">
      <w:rPr>
        <w:rFonts w:ascii="Arial" w:eastAsia="Arial" w:hAnsi="Arial" w:cs="Arial"/>
        <w:color w:val="58595B"/>
        <w:sz w:val="18"/>
        <w:szCs w:val="18"/>
      </w:rPr>
      <w:t xml:space="preserve"> | </w:t>
    </w:r>
  </w:p>
  <w:p w14:paraId="09F42F0D" w14:textId="42FD13B4" w:rsidR="00451901" w:rsidRPr="00790558" w:rsidRDefault="00710228" w:rsidP="00710228">
    <w:pPr>
      <w:pStyle w:val="Footer"/>
      <w:rPr>
        <w:rFonts w:ascii="Arial" w:hAnsi="Arial" w:cs="Arial"/>
      </w:rPr>
    </w:pPr>
    <w:r w:rsidRPr="00790558">
      <w:rPr>
        <w:rFonts w:ascii="Arial" w:eastAsia="Arial" w:hAnsi="Arial" w:cs="Arial"/>
        <w:color w:val="58595B"/>
        <w:sz w:val="18"/>
        <w:szCs w:val="18"/>
      </w:rPr>
      <w:t xml:space="preserve">W: </w:t>
    </w:r>
    <w:hyperlink r:id="rId3">
      <w:r w:rsidRPr="00790558">
        <w:rPr>
          <w:rFonts w:ascii="Arial" w:eastAsia="Arial" w:hAnsi="Arial" w:cs="Arial"/>
          <w:color w:val="1155CC"/>
          <w:sz w:val="18"/>
          <w:szCs w:val="18"/>
          <w:u w:val="single"/>
        </w:rPr>
        <w:t>https://kjsce.somaiya.edu/en</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76601" w14:textId="77777777" w:rsidR="00F2295D" w:rsidRDefault="00F2295D" w:rsidP="00451901">
      <w:pPr>
        <w:spacing w:after="0" w:line="240" w:lineRule="auto"/>
      </w:pPr>
      <w:r>
        <w:separator/>
      </w:r>
    </w:p>
  </w:footnote>
  <w:footnote w:type="continuationSeparator" w:id="0">
    <w:p w14:paraId="38F4C30F" w14:textId="77777777" w:rsidR="00F2295D" w:rsidRDefault="00F2295D" w:rsidP="00451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115B4" w14:textId="664E3CF2" w:rsidR="000009FE" w:rsidRDefault="007A273A" w:rsidP="000009FE">
    <w:pPr>
      <w:tabs>
        <w:tab w:val="left" w:pos="2930"/>
      </w:tabs>
      <w:spacing w:after="0"/>
      <w:rPr>
        <w:rFonts w:ascii="Times New Roman" w:hAnsi="Times New Roman" w:cs="Times New Roman"/>
        <w:b/>
        <w:sz w:val="20"/>
      </w:rPr>
    </w:pPr>
    <w:r>
      <w:rPr>
        <w:rFonts w:ascii="Times New Roman" w:eastAsia="Times New Roman" w:hAnsi="Times New Roman" w:cs="Times New Roman"/>
        <w:noProof/>
        <w:sz w:val="24"/>
        <w:szCs w:val="24"/>
        <w:lang w:eastAsia="en-IN" w:bidi="ar-SA"/>
      </w:rPr>
      <w:drawing>
        <wp:anchor distT="0" distB="0" distL="114300" distR="114300" simplePos="0" relativeHeight="251658752" behindDoc="0" locked="0" layoutInCell="1" allowOverlap="1" wp14:anchorId="6EACA190" wp14:editId="4A6E9B73">
          <wp:simplePos x="0" y="0"/>
          <wp:positionH relativeFrom="margin">
            <wp:posOffset>6051550</wp:posOffset>
          </wp:positionH>
          <wp:positionV relativeFrom="margin">
            <wp:posOffset>-711200</wp:posOffset>
          </wp:positionV>
          <wp:extent cx="577850" cy="412750"/>
          <wp:effectExtent l="0" t="0" r="0" b="6350"/>
          <wp:wrapSquare wrapText="bothSides"/>
          <wp:docPr id="1519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577850" cy="4127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0"/>
        <w:lang w:eastAsia="en-IN" w:bidi="ar-SA"/>
        <w14:ligatures w14:val="none"/>
      </w:rPr>
      <w:drawing>
        <wp:inline distT="0" distB="0" distL="0" distR="0" wp14:anchorId="75693038" wp14:editId="20C39C66">
          <wp:extent cx="1543050" cy="4721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JSSE_formarly.jpg"/>
                  <pic:cNvPicPr/>
                </pic:nvPicPr>
                <pic:blipFill>
                  <a:blip r:embed="rId2">
                    <a:extLst>
                      <a:ext uri="{28A0092B-C50C-407E-A947-70E740481C1C}">
                        <a14:useLocalDpi xmlns:a14="http://schemas.microsoft.com/office/drawing/2010/main" val="0"/>
                      </a:ext>
                    </a:extLst>
                  </a:blip>
                  <a:stretch>
                    <a:fillRect/>
                  </a:stretch>
                </pic:blipFill>
                <pic:spPr>
                  <a:xfrm>
                    <a:off x="0" y="0"/>
                    <a:ext cx="1543050" cy="472127"/>
                  </a:xfrm>
                  <a:prstGeom prst="rect">
                    <a:avLst/>
                  </a:prstGeom>
                </pic:spPr>
              </pic:pic>
            </a:graphicData>
          </a:graphic>
        </wp:inline>
      </w:drawing>
    </w:r>
    <w:r w:rsidR="000009FE" w:rsidRPr="000009FE">
      <w:rPr>
        <w:rFonts w:ascii="Times New Roman" w:hAnsi="Times New Roman" w:cs="Times New Roman"/>
        <w:b/>
        <w:sz w:val="20"/>
      </w:rPr>
      <w:t xml:space="preserve"> </w:t>
    </w:r>
    <w:r w:rsidR="000009FE">
      <w:rPr>
        <w:rFonts w:ascii="Times New Roman" w:eastAsia="Times New Roman" w:hAnsi="Times New Roman" w:cs="Times New Roman"/>
        <w:noProof/>
        <w:sz w:val="24"/>
        <w:szCs w:val="24"/>
        <w:lang w:val="en-US"/>
      </w:rPr>
      <w:t xml:space="preserve">                         </w:t>
    </w:r>
    <w:r w:rsidR="00790558">
      <w:rPr>
        <w:rFonts w:ascii="Times New Roman" w:eastAsia="Times New Roman" w:hAnsi="Times New Roman" w:cs="Times New Roman"/>
        <w:noProof/>
        <w:sz w:val="24"/>
        <w:szCs w:val="24"/>
        <w:lang w:val="en-US"/>
      </w:rPr>
      <w:t xml:space="preserve">                 </w:t>
    </w:r>
    <w:r w:rsidR="000009FE">
      <w:rPr>
        <w:rFonts w:ascii="Times New Roman" w:eastAsia="Times New Roman" w:hAnsi="Times New Roman" w:cs="Times New Roman"/>
        <w:noProof/>
        <w:sz w:val="24"/>
        <w:szCs w:val="24"/>
        <w:lang w:val="en-US"/>
      </w:rPr>
      <w:t xml:space="preserve">                                         </w:t>
    </w:r>
    <w:r w:rsidR="00790558">
      <w:rPr>
        <w:rFonts w:ascii="Times New Roman" w:eastAsia="Times New Roman" w:hAnsi="Times New Roman" w:cs="Times New Roman"/>
        <w:noProof/>
        <w:sz w:val="24"/>
        <w:szCs w:val="24"/>
        <w:lang w:val="en-US"/>
      </w:rPr>
      <w:t xml:space="preserve">           </w:t>
    </w:r>
    <w:r w:rsidR="000009FE">
      <w:rPr>
        <w:rFonts w:ascii="Times New Roman" w:eastAsia="Times New Roman" w:hAnsi="Times New Roman" w:cs="Times New Roman"/>
        <w:noProof/>
        <w:sz w:val="24"/>
        <w:szCs w:val="24"/>
        <w:lang w:val="en-US"/>
      </w:rPr>
      <w:t xml:space="preserve">          </w:t>
    </w:r>
    <w:r w:rsidR="00790558">
      <w:rPr>
        <w:rFonts w:ascii="Times New Roman" w:eastAsia="Times New Roman" w:hAnsi="Times New Roman" w:cs="Times New Roman"/>
        <w:noProof/>
        <w:sz w:val="24"/>
        <w:szCs w:val="24"/>
        <w:lang w:val="en-US"/>
      </w:rPr>
      <w:t xml:space="preserve"> </w:t>
    </w:r>
    <w:r w:rsidR="000009FE">
      <w:rPr>
        <w:rFonts w:ascii="Times New Roman" w:eastAsia="Times New Roman" w:hAnsi="Times New Roman" w:cs="Times New Roman"/>
        <w:noProof/>
        <w:sz w:val="24"/>
        <w:szCs w:val="24"/>
        <w:lang w:val="en-US"/>
      </w:rPr>
      <w:t xml:space="preserve">           </w:t>
    </w:r>
  </w:p>
  <w:p w14:paraId="45606492" w14:textId="77777777" w:rsidR="00451901" w:rsidRPr="00451901" w:rsidRDefault="000009FE" w:rsidP="00710228">
    <w:pPr>
      <w:tabs>
        <w:tab w:val="center" w:pos="4680"/>
        <w:tab w:val="right" w:pos="9360"/>
      </w:tabs>
      <w:spacing w:after="0" w:line="240" w:lineRule="auto"/>
      <w:ind w:left="-990" w:firstLine="540"/>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ptab w:relativeTo="margin" w:alignment="center" w:leader="none"/>
    </w:r>
    <w:r w:rsidRPr="000009FE">
      <w:rPr>
        <w:rFonts w:ascii="Times New Roman" w:eastAsia="Times New Roman" w:hAnsi="Times New Roman" w:cs="Times New Roman"/>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240C8"/>
    <w:multiLevelType w:val="hybridMultilevel"/>
    <w:tmpl w:val="2AE26C3C"/>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10D44"/>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32083B"/>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0C6B07"/>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ED20F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B74D5D"/>
    <w:multiLevelType w:val="hybridMultilevel"/>
    <w:tmpl w:val="7A1C1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004B8D"/>
    <w:multiLevelType w:val="hybridMultilevel"/>
    <w:tmpl w:val="303E4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DE2F4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360" w:hanging="220"/>
      </w:pPr>
    </w:lvl>
  </w:abstractNum>
  <w:num w:numId="1">
    <w:abstractNumId w:val="7"/>
  </w:num>
  <w:num w:numId="2">
    <w:abstractNumId w:val="4"/>
  </w:num>
  <w:num w:numId="3">
    <w:abstractNumId w:val="1"/>
  </w:num>
  <w:num w:numId="4">
    <w:abstractNumId w:val="3"/>
  </w:num>
  <w:num w:numId="5">
    <w:abstractNumId w:val="2"/>
  </w:num>
  <w:num w:numId="6">
    <w:abstractNumId w:val="6"/>
  </w:num>
  <w:num w:numId="7">
    <w:abstractNumId w:val="0"/>
  </w:num>
  <w:num w:numId="8">
    <w:abstractNumId w:val="5"/>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EA6"/>
    <w:rsid w:val="000009FE"/>
    <w:rsid w:val="000016F3"/>
    <w:rsid w:val="00022B4C"/>
    <w:rsid w:val="00075385"/>
    <w:rsid w:val="0010386E"/>
    <w:rsid w:val="00107892"/>
    <w:rsid w:val="00135F99"/>
    <w:rsid w:val="001976EA"/>
    <w:rsid w:val="0020746A"/>
    <w:rsid w:val="002C11DA"/>
    <w:rsid w:val="002D78EE"/>
    <w:rsid w:val="003330B8"/>
    <w:rsid w:val="003671F3"/>
    <w:rsid w:val="0037681D"/>
    <w:rsid w:val="00384F87"/>
    <w:rsid w:val="003967AD"/>
    <w:rsid w:val="003F17BD"/>
    <w:rsid w:val="003F669B"/>
    <w:rsid w:val="0045179D"/>
    <w:rsid w:val="00451901"/>
    <w:rsid w:val="00463AD0"/>
    <w:rsid w:val="004A4907"/>
    <w:rsid w:val="0052223A"/>
    <w:rsid w:val="00595C83"/>
    <w:rsid w:val="005A3885"/>
    <w:rsid w:val="005B0BD9"/>
    <w:rsid w:val="006205CD"/>
    <w:rsid w:val="00633759"/>
    <w:rsid w:val="006C03D7"/>
    <w:rsid w:val="006E58C2"/>
    <w:rsid w:val="00710228"/>
    <w:rsid w:val="00745D76"/>
    <w:rsid w:val="00764564"/>
    <w:rsid w:val="007874BB"/>
    <w:rsid w:val="00790558"/>
    <w:rsid w:val="007A273A"/>
    <w:rsid w:val="0086595B"/>
    <w:rsid w:val="008A3962"/>
    <w:rsid w:val="008C1D4A"/>
    <w:rsid w:val="00940000"/>
    <w:rsid w:val="00954EA6"/>
    <w:rsid w:val="00966EE6"/>
    <w:rsid w:val="009A7A4D"/>
    <w:rsid w:val="00A67F3D"/>
    <w:rsid w:val="00AB20DB"/>
    <w:rsid w:val="00B02661"/>
    <w:rsid w:val="00B34835"/>
    <w:rsid w:val="00B43427"/>
    <w:rsid w:val="00BD1D04"/>
    <w:rsid w:val="00C25805"/>
    <w:rsid w:val="00C709AD"/>
    <w:rsid w:val="00CB00A9"/>
    <w:rsid w:val="00CB71C7"/>
    <w:rsid w:val="00CC7030"/>
    <w:rsid w:val="00D06237"/>
    <w:rsid w:val="00DC3A70"/>
    <w:rsid w:val="00E417C9"/>
    <w:rsid w:val="00E60F74"/>
    <w:rsid w:val="00EB65DA"/>
    <w:rsid w:val="00EC306E"/>
    <w:rsid w:val="00EF7293"/>
    <w:rsid w:val="00F2295D"/>
    <w:rsid w:val="00F50C80"/>
    <w:rsid w:val="00F640AE"/>
    <w:rsid w:val="00F92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51B3F"/>
  <w15:docId w15:val="{C838A917-91B8-4561-B11B-6C48BFA4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3759"/>
    <w:rPr>
      <w:rFonts w:cs="Mangal"/>
      <w:kern w:val="2"/>
      <w:szCs w:val="20"/>
      <w:lang w:bidi="mr-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R1" Type="http://schemas.openxmlformats.org/officeDocument/2006/relationships/image" Target="media/rep1.jpg"/><Relationship Id="rIdR2" Type="http://schemas.openxmlformats.org/officeDocument/2006/relationships/image" Target="media/rep2.jpg"/><Relationship Id="rIdR3" Type="http://schemas.openxmlformats.org/officeDocument/2006/relationships/image" Target="media/rep3.jpg"/></Relationships>
</file>

<file path=word/_rels/footer1.xml.rels><?xml version="1.0" encoding="UTF-8" standalone="yes"?>
<Relationships xmlns="http://schemas.openxmlformats.org/package/2006/relationships"><Relationship Id="rId3" Type="http://schemas.openxmlformats.org/officeDocument/2006/relationships/hyperlink" Target="https://kjsce.somaiya.edu/en" TargetMode="External"/><Relationship Id="rId2" Type="http://schemas.openxmlformats.org/officeDocument/2006/relationships/hyperlink" Target="mailto:director.kjsse@somaiya.edu"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DFBDC-5360-4599-BD73-4E07DE4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Admin;DHS</dc:creator>
  <cp:lastModifiedBy>Admin</cp:lastModifiedBy>
  <cp:revision>11</cp:revision>
  <cp:lastPrinted>2024-11-28T04:09:00Z</cp:lastPrinted>
  <dcterms:created xsi:type="dcterms:W3CDTF">2024-11-28T03:54:00Z</dcterms:created>
  <dcterms:modified xsi:type="dcterms:W3CDTF">2026-10-13T06:41:00Z</dcterms:modified>
</cp:coreProperties>
</file>