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0081" w14:textId="77777777" w:rsidR="00B8752D" w:rsidRPr="005659AD" w:rsidRDefault="00B8752D">
      <w:pPr>
        <w:pageBreakBefore/>
      </w:pPr>
    </w:p>
    <w:p w14:paraId="4E120FAE" w14:textId="77777777" w:rsidR="00B8752D" w:rsidRPr="005659AD" w:rsidRDefault="00B8752D">
      <w:pPr>
        <w:spacing w:after="360"/>
        <w:ind w:left="360" w:right="360"/>
        <w:jc w:val="center"/>
      </w:pPr>
    </w:p>
    <w:p w14:paraId="25F0769B" w14:textId="77777777" w:rsidR="00B8752D" w:rsidRPr="005659AD" w:rsidRDefault="00000000">
      <w:pPr>
        <w:spacing w:after="140"/>
        <w:jc w:val="center"/>
        <w:rPr>
          <w:rFonts w:ascii="Arial" w:eastAsia="Arial" w:hAnsi="Arial" w:cs="Arial"/>
          <w:b/>
          <w:bCs/>
          <w:color w:val="24B8BE"/>
          <w:sz w:val="24"/>
          <w:szCs w:val="24"/>
        </w:rPr>
      </w:pPr>
      <w:r w:rsidRPr="005659AD">
        <w:rPr>
          <w:rFonts w:ascii="Arial" w:eastAsia="Arial" w:hAnsi="Arial" w:cs="Arial"/>
          <w:b/>
          <w:bCs/>
          <w:color w:val="24B8BE"/>
          <w:sz w:val="24"/>
          <w:szCs w:val="24"/>
        </w:rPr>
        <w:t>EQUIPE RESPONSÁVEL — NEXORA</w:t>
      </w:r>
    </w:p>
    <w:p w14:paraId="1502DD78" w14:textId="77777777" w:rsidR="00B8752D" w:rsidRPr="005659AD" w:rsidRDefault="00000000">
      <w:pPr>
        <w:spacing w:after="360"/>
        <w:ind w:left="360" w:right="360"/>
        <w:jc w:val="center"/>
        <w:rPr>
          <w:rFonts w:ascii="Arial" w:eastAsia="Arial" w:hAnsi="Arial" w:cs="Arial"/>
          <w:b/>
          <w:bCs/>
          <w:color w:val="24B8BE"/>
          <w:sz w:val="20"/>
          <w:szCs w:val="20"/>
        </w:rPr>
      </w:pPr>
      <w:r w:rsidRPr="005659AD">
        <w:rPr>
          <w:rFonts w:ascii="Arial" w:eastAsia="Arial" w:hAnsi="Arial" w:cs="Arial"/>
          <w:color w:val="364253"/>
          <w:sz w:val="22"/>
          <w:szCs w:val="22"/>
        </w:rPr>
        <w:t>Sonival dos Santos  •  Anderson  •  Ulisses  •  Vanessa  •  Beatriz Tenório</w:t>
      </w:r>
    </w:p>
    <w:p w14:paraId="29F7112C" w14:textId="77777777" w:rsidR="00B8752D" w:rsidRPr="005659AD" w:rsidRDefault="00000000">
      <w:pPr>
        <w:spacing w:after="400"/>
        <w:jc w:val="center"/>
        <w:rPr>
          <w:rFonts w:ascii="Arial" w:eastAsia="Arial" w:hAnsi="Arial" w:cs="Arial"/>
          <w:sz w:val="18"/>
          <w:szCs w:val="18"/>
        </w:rPr>
      </w:pPr>
      <w:r w:rsidRPr="005659AD">
        <w:rPr>
          <w:rFonts w:ascii="Arial" w:eastAsia="Arial" w:hAnsi="Arial" w:cs="Arial"/>
          <w:color w:val="11223B"/>
          <w:sz w:val="22"/>
          <w:szCs w:val="22"/>
        </w:rPr>
        <w:t>Setembro de 2016 a outubro de 2018</w:t>
      </w:r>
    </w:p>
    <w:p w14:paraId="5B752E61" w14:textId="64DBF8EE" w:rsidR="00B8752D" w:rsidRPr="005659AD" w:rsidRDefault="00B8752D">
      <w:pPr>
        <w:pBdr>
          <w:bottom w:val="single" w:sz="18" w:space="1" w:color="35D9C8"/>
        </w:pBdr>
        <w:spacing w:after="400"/>
        <w:jc w:val="center"/>
      </w:pPr>
    </w:p>
    <w:p w14:paraId="5284D4F3" w14:textId="77777777" w:rsidR="007E5577" w:rsidRPr="005659AD" w:rsidRDefault="007E5577">
      <w:pPr>
        <w:pBdr>
          <w:bottom w:val="single" w:sz="18" w:space="1" w:color="35D9C8"/>
        </w:pBdr>
        <w:spacing w:after="400"/>
        <w:jc w:val="center"/>
      </w:pPr>
    </w:p>
    <w:p w14:paraId="398117E1" w14:textId="77777777" w:rsidR="00B8752D" w:rsidRPr="005659AD" w:rsidRDefault="00000000">
      <w:pPr>
        <w:spacing w:after="400"/>
        <w:jc w:val="center"/>
      </w:pPr>
      <w:r w:rsidRPr="005659AD">
        <w:rPr>
          <w:rFonts w:ascii="Aptos" w:eastAsia="Aptos" w:hAnsi="Aptos" w:cs="Aptos"/>
          <w:color w:val="55657A"/>
          <w:sz w:val="26"/>
          <w:szCs w:val="26"/>
        </w:rPr>
        <w:t>Análise exploratória de 99.441 pedidos</w:t>
      </w:r>
    </w:p>
    <w:p w14:paraId="287DE802" w14:textId="77777777" w:rsidR="00B8752D" w:rsidRPr="005659AD" w:rsidRDefault="00000000">
      <w:pPr>
        <w:spacing w:after="200"/>
        <w:ind w:left="504" w:right="504"/>
        <w:jc w:val="center"/>
      </w:pPr>
      <w:r w:rsidRPr="005659AD">
        <w:rPr>
          <w:rFonts w:ascii="Play" w:eastAsia="Play" w:hAnsi="Play" w:cs="Play"/>
          <w:b/>
          <w:bCs/>
          <w:color w:val="11223B"/>
          <w:sz w:val="48"/>
          <w:szCs w:val="48"/>
        </w:rPr>
        <w:t>Olist: diagnóstico de dados e oportunidades de IA Generativa e Agentes de IA</w:t>
      </w:r>
    </w:p>
    <w:p w14:paraId="013A6355" w14:textId="77777777" w:rsidR="00B8752D" w:rsidRPr="005659AD" w:rsidRDefault="00000000">
      <w:pPr>
        <w:spacing w:before="440" w:after="160"/>
        <w:jc w:val="center"/>
      </w:pPr>
      <w:r w:rsidRPr="005659AD">
        <w:rPr>
          <w:rFonts w:ascii="Aptos" w:eastAsia="Aptos" w:hAnsi="Aptos" w:cs="Aptos"/>
          <w:b/>
          <w:bCs/>
          <w:color w:val="24B8BE"/>
          <w:sz w:val="28"/>
          <w:szCs w:val="28"/>
        </w:rPr>
        <w:t>RELATÓRIO EXECUTIVO</w:t>
      </w:r>
    </w:p>
    <w:p w14:paraId="380155BF" w14:textId="77777777" w:rsidR="00B8752D" w:rsidRPr="005659AD" w:rsidRDefault="00000000">
      <w:pPr>
        <w:spacing w:before="680" w:after="480"/>
        <w:jc w:val="center"/>
      </w:pPr>
      <w:r w:rsidRPr="005659AD">
        <w:rPr>
          <w:noProof/>
        </w:rPr>
        <w:drawing>
          <wp:inline distT="0" distB="0" distL="0" distR="0" wp14:anchorId="72E79E15" wp14:editId="3AA870C8">
            <wp:extent cx="4206240" cy="1448816"/>
            <wp:effectExtent l="0" t="0" r="0" b="0"/>
            <wp:docPr id="3621010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48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35E20" w14:textId="77777777" w:rsidR="00B8752D" w:rsidRPr="005659AD" w:rsidRDefault="00000000">
      <w:pPr>
        <w:pageBreakBefore/>
        <w:spacing w:after="28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b/>
          <w:bCs/>
          <w:color w:val="11223B"/>
          <w:sz w:val="48"/>
          <w:szCs w:val="48"/>
        </w:rPr>
        <w:lastRenderedPageBreak/>
        <w:t>ÍNDICE</w:t>
      </w:r>
    </w:p>
    <w:p w14:paraId="017EB97C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Sumário executivo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Principais indicadores, achados e recomendações</w:t>
      </w:r>
    </w:p>
    <w:p w14:paraId="759E84F0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1. Contexto, escopo e qualidade dos dados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 e limitações</w:t>
      </w:r>
    </w:p>
    <w:p w14:paraId="5D5EE28C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2. Principais problemas e oportunidades identificados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Frentes de desafio e problemas prioritários</w:t>
      </w:r>
    </w:p>
    <w:p w14:paraId="1C2607E0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3. Análises realizadas no dataset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Visão geral, logística, reviews, retenção, produtos, vendedores, pagamentos e sazonalidade</w:t>
      </w:r>
    </w:p>
    <w:p w14:paraId="7A08EF3E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4. Sugestões iniciais de uso de IA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Portfólio, casos prioritários, arquitetura e roteiro em ondas</w:t>
      </w:r>
    </w:p>
    <w:p w14:paraId="43CF19AE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5. Impacto esperado para o negócio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Indicadores-alvo, estimativas de valor, riscos e próximos passos</w:t>
      </w:r>
    </w:p>
    <w:p w14:paraId="7B19014C" w14:textId="1459B431" w:rsidR="00B8752D" w:rsidRPr="005659AD" w:rsidRDefault="005659AD">
      <w:pPr>
        <w:pageBreakBefore/>
        <w:spacing w:after="2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SUMÁRIO EXECUTIVO</w:t>
      </w:r>
    </w:p>
    <w:p w14:paraId="0953BFB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Olist conecta milhares de pequenos e médios vendedores aos grandes marketplaces brasileiros. A análise da base de 99,4 mil pedidos mostra um negócio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forte crescimento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(os pedidos mensais passaram de ~800 em jan/2017 para 6–7 mil a partir de 2018), com clientes majoritariamente satisfeitos (nota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4,09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77% de avaliações 4 ou 5). Por trás dessa média, porém, há quatro problemas estruturais que limitam rentabilidade e escala — e todos têm resposta direta em IA Generativa e Agentes de IA.</w:t>
      </w:r>
    </w:p>
    <w:tbl>
      <w:tblPr>
        <w:tblStyle w:val="aff0"/>
        <w:tblW w:w="9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7"/>
        <w:gridCol w:w="1927"/>
        <w:gridCol w:w="1927"/>
        <w:gridCol w:w="1927"/>
        <w:gridCol w:w="1927"/>
      </w:tblGrid>
      <w:tr w:rsidR="00B8752D" w:rsidRPr="005659AD" w14:paraId="579C8510" w14:textId="77777777"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CED9F2C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R$ 13,6 mi</w:t>
            </w:r>
          </w:p>
          <w:p w14:paraId="73004BD3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receita de produtos (GMV)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D69CCC5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99,4 mil</w:t>
            </w:r>
          </w:p>
          <w:p w14:paraId="0EE189CC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D6FFDB2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4,09</w:t>
            </w:r>
          </w:p>
          <w:p w14:paraId="4C648468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nota média de avaliação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738759A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6,8%</w:t>
            </w:r>
          </w:p>
          <w:p w14:paraId="5C047D65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 entregues com atraso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4B6D79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3,1%</w:t>
            </w:r>
          </w:p>
          <w:p w14:paraId="6FB3965E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clientes que recompram</w:t>
            </w:r>
          </w:p>
        </w:tc>
      </w:tr>
    </w:tbl>
    <w:p w14:paraId="2AA9ACD4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4A57F7B7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quatro achados que mais importam</w:t>
      </w:r>
    </w:p>
    <w:p w14:paraId="2BC6F1E3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O atraso é o principal destruidor de satisfação.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Pedidos entregues no prazo têm nota média 4,29; atrasados, 2,27. A taxa de avaliações negativas (1–2) salta de 9% para 62%. 43% dos comentários negativos falam de atraso ou não recebimento.</w:t>
      </w:r>
    </w:p>
    <w:p w14:paraId="0A3A531B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retenção é praticamente inexistente.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96,9% dos 96 mil clientes únicos compraram uma única vez. Não há mecanismo ativo de recompra, embora os 10% de clientes de maior valor concentrem 41% da receita.</w:t>
      </w:r>
    </w:p>
    <w:p w14:paraId="7A92EAC7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operação não escala de forma homogênea.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picos de demanda (Black Friday 2017, fev–mar/2018), a taxa de atraso sobe de ~3–4% para 12–19%. Nordeste e Norte esperam o dobro do tempo do Sudeste e pagam frete proporcionalmente 43–50% maior.</w:t>
      </w:r>
    </w:p>
    <w:p w14:paraId="7145C86E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Há um grupo pequeno de vendedores que gera desproporcionalmente problemas.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25 vendedores com nota &lt; 3,5 levam 7,4 dias para despachar (vs. 2,1 dos melhores) e atrasam 3,5× mais. Ao mesmo tempo, 9,4% dos itens são postados após o prazo-limite de envio.</w:t>
      </w:r>
    </w:p>
    <w:p w14:paraId="7F084F01" w14:textId="35D2B45C" w:rsidR="00B8752D" w:rsidRPr="005659AD" w:rsidRDefault="00000000" w:rsidP="00245F13">
      <w:pPr>
        <w:pStyle w:val="Ttulo3"/>
        <w:spacing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 que propomos</w:t>
      </w:r>
      <w:r w:rsidR="00245F13">
        <w:rPr>
          <w:rFonts w:ascii="Aptos" w:eastAsia="Aptos" w:hAnsi="Aptos" w:cs="Aptos"/>
          <w:color w:val="000000"/>
          <w:sz w:val="24"/>
          <w:szCs w:val="24"/>
        </w:rPr>
        <w:t xml:space="preserve">: </w:t>
      </w:r>
      <w:r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A proposta foi reestruturada para concentrar a implementação em três agentes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que fosse</w:t>
      </w:r>
      <w:r w:rsid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m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capazes de atuar nos maiores problemas da empresa.</w:t>
      </w:r>
    </w:p>
    <w:tbl>
      <w:tblPr>
        <w:tblStyle w:val="a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8"/>
      </w:tblGrid>
      <w:tr w:rsidR="00B8752D" w:rsidRPr="005659AD" w14:paraId="26BD23CA" w14:textId="77777777">
        <w:tc>
          <w:tcPr>
            <w:tcW w:w="9638" w:type="dxa"/>
            <w:tcBorders>
              <w:top w:val="nil"/>
              <w:left w:val="single" w:sz="24" w:space="0" w:color="1C5CAB"/>
              <w:bottom w:val="nil"/>
              <w:right w:val="nil"/>
            </w:tcBorders>
            <w:shd w:val="clear" w:color="auto" w:fill="E8F0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CBDD15" w14:textId="77777777" w:rsidR="00B8752D" w:rsidRPr="005659AD" w:rsidRDefault="00000000">
            <w:pPr>
              <w:spacing w:after="80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b/>
                <w:bCs/>
                <w:i/>
                <w:iCs/>
                <w:color w:val="1C5CAB"/>
              </w:rPr>
              <w:t>Impacto estimado (hipóteses conservadoras, a validar em piloto)</w:t>
            </w:r>
          </w:p>
          <w:p w14:paraId="33ED7B6C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Reduzir a taxa de atraso de 6,8% para ~5% evita cerca de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1.700 pedidos atrasados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período analisado e aproximadamente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900 avaliações negativas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.</w:t>
            </w:r>
          </w:p>
          <w:p w14:paraId="38A49D66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Elevar a recompra de 3,1% para 5% representaria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~R$ 280 mil adicionais em GMV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mesmo horizonte (≈ +2%), com custo de aquisição próximo de zero.</w:t>
            </w:r>
          </w:p>
          <w:p w14:paraId="1E37309E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Triagem automática de reviews e atendimento: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redução de 40–60% do esforço manual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de leitura e classificação, com resposta em minutos em vez de ~1,7 dia.</w:t>
            </w:r>
          </w:p>
          <w:p w14:paraId="4650D9B7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• Copiloto de dados: decisões operacionais (por estado, categoria e vendedor) passam de dias para minutos, sem depender de filas de BI.</w:t>
            </w:r>
          </w:p>
        </w:tc>
      </w:tr>
    </w:tbl>
    <w:p w14:paraId="4112BBD9" w14:textId="7D06B9FE" w:rsidR="00B8752D" w:rsidRPr="005659AD" w:rsidRDefault="005659AD" w:rsidP="003324A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CONTEXTO, ESCOPO E QUALIDADE DOS DADOS</w:t>
      </w:r>
    </w:p>
    <w:p w14:paraId="06BD47E8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Olist deseja iniciar sua jornada de transformação com IA Generativa, modelos preditivos e agentes especializados, concentrando o escopo em três frentes: previsibilidade logística, comunicação preventiva com clientes e disciplina operacional dos vendedores.</w:t>
      </w:r>
    </w:p>
    <w:p w14:paraId="267C3B1E" w14:textId="708168D3" w:rsidR="00B8752D" w:rsidRPr="005659AD" w:rsidRDefault="00000000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</w:t>
      </w:r>
    </w:p>
    <w:tbl>
      <w:tblPr>
        <w:tblStyle w:val="aff2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1134"/>
        <w:gridCol w:w="6949"/>
      </w:tblGrid>
      <w:tr w:rsidR="00B8752D" w:rsidRPr="005659AD" w14:paraId="4FCD0D98" w14:textId="77777777">
        <w:trPr>
          <w:cantSplit/>
          <w:tblHeader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AB58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Tabela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E005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24B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Conteúdo principal</w:t>
            </w:r>
          </w:p>
        </w:tc>
      </w:tr>
      <w:tr w:rsidR="00B8752D" w:rsidRPr="005659AD" w14:paraId="0980E013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F51F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511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BA97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ID do cliente por pedido, ID único do cliente, CEP, cidade, UF</w:t>
            </w:r>
          </w:p>
        </w:tc>
      </w:tr>
      <w:tr w:rsidR="00B8752D" w:rsidRPr="005659AD" w14:paraId="15011577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0E1F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88E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5433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Status e datas de compra, aprovação, postagem, entrega e prazo estimado</w:t>
            </w:r>
          </w:p>
        </w:tc>
      </w:tr>
      <w:tr w:rsidR="00B8752D" w:rsidRPr="005659AD" w14:paraId="7AD44AC9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205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order_items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28697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112.650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238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por pedido, produto, vendedor, preço, frete, prazo-limite de envio</w:t>
            </w:r>
          </w:p>
        </w:tc>
      </w:tr>
      <w:tr w:rsidR="00B8752D" w:rsidRPr="005659AD" w14:paraId="0E72BEF6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605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payments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AB23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103.886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3A16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Forma de pagamento, parcelas, valor</w:t>
            </w:r>
          </w:p>
        </w:tc>
      </w:tr>
      <w:tr w:rsidR="00B8752D" w:rsidRPr="005659AD" w14:paraId="1F1171EF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4AA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order_reviews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E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97.892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4C25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(1–5), título e texto do comentário, datas de criação e resposta</w:t>
            </w:r>
          </w:p>
        </w:tc>
      </w:tr>
      <w:tr w:rsidR="00B8752D" w:rsidRPr="005659AD" w14:paraId="33ECAE3C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C92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products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B65E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32.951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22B1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Categoria, tamanho de nome/descrição, nº de fotos, peso e dimensões</w:t>
            </w:r>
          </w:p>
        </w:tc>
      </w:tr>
      <w:tr w:rsidR="00B8752D" w:rsidRPr="005659AD" w14:paraId="043E4E0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4FE3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sellers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8D28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3.095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1636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CEP, cidade e UF do vendedor</w:t>
            </w:r>
          </w:p>
        </w:tc>
      </w:tr>
      <w:tr w:rsidR="00B8752D" w:rsidRPr="005659AD" w14:paraId="276E61A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3C3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geolocation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53E6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1.000.163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7769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Latitude/longitude por prefixo de CEP</w:t>
            </w:r>
          </w:p>
        </w:tc>
      </w:tr>
    </w:tbl>
    <w:p w14:paraId="50A4AD0A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588F3804" w14:textId="20D09D21" w:rsidR="00B8752D" w:rsidRPr="005659AD" w:rsidRDefault="00000000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Tratamento e limitações</w:t>
      </w:r>
    </w:p>
    <w:p w14:paraId="0964D410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arquivo Excel original armazena cada linha CSV em uma única célula, com textos de comentários quebrados em várias linhas e codificação de acentos corrompida. Os dados foram 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reconstruídos e normalizados (UTF-8)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antes da análise.</w:t>
      </w:r>
    </w:p>
    <w:p w14:paraId="7C281EC9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Na tabela de reviews, 1.311 registros tiveram o texto reconstruído a partir de fragmentos; as notas foram preservadas. A base final tem 97,9 mil avaliações (a fonte pública original tem ~99,2 mil) — diferença sem efeito material nas conclusões.</w:t>
      </w:r>
    </w:p>
    <w:p w14:paraId="2A31EEF8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período útil vai de 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jan/2017 a ago/2018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; os meses de 2016 e set–out/2018 têm volume residual e foram tratados como bordas da série.</w:t>
      </w:r>
    </w:p>
    <w:p w14:paraId="58A973F0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análise de texto dos comentários usou regras de palavras-chave (dicionário em português). É uma aproximação: um dos primeiros ganhos da IA Generativa é justamente substituir essa classificação por um modelo de linguagem com maior precisão.</w:t>
      </w:r>
    </w:p>
    <w:p w14:paraId="77D1A1D7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Valores monetários estão em reais nominais. “GMV” neste documento refere-se à soma do preço dos itens, sem frete (R$ 13,59 mi); com frete, o total chega a R$ 15,84 mi, e a soma dos pagamentos é R$ 16,0 mi (inclui juros de parcelamento).</w:t>
      </w:r>
    </w:p>
    <w:p w14:paraId="403AA546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24E34520" w14:textId="1021B612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PRINCIPAIS PROBLEMAS E OPORTUNIDADES IDENTIFICADOS</w:t>
      </w:r>
    </w:p>
    <w:p w14:paraId="3DDF962C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tabela a seguir conecta cada uma das oito frentes de desafio da Olist à evidência encontrada nos dados e à oportunidade correspondente. A severidade combina o tamanho do efeito observado com a quantidade de pedidos ou clientes afetados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.</w:t>
      </w:r>
    </w:p>
    <w:tbl>
      <w:tblPr>
        <w:tblStyle w:val="af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50"/>
        <w:gridCol w:w="3600"/>
        <w:gridCol w:w="2900"/>
        <w:gridCol w:w="1388"/>
      </w:tblGrid>
      <w:tr w:rsidR="00B8752D" w:rsidRPr="005659AD" w14:paraId="472EA07F" w14:textId="77777777">
        <w:trPr>
          <w:cantSplit/>
          <w:tblHeader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0DCA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Frente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D646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nos dados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BC88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Oportunidade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78ED0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Severidade</w:t>
            </w:r>
          </w:p>
        </w:tc>
      </w:tr>
      <w:tr w:rsidR="00B8752D" w:rsidRPr="005659AD" w14:paraId="7FCD3D1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0074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Experiência do cliente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4BC4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cai de 4,29 (no prazo) para 2,27 (atrasado); pedidos não entregues têm nota 1,75; pedidos com mais de um vendedor têm nota 2,85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90A6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proativa e resolução antes da reclamação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0D3E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954BEB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CFA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logística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80EA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de atraso; prazo prometido de 23,7 dias vs. real de 12,6; Nordeste com 12,7% de atraso e 20 dias de entrega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82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Previsão de prazo por rota e alerta de risco de atraso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5395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C014B77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4E26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Retenção e fidelização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E9E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96,9% dos clientes compram uma única vez; top 10% concentram 41% da receita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8E6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personalizada e programas por valor de cliente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BDA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795F53D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8FCF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 de reviews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E00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41% das avaliações têm texto (~40 mil comentários); 10,7 mil negativos sem classificação estruturada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5134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automática de causa-raiz e priorização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04A4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5B338646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96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C46D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 dos itens postados após o prazo-limite; vendedores ruins levam 7,4 dias para postar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58E7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Monitoramento e coaching automatizado de vendedores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6B96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7F9BF5D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0DF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de processos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6AB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dos produtos têm só 1 foto; 1,9% sem categoria; resposta a reviews em ~1,7 dia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A9C5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Enriquecimento de catálogo e respostas geradas por IA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D957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7B9126EB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2D3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Apoio à decisão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6AE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Grande variação por UF, categoria e vendedor exige cortes analíticos frequentes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001E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em linguagem natural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5412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63DA0F1C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9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Escalabilidade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C40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salta para 12–19% em picos (nov/17, fev–mar/18); 82% dos pedidos entre 10h e 22h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9A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Agentes que absorvem picos sem aumento proporcional de equipe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3F0D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</w:tbl>
    <w:p w14:paraId="3F82A42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11E1279F" w14:textId="0E7B1FFE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Problemas prioritários</w:t>
      </w:r>
    </w:p>
    <w:p w14:paraId="05B9A701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P1. Atraso na entrega como causa-raiz da insatisfação</w:t>
      </w:r>
    </w:p>
    <w:p w14:paraId="3E48733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efeito do atraso é o mais forte de toda a base: a partir de 4 dias de atraso, a nota média cai abaixo de 2,4 e mais de 60% das avaliações são negativas. Como o restante da jornada (aprovação de pagamento em ~20 minutos, produto bem avaliado quando chega no prazo) funciona bem,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resolver o atraso é a alavanca individual de maior retorno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sobre a satisfação.</w:t>
      </w:r>
    </w:p>
    <w:p w14:paraId="7C797C2A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P2. Base de clientes que não volta</w:t>
      </w:r>
    </w:p>
    <w:p w14:paraId="5B9D6060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Com apenas 3,1% de clientes recorrentes, a Olist praticamente “recompra” cada cliente pelo canal do marketplace. Mesmo clientes que deram nota 5 recompram só 3,8% das vezes — a satisfação existe, mas não há mecanismo que a converta em fidelidade.</w:t>
      </w:r>
    </w:p>
    <w:p w14:paraId="3F872C4D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P3. Operação que degrada em picos</w:t>
      </w:r>
    </w:p>
    <w:p w14:paraId="3FBB4F4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picos de demanda dobram ou triplicam a taxa de atraso. A estrutura atual escala linearmente (mais pedidos exigem mais pessoas e mais coordenação manual com vendedores e transportadoras), o que é exatamente o cenário em que agentes de IA geram mais valor.</w:t>
      </w:r>
    </w:p>
    <w:p w14:paraId="0FDC3CD2" w14:textId="77777777" w:rsidR="00B8752D" w:rsidRPr="005659AD" w:rsidRDefault="00000000">
      <w:pPr>
        <w:pStyle w:val="Ttulo3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sz w:val="24"/>
          <w:szCs w:val="24"/>
        </w:rPr>
        <w:t>P4. Heterogeneidade dos vendedores</w:t>
      </w:r>
    </w:p>
    <w:p w14:paraId="0F15ED5A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A receita é concentrada (18% dos vendedores respondem por 80% do GMV), mas 59% dos vendedores têm menos de 10 pedidos — uma cauda longa que precisa de orientação para operar bem. Um grupo pequeno de vendedores com baixo desempenho contamina a experiência e a reputação da plataforma.</w:t>
      </w:r>
    </w:p>
    <w:p w14:paraId="573F5DDA" w14:textId="07017B62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Oportunidades adicionais</w:t>
      </w:r>
    </w:p>
    <w:p w14:paraId="35004AF7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Prazo prometido excessivamente conservador: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entrega real é, em média, 11 dias mais rápida que a estimada. Prazos mais precisos podem aumentar conversão no marketplace sem elevar o risco de atraso.</w:t>
      </w:r>
    </w:p>
    <w:p w14:paraId="6748A63E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Pedidos com múltiplos itens/vendedores: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representam ~10% dos pedidos, mas têm nota 0,6 a 1,3 ponto menor — um problema de coordenação de entregas parciais que pode ser comunicado e orquestrado por agentes.</w:t>
      </w:r>
    </w:p>
    <w:p w14:paraId="691E816C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Frete regional: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 Norte e Nordeste o frete equivale a 22–23% do valor dos produtos (vs. 15% no Sudeste). Apenas 36% dos itens são vendidos dentro do mesmo estado do vendedor — há espaço para recomendar vendedores mais próximos e otimizar rotas.</w:t>
      </w:r>
    </w:p>
    <w:p w14:paraId="5257F176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Catálogo: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produtos com mais fotos têm notas ligeiramente maiores (4,15 com 5+ fotos vs. 4,08 com 1 foto), e metade do catálogo tem apenas uma foto. IA Generativa pode enriquecer descrições e atributos em escala.</w:t>
      </w:r>
    </w:p>
    <w:p w14:paraId="12D724EB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189C30CB" w14:textId="07F53BFC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ANÁLISES REALIZADAS NO DATASET</w:t>
      </w:r>
    </w:p>
    <w:p w14:paraId="3B08A94C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As análises foram feitas integrando as oito tabelas pelas chaves de pedido, cliente, produto e vendedor. Cada subseção resume a pergunta de negócio, o método e o resultado.</w:t>
      </w:r>
    </w:p>
    <w:p w14:paraId="5653A25F" w14:textId="4487CFBF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Visão geral e crescimento</w:t>
      </w:r>
    </w:p>
    <w:p w14:paraId="61890794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Foram registrados 99.441 pedidos, de 96.096 clientes únicos, envolvendo 32.951 produtos e 3.095 vendedores. O ticket médio é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R$ 137,75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produtos (mais R$ 22,82 de frete), com 1,14 item por pedido. 97,0% dos pedidos foram entregues; 1,2% foram cancelados ou ficaram indisponíveis.</w:t>
      </w:r>
    </w:p>
    <w:p w14:paraId="60F49646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AFB8AE3" wp14:editId="6FBDE9D8">
            <wp:extent cx="4801095" cy="1983179"/>
            <wp:effectExtent l="0" t="0" r="0" b="0"/>
            <wp:docPr id="362101089" name="image3.png" descr="c1_mens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1_mensal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127" cy="1992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5EFA5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1 – Volume mensal de pedidos. O pico de nov/2017 (Black Friday, 1.176 pedidos em um único dia) antecipa o novo patamar de 2018.</w:t>
      </w:r>
    </w:p>
    <w:p w14:paraId="0A375C38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volume cresceu cerca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8× entre jan/2017 e o patamar de 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Esse crescimento é o pano de fundo dos problemas de escala: os indicadores de atraso pioram exatamente nos meses de transição de patamar.</w:t>
      </w:r>
    </w:p>
    <w:p w14:paraId="08D98A91" w14:textId="327EAD4A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Eficiência logística</w:t>
      </w:r>
    </w:p>
    <w:p w14:paraId="1CA59553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Decompusemos o ciclo do pedido em etapas. A aprovação do pagamento é quase instantânea (mediana de 20 minutos); o vendedor leva em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2,8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para entregar à transportadora; e o transporte até o cliente leva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9,3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O prazo total médio é de 12,6 dias (mediana de 10,2), contra um prazo prometido médio de 23,7 dias.</w:t>
      </w:r>
    </w:p>
    <w:tbl>
      <w:tblPr>
        <w:tblStyle w:val="aff4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0"/>
        <w:gridCol w:w="3638"/>
      </w:tblGrid>
      <w:tr w:rsidR="00B8752D" w:rsidRPr="005659AD" w14:paraId="45BE225A" w14:textId="77777777">
        <w:trPr>
          <w:cantSplit/>
          <w:tblHeader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50E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 logístico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310F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8752D" w:rsidRPr="005659AD" w14:paraId="21F896B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8BC0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de entrega (compra → cliente)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115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12,6 dias (mediana 10,2)</w:t>
            </w:r>
          </w:p>
        </w:tc>
      </w:tr>
      <w:tr w:rsidR="00B8752D" w:rsidRPr="005659AD" w14:paraId="20B7FC86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A54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prometido ao cliente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445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23,7 dias</w:t>
            </w:r>
          </w:p>
        </w:tc>
      </w:tr>
      <w:tr w:rsidR="00B8752D" w:rsidRPr="005659AD" w14:paraId="56CBB9A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F6D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Pedidos entregues após o prazo prometido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F48E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(6.534 pedidos; R$ 986 mil em GMV)</w:t>
            </w:r>
          </w:p>
        </w:tc>
      </w:tr>
      <w:tr w:rsidR="00B8752D" w:rsidRPr="005659AD" w14:paraId="196BCBB2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144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médio quando há atraso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EFF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11,3 dias</w:t>
            </w:r>
          </w:p>
        </w:tc>
      </w:tr>
      <w:tr w:rsidR="00B8752D" w:rsidRPr="005659AD" w14:paraId="017927D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233E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aprovação → postagem (vendedor)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DB5E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 dias</w:t>
            </w:r>
          </w:p>
        </w:tc>
      </w:tr>
      <w:tr w:rsidR="00B8752D" w:rsidRPr="005659AD" w14:paraId="45FFA9E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ABF7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postagem → entrega (transportadora)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0404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9,3 dias</w:t>
            </w:r>
          </w:p>
        </w:tc>
      </w:tr>
      <w:tr w:rsidR="00B8752D" w:rsidRPr="005659AD" w14:paraId="22CB162D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79C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o prazo-limite de envio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BC11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</w:tr>
    </w:tbl>
    <w:p w14:paraId="641E843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01C2A027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lastRenderedPageBreak/>
        <w:drawing>
          <wp:inline distT="0" distB="0" distL="0" distR="0" wp14:anchorId="1B35197F" wp14:editId="4B6B469D">
            <wp:extent cx="4955474" cy="1959428"/>
            <wp:effectExtent l="0" t="0" r="0" b="3175"/>
            <wp:docPr id="362101088" name="image9.png" descr="c4_atraso_m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4_atraso_me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9410" cy="1964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6A2CE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2 – Taxa de atraso por mês da compra. Os picos coincidem com a Black Friday (nov/17) e com o salto de volume do 1º trimestre de 2018.</w:t>
      </w:r>
    </w:p>
    <w:p w14:paraId="222079E1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375FE7D" wp14:editId="27F8F448">
            <wp:extent cx="5038602" cy="1852551"/>
            <wp:effectExtent l="0" t="0" r="0" b="0"/>
            <wp:docPr id="362101091" name="image12.png" descr="c5_regia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c5_regiao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711" cy="18614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6A54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3 – Prazo, atraso e peso do frete por região do cliente. Norte e Nordeste combinam entrega mais lenta, mais atraso e frete relativamente mais caro.</w:t>
      </w:r>
    </w:p>
    <w:p w14:paraId="6C2BFE3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No recorte por estado, os piores índices de atraso estão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Alagoas (21%), Maranhão (17%), Sergipe (15%)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Piauí e Ceará (14%). O Rio de Janeiro chama atenção: é o 2º maior mercado (12,4 mil pedidos) e tem 12,1% de atraso, quase 3× o de São Paulo (4,5%). Como 60% dos vendedores estão em SP, a distância vendedor–cliente explica boa parte da variação.</w:t>
      </w:r>
    </w:p>
    <w:p w14:paraId="6EC38A4B" w14:textId="7D7FFFA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Experiência do cliente e análise de reviews</w:t>
      </w:r>
    </w:p>
    <w:p w14:paraId="5E9D600C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distribuição das notas é polarizada: 58% de notas 5, mas 11,5% de notas 1. Cerca de 41% das avaliações trazem comentário escrito, um volume (~40 mil textos) inviável de ler manualmente de forma sistemática.</w:t>
      </w:r>
    </w:p>
    <w:p w14:paraId="567A8F7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5EBAB6AF" wp14:editId="11947145">
            <wp:extent cx="4240481" cy="1745673"/>
            <wp:effectExtent l="0" t="0" r="8255" b="6985"/>
            <wp:docPr id="362101090" name="image8.png" descr="c2_not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2_nota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6690" cy="17564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F942A" w14:textId="77777777" w:rsidR="00B8752D" w:rsidRPr="005659AD" w:rsidRDefault="00000000">
      <w:pPr>
        <w:spacing w:before="40" w:after="2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4 – Distribuição das notas de avaliação.</w:t>
      </w:r>
    </w:p>
    <w:p w14:paraId="3A43DC5C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lastRenderedPageBreak/>
        <w:t>Ao cruzar a nota com a diferença entre a data real e a data prometida de entrega, a relação é inequívoca: enquanto o pedido chega antes do prazo, a nota fica acima de 4,1; a partir de 4 dias de atraso, despenca para ~2,3 e depois para ~1,7.</w:t>
      </w:r>
    </w:p>
    <w:p w14:paraId="58698BB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4A4807F6" wp14:editId="3A88355B">
            <wp:extent cx="5062352" cy="2125683"/>
            <wp:effectExtent l="0" t="0" r="5080" b="8255"/>
            <wp:docPr id="362101093" name="image4.png" descr="c3_atraso_no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c3_atraso_nota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2784" cy="2134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22B517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5 – Nota média por faixa de antecedência/atraso em relação ao prazo prometido.</w:t>
      </w:r>
    </w:p>
    <w:tbl>
      <w:tblPr>
        <w:tblStyle w:val="af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1800"/>
        <w:gridCol w:w="2838"/>
      </w:tblGrid>
      <w:tr w:rsidR="00B8752D" w:rsidRPr="005659AD" w14:paraId="540E816E" w14:textId="77777777">
        <w:trPr>
          <w:cantSplit/>
          <w:tblHeader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A0E9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Recorte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FA66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Nota média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EAF0D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avaliações negativas (1–2)</w:t>
            </w:r>
          </w:p>
        </w:tc>
      </w:tr>
      <w:tr w:rsidR="00B8752D" w:rsidRPr="005659AD" w14:paraId="767F860B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82E8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no prazo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DDB8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4,29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351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9,2%</w:t>
            </w:r>
          </w:p>
        </w:tc>
      </w:tr>
      <w:tr w:rsidR="00B8752D" w:rsidRPr="005659AD" w14:paraId="7558EE62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64F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com atraso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2A34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2,27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E853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62,4%</w:t>
            </w:r>
          </w:p>
        </w:tc>
      </w:tr>
      <w:tr w:rsidR="00B8752D" w:rsidRPr="005659AD" w14:paraId="4C239726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E254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não entregue (cancelado, em trânsito etc.)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0269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1,75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7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58CD391E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740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vendedor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227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4,12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FFDB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6FCD6D2D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515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2+ vendedores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4F003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87A0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724307C5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380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item / com 2+ itens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B647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4,16 / 3,60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AFF5A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</w:tbl>
    <w:p w14:paraId="108DF5DF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11E35A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Para entender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por que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os clientes reclamam, classificamos os 10.729 comentários de avaliações 1–2 por temas (um comentário pode ter mais de um tema):</w:t>
      </w:r>
    </w:p>
    <w:p w14:paraId="6EFDA9C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16431A36" wp14:editId="55B309C3">
            <wp:extent cx="4536374" cy="2066306"/>
            <wp:effectExtent l="0" t="0" r="0" b="0"/>
            <wp:docPr id="362101092" name="image7.png" descr="c6_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6_temas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4662" cy="20883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67FEA8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6 – Temas recorrentes nos comentários negativos (classificação por palavras-chave).</w:t>
      </w:r>
    </w:p>
    <w:p w14:paraId="74A13D22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Quase metade das reclamações trata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atraso ou não recebimento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. Em seguida aparecem pedidos de cancelamento/reembolso, falhas de atendimento (sem resposta, sem retorno), defeitos e avarias, 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entregas incompletas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— muito ligadas a pedidos com múltiplos itens ou vendedores, que chegam em volumes separados sem aviso ao cliente. Nas avaliações positivas, 42% dos comentários elogiam a entrega rápida ou no prazo: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logística é tanto o principal detrator quanto o principal promotor da marca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68B333D7" w14:textId="0F1D98EA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Retenção e fidelização</w:t>
      </w:r>
    </w:p>
    <w:p w14:paraId="3DD8ADED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Usando o identificador único de cliente (customer_unique_id), medimos a frequência de compra. Apenas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2.997 clientes (3,1%)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fizeram mais de um pedido, gerando 6,4% dos pedidos. Entre os que recompraram, a mediana entre a 1ª e a 2ª compra é de 27 dias, e 31% recompraram no mesmo dia (frequentemente, pedidos divididos).</w:t>
      </w:r>
    </w:p>
    <w:p w14:paraId="3C952960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76D782E4" wp14:editId="1DA762CB">
            <wp:extent cx="4322618" cy="1591293"/>
            <wp:effectExtent l="0" t="0" r="1905" b="9525"/>
            <wp:docPr id="362101095" name="image5.png" descr="c10_recomp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10_recompra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5426" cy="15996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11E44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7 – Distribuição dos clientes únicos por número de pedidos.</w:t>
      </w:r>
    </w:p>
    <w:p w14:paraId="45D3011A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taxa de recompra varia pouco com a nota da primeira compra (3,3% para nota 1 vs. 3,8% para nota 5). Isso indica que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ausência de recompra não é apenas um problema de satisfação, mas de relacionamento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: não há ações estruturadas de reengajamento. Em contrapartida, o valor é concentrado — os 10% de clientes que mais gastaram representam 41% da receita —, o que torna a segmentação por valor altamente rentável.</w:t>
      </w:r>
    </w:p>
    <w:p w14:paraId="4ADE1996" w14:textId="0B88833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Produtos e categorias</w:t>
      </w:r>
    </w:p>
    <w:p w14:paraId="458872D9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São 74 categorias; as 10 maiores concentram 62% da receita. Beleza e saúde, relógios e presentes e cama, mesa e banho lideram.</w:t>
      </w:r>
    </w:p>
    <w:p w14:paraId="1EAAC321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20FA91B" wp14:editId="2ABC68C7">
            <wp:extent cx="4717191" cy="2208811"/>
            <wp:effectExtent l="0" t="0" r="7620" b="1270"/>
            <wp:docPr id="362101094" name="image2.png" descr="c7_categori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7_categorias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3799" cy="2235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9BB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8 – Top 10 categorias por receita, com nota média e peso do frete sobre o preço.</w:t>
      </w:r>
    </w:p>
    <w:p w14:paraId="340C7C03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Notas mais baixas</w:t>
      </w:r>
      <w:r w:rsidRPr="005659AD">
        <w:rPr>
          <w:rFonts w:ascii="Aptos" w:eastAsia="Aptos" w:hAnsi="Aptos" w:cs="Aptos"/>
          <w:sz w:val="24"/>
          <w:szCs w:val="24"/>
        </w:rPr>
        <w:t xml:space="preserve"> (categorias com 500+ itens): móveis de escritório (3,61; 23% de avaliações negativas), produtos sem categoria (3,92), casa e construção (3,96) e cama, mesa e banho (3,97).</w:t>
      </w:r>
    </w:p>
    <w:p w14:paraId="5DFE57F4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Frete mais pesado:</w:t>
      </w:r>
      <w:r w:rsidRPr="005659AD">
        <w:rPr>
          <w:rFonts w:ascii="Aptos" w:eastAsia="Aptos" w:hAnsi="Aptos" w:cs="Aptos"/>
          <w:sz w:val="24"/>
          <w:szCs w:val="24"/>
        </w:rPr>
        <w:t xml:space="preserve"> eletrônicos (frete = 29% do preço, ticket médio de R$ 58), móveis de sala e de 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escritório (25–26%) e alimentos (25%). No total, o frete equivale a 16,6% do valor dos produtos; em 16,8% dos itens passa de 50% do preço e em 3,7% supera o próprio preço.</w:t>
      </w:r>
    </w:p>
    <w:p w14:paraId="018115D1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Qualidade de cadastro: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50% dos produtos têm apenas uma foto e 1,9% não têm categoria — produtos sem categoria têm nota 3,92, abaixo da média.</w:t>
      </w:r>
    </w:p>
    <w:p w14:paraId="502EB529" w14:textId="0352BDE0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Vendedores</w:t>
      </w:r>
    </w:p>
    <w:p w14:paraId="2AE8D59E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188B2624" wp14:editId="62A24634">
            <wp:extent cx="4739640" cy="2054431"/>
            <wp:effectExtent l="0" t="0" r="3810" b="3175"/>
            <wp:docPr id="362101098" name="image6.png" descr="c8_par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c8_pareto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0463" cy="205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C6AB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9 – Curva de concentração de receita entre os 3.095 vendedores.</w:t>
      </w:r>
    </w:p>
    <w:p w14:paraId="5F6D77C5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Entre os 622 vendedores com pelo menos 30 pedidos avaliados, separamos os de nota média inferior a 3,5 (25 vendedores, 2.934 pedidos) e os de nota igual ou superior a 4,2:</w:t>
      </w:r>
    </w:p>
    <w:tbl>
      <w:tblPr>
        <w:tblStyle w:val="af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0DCBAB65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EC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F11F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&lt; 3,5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08E3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≥ 4,2</w:t>
            </w:r>
          </w:p>
        </w:tc>
      </w:tr>
      <w:tr w:rsidR="00B8752D" w:rsidRPr="005659AD" w14:paraId="44A81D7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01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Dias entre aprovação e postagem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26FDC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7,4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A255D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2,1</w:t>
            </w:r>
          </w:p>
        </w:tc>
      </w:tr>
      <w:tr w:rsidR="00B8752D" w:rsidRPr="005659AD" w14:paraId="6EDB543F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FB01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 ao cliente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3CD0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14,8%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D81D9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4,2%</w:t>
            </w:r>
          </w:p>
        </w:tc>
      </w:tr>
    </w:tbl>
    <w:p w14:paraId="6F3BDCBC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6900F35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desempenho do vendedor no despacho é um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indicador antecedente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da insatisfação: é possível identificar o problema dias antes de o cliente perceber o atraso. Além disso, 59% dos vendedores têm menos de 10 pedidos — uma cauda longa que se beneficiaria de orientação automatizada.</w:t>
      </w:r>
    </w:p>
    <w:p w14:paraId="3FA44849" w14:textId="2B5C417D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Pagamentos</w:t>
      </w:r>
    </w:p>
    <w:tbl>
      <w:tblPr>
        <w:tblStyle w:val="af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3ED9127A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5DEC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Forma de pagamento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46D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das transações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7CDA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do valor</w:t>
            </w:r>
          </w:p>
        </w:tc>
      </w:tr>
      <w:tr w:rsidR="00B8752D" w:rsidRPr="005659AD" w14:paraId="7BB87639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69C9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crédito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18D7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73,9%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CF4C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78,3%</w:t>
            </w:r>
          </w:p>
        </w:tc>
      </w:tr>
      <w:tr w:rsidR="00B8752D" w:rsidRPr="005659AD" w14:paraId="35C9BD9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C5E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Boleto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167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19,0%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EE81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17,9%</w:t>
            </w:r>
          </w:p>
        </w:tc>
      </w:tr>
      <w:tr w:rsidR="00B8752D" w:rsidRPr="005659AD" w14:paraId="342DF8B7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863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Voucher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92B4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5,6%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DEBDB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2,4%</w:t>
            </w:r>
          </w:p>
        </w:tc>
      </w:tr>
      <w:tr w:rsidR="00B8752D" w:rsidRPr="005659AD" w14:paraId="33934AE4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B5B3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débito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866C3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1,5%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B2FB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1,4%</w:t>
            </w:r>
          </w:p>
        </w:tc>
      </w:tr>
    </w:tbl>
    <w:p w14:paraId="34ACCF8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4A1C7C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Dois terços das compras no cartão são parceladas (média de 3,5 parcelas; 14% em 8 ou mais). O boleto, com quase 1 em cada 5 transações, introduz um intervalo entre compra e aprovação que impacta o prazo — e é um ponto de abandono a ser acompanhado. Vouchers aparecem em 3,9% dos pedidos, um indício de uso de compensações a clientes que pode ser otimizado por IA.</w:t>
      </w:r>
    </w:p>
    <w:p w14:paraId="2D7917EC" w14:textId="50774156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Padrões temporais e carga operacional</w:t>
      </w:r>
    </w:p>
    <w:p w14:paraId="1997864A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7D6AE689" wp14:editId="1F8B026D">
            <wp:extent cx="4895850" cy="1900052"/>
            <wp:effectExtent l="0" t="0" r="0" b="5080"/>
            <wp:docPr id="362101096" name="image11.png" descr="c9_ho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c9_hora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43" cy="1904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77848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10 – Distribuição dos pedidos por hora do dia.</w:t>
      </w:r>
    </w:p>
    <w:p w14:paraId="6A9E5339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82% dos pedidos ocorrem entre 10h e 22h, com picos à noite; segunda e terça-feira são os dias mais movimentados, e sábado o mais fraco. A demanda por atendimento acompanha esse padrão — e também ocorre fora do horário comercial —, o que favorece agentes disponíveis 24×7 em vez de dimensionar equipes para o pico.</w:t>
      </w:r>
    </w:p>
    <w:p w14:paraId="2A5C15DD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348AC782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4F3B983F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D17D890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6D66D45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37B87C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6EB8F37" w14:textId="25046E28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SUGESTÕES INICIAIS DE USO DE IA</w:t>
      </w:r>
    </w:p>
    <w:p w14:paraId="25E22532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proposta combina modelos preditivos e agentes especializados. O Agente de Riscos e Prazos calcula risco por rota; o Agente de Atendimento Proativo aplica uma régua de contato aprovada; e o Agente Gestor de Vendedores identifica recorrências de postagem e recomenda ações corretivas. Todas as ações devem respeitar permissões, evidências e controles humanos.</w:t>
      </w:r>
    </w:p>
    <w:p w14:paraId="6FB9BE70" w14:textId="3E5C162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Portfólio de casos de uso</w:t>
      </w:r>
    </w:p>
    <w:tbl>
      <w:tblPr>
        <w:tblStyle w:val="aff8"/>
        <w:tblW w:w="963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7"/>
        <w:gridCol w:w="1642"/>
        <w:gridCol w:w="1843"/>
        <w:gridCol w:w="3003"/>
        <w:gridCol w:w="2812"/>
      </w:tblGrid>
      <w:tr w:rsidR="00B8752D" w:rsidRPr="005659AD" w14:paraId="7E007AEE" w14:textId="77777777" w:rsidTr="001F1D3D">
        <w:trPr>
          <w:trHeight w:val="485"/>
        </w:trPr>
        <w:tc>
          <w:tcPr>
            <w:tcW w:w="337" w:type="dxa"/>
            <w:tcBorders>
              <w:top w:val="single" w:sz="5" w:space="0" w:color="D0CFCA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AF45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64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C926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184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A3E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00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9A6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Usuários envolvidos</w:t>
            </w:r>
          </w:p>
        </w:tc>
        <w:tc>
          <w:tcPr>
            <w:tcW w:w="281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3D5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Problema / benefício esperado</w:t>
            </w:r>
          </w:p>
        </w:tc>
      </w:tr>
      <w:tr w:rsidR="00B8752D" w:rsidRPr="005659AD" w14:paraId="7726839F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FE3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34B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Riscos e Prazos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202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Modelo preditivo + agente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6F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logísticas; Customer Experience/Atendimento; gestores de operação; Dados e Tecnologia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B102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Baixa previsibilidade e reação tardia. Calcula risco por rota, recalibra estimativas e prioriza pedidos críticos.</w:t>
            </w:r>
          </w:p>
        </w:tc>
      </w:tr>
      <w:tr w:rsidR="00B8752D" w:rsidRPr="005659AD" w14:paraId="4DCAE56D" w14:textId="77777777" w:rsidTr="001F1D3D">
        <w:trPr>
          <w:trHeight w:val="875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46F7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CFB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Atendimento Proativo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951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de contato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807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finais; atendimento e Customer Experience; supervisões; operações logísticas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DB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reativa e inconsistente. Melhora transparência, reduz esforço do cliente e padroniza atendimento.</w:t>
            </w:r>
          </w:p>
        </w:tc>
      </w:tr>
      <w:tr w:rsidR="00B8752D" w:rsidRPr="005659AD" w14:paraId="3D0D7968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769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541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Gestor de Vendedores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9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operacionais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98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Vendedores/lojistas; gestão de sellers; operações e suporte; qualidade e compliance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F32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Falhas de postagem e reincidência pouco visível. Orienta ações corretivas e melhora disciplina operacional.</w:t>
            </w:r>
          </w:p>
        </w:tc>
      </w:tr>
    </w:tbl>
    <w:p w14:paraId="053F9A35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4E9D7A8C" w14:textId="6F42A55E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Mapa dos três agentes e prompts sugeridos</w:t>
      </w:r>
    </w:p>
    <w:p w14:paraId="7CD48763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005AE7EA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  <w:r w:rsidRPr="005659AD">
        <w:rPr>
          <w:rFonts w:ascii="Aptos" w:eastAsia="Aptos" w:hAnsi="Aptos" w:cs="Aptos"/>
          <w:noProof/>
          <w:color w:val="000000"/>
          <w:sz w:val="17"/>
          <w:szCs w:val="17"/>
        </w:rPr>
        <w:drawing>
          <wp:inline distT="0" distB="0" distL="0" distR="0" wp14:anchorId="426E84A9" wp14:editId="24E411BA">
            <wp:extent cx="6134100" cy="3450590"/>
            <wp:effectExtent l="0" t="0" r="0" b="0"/>
            <wp:docPr id="36210109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450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FB4BB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504530AB" w14:textId="255240FF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Métricas de validação</w:t>
      </w:r>
    </w:p>
    <w:tbl>
      <w:tblPr>
        <w:tblStyle w:val="afff0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7108"/>
      </w:tblGrid>
      <w:tr w:rsidR="003324A2" w:rsidRPr="005659AD" w14:paraId="1477C5C6" w14:textId="77777777" w:rsidTr="001E2EB1">
        <w:trPr>
          <w:jc w:val="center"/>
        </w:trPr>
        <w:tc>
          <w:tcPr>
            <w:tcW w:w="2552" w:type="dxa"/>
            <w:shd w:val="clear" w:color="auto" w:fill="11223B"/>
          </w:tcPr>
          <w:p w14:paraId="0968E3F8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7108" w:type="dxa"/>
            <w:shd w:val="clear" w:color="auto" w:fill="11223B"/>
          </w:tcPr>
          <w:p w14:paraId="17FE5E63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Métricas principais</w:t>
            </w:r>
          </w:p>
        </w:tc>
      </w:tr>
      <w:tr w:rsidR="003324A2" w:rsidRPr="005659AD" w14:paraId="7A8C4D3A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51EAED2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Riscos e Prazos</w:t>
            </w:r>
          </w:p>
        </w:tc>
        <w:tc>
          <w:tcPr>
            <w:tcW w:w="7108" w:type="dxa"/>
            <w:shd w:val="clear" w:color="auto" w:fill="FFFFFF"/>
          </w:tcPr>
          <w:p w14:paraId="3C99FD04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Erro de previsão; calibração do risco; precisão/recall na identificação de atrasos; antecedência do alerta; desempenho por rota; dados inválidos.</w:t>
            </w:r>
          </w:p>
        </w:tc>
      </w:tr>
      <w:tr w:rsidR="003324A2" w:rsidRPr="005659AD" w14:paraId="61EE8841" w14:textId="77777777" w:rsidTr="001E2EB1">
        <w:trPr>
          <w:jc w:val="center"/>
        </w:trPr>
        <w:tc>
          <w:tcPr>
            <w:tcW w:w="2552" w:type="dxa"/>
            <w:shd w:val="clear" w:color="auto" w:fill="F2F4F7"/>
          </w:tcPr>
          <w:p w14:paraId="737BB4E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Atendimento Proativo</w:t>
            </w:r>
          </w:p>
        </w:tc>
        <w:tc>
          <w:tcPr>
            <w:tcW w:w="7108" w:type="dxa"/>
            <w:shd w:val="clear" w:color="auto" w:fill="F2F4F7"/>
          </w:tcPr>
          <w:p w14:paraId="6BD83EC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Comunicações corretas e oportunas; tempo até contato; reclamações após contato; escalonamentos; opt-outs; satisfação versus baseline/controle.</w:t>
            </w:r>
          </w:p>
        </w:tc>
      </w:tr>
      <w:tr w:rsidR="003324A2" w:rsidRPr="005659AD" w14:paraId="3A64ADFD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16EE059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Gestor de Vendedores</w:t>
            </w:r>
          </w:p>
        </w:tc>
        <w:tc>
          <w:tcPr>
            <w:tcW w:w="7108" w:type="dxa"/>
            <w:shd w:val="clear" w:color="auto" w:fill="FFFFFF"/>
          </w:tcPr>
          <w:p w14:paraId="44598C35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Atrasos de postagem; reincidência; tempo até ação corretiva; adesão às orientações; evolução versus baseline; falsos alertas.</w:t>
            </w:r>
          </w:p>
        </w:tc>
      </w:tr>
    </w:tbl>
    <w:p w14:paraId="4373897E" w14:textId="77777777" w:rsidR="003324A2" w:rsidRPr="005659AD" w:rsidRDefault="003324A2" w:rsidP="003324A2">
      <w:pPr>
        <w:spacing w:after="1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364253"/>
          <w:sz w:val="16"/>
          <w:szCs w:val="16"/>
        </w:rPr>
        <w:t>Escopo desta versão: ficam fora do portfólio de agentes os antigos itens de análise de reviews, copiloto de dados, retenção, enriquecimento de catálogo e orquestração de picos como agentes independentes. O foco passa a ser exclusivamente os três agentes definidos pela Nexora.</w:t>
      </w:r>
    </w:p>
    <w:p w14:paraId="7DB61DAD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1A52D09A" w14:textId="77777777" w:rsidR="005659AD" w:rsidRPr="005659AD" w:rsidRDefault="005659AD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Detalhamento sobre os agentes</w:t>
      </w:r>
    </w:p>
    <w:p w14:paraId="372F5276" w14:textId="60AD13F9" w:rsidR="003324A2" w:rsidRPr="005659AD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riscos e prazos</w:t>
      </w:r>
    </w:p>
    <w:p w14:paraId="2282E8B6" w14:textId="77777777" w:rsidR="005659AD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Objetivo do prompt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5659AD">
        <w:rPr>
          <w:rFonts w:ascii="Aptos" w:eastAsia="Aptos" w:hAnsi="Aptos" w:cs="Aptos"/>
          <w:sz w:val="24"/>
          <w:szCs w:val="24"/>
        </w:rPr>
        <w:t>Monitorar pedidos em aberto, estimar o risco de atraso e recalcular a previsão de entrega com base no andamento real do pedido, nas características da rota e no histórico operacional. Identificar pedidos que exigem intervenção antes que o prazo prometido seja ultrapassado.</w:t>
      </w:r>
    </w:p>
    <w:p w14:paraId="1B937DB9" w14:textId="77777777" w:rsid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pedido</w:t>
      </w:r>
      <w:r w:rsidRPr="003324A2">
        <w:rPr>
          <w:rFonts w:ascii="Aptos" w:eastAsia="Aptos" w:hAnsi="Aptos" w:cs="Aptos"/>
          <w:sz w:val="24"/>
          <w:szCs w:val="24"/>
        </w:rPr>
        <w:t>: identificador, data da compra, aprovação do pagamento e status atual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Informações logísticas</w:t>
      </w:r>
      <w:r w:rsidRPr="003324A2">
        <w:rPr>
          <w:rFonts w:ascii="Aptos" w:eastAsia="Aptos" w:hAnsi="Aptos" w:cs="Aptos"/>
          <w:sz w:val="24"/>
          <w:szCs w:val="24"/>
        </w:rPr>
        <w:t>: data de postagem, prazo-limite de envio, previsão prometida 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 </w:t>
      </w:r>
      <w:r w:rsidRPr="003324A2">
        <w:rPr>
          <w:rFonts w:ascii="Aptos" w:eastAsia="Aptos" w:hAnsi="Aptos" w:cs="Aptos"/>
          <w:sz w:val="24"/>
          <w:szCs w:val="24"/>
        </w:rPr>
        <w:t>data efetiva de entrega, quando disponível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geográficos</w:t>
      </w:r>
      <w:r w:rsidRPr="003324A2">
        <w:rPr>
          <w:rFonts w:ascii="Aptos" w:eastAsia="Aptos" w:hAnsi="Aptos" w:cs="Aptos"/>
          <w:sz w:val="24"/>
          <w:szCs w:val="24"/>
        </w:rPr>
        <w:t>: CEP, cidade e estado de origem e destino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vendedor</w:t>
      </w:r>
      <w:r w:rsidRPr="003324A2">
        <w:rPr>
          <w:rFonts w:ascii="Aptos" w:eastAsia="Aptos" w:hAnsi="Aptos" w:cs="Aptos"/>
          <w:sz w:val="24"/>
          <w:szCs w:val="24"/>
        </w:rPr>
        <w:t>: histórico de tempo para postagem, taxa de atraso e desempenho operacional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produto</w:t>
      </w:r>
      <w:r w:rsidRPr="003324A2">
        <w:rPr>
          <w:rFonts w:ascii="Aptos" w:eastAsia="Aptos" w:hAnsi="Aptos" w:cs="Aptos"/>
          <w:sz w:val="24"/>
          <w:szCs w:val="24"/>
        </w:rPr>
        <w:t>: categoria, peso, dimensões e quantidade de itens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Histórico analítico</w:t>
      </w:r>
      <w:r w:rsidRPr="003324A2">
        <w:rPr>
          <w:rFonts w:ascii="Aptos" w:eastAsia="Aptos" w:hAnsi="Aptos" w:cs="Aptos"/>
          <w:sz w:val="24"/>
          <w:szCs w:val="24"/>
        </w:rPr>
        <w:t>: atrasos por região, rota, período, categoria e vendedor, incluindo sazonalidade e picos de demanda.</w:t>
      </w:r>
    </w:p>
    <w:p w14:paraId="728057A4" w14:textId="77777777" w:rsidR="005659AD" w:rsidRDefault="003324A2" w:rsidP="005659AD">
      <w:pPr>
        <w:pStyle w:val="PargrafodaLista"/>
        <w:spacing w:after="120" w:line="288" w:lineRule="auto"/>
        <w:ind w:left="720"/>
        <w:jc w:val="both"/>
        <w:rPr>
          <w:rFonts w:ascii="Aptos" w:eastAsia="Aptos" w:hAnsi="Aptos" w:cs="Aptos"/>
          <w:sz w:val="24"/>
          <w:szCs w:val="24"/>
        </w:rPr>
      </w:pPr>
      <w:r w:rsidRPr="003324A2">
        <w:rPr>
          <w:rFonts w:ascii="Aptos" w:eastAsia="Aptos" w:hAnsi="Aptos" w:cs="Aptos"/>
          <w:sz w:val="24"/>
          <w:szCs w:val="24"/>
        </w:rPr>
        <w:t>A previsão deve utilizar dados atuais e históricos identificados como confiáveis. O histórico analisado no relatório-base cobre principalmente janeiro de 2017 a agosto de 2018 e deve ser complementado por dados recentes antes de sustentar previsões em produção.</w:t>
      </w:r>
    </w:p>
    <w:p w14:paraId="328812F0" w14:textId="40AF35F9" w:rsidR="003324A2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294B58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A93F15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Risco &amp; Prazos da Olist, especializado em análise preditiva logística, monitoramento de pedidos e previsão de entregas em operações de comércio eletrônico.</w:t>
      </w:r>
    </w:p>
    <w:p w14:paraId="289EF3D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4FE743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60BE849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Analisar cada pedido em aberto e determinar:</w:t>
      </w:r>
    </w:p>
    <w:p w14:paraId="07F2018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A probabilidade de o pedido ser entregue após o prazo prometido.</w:t>
      </w:r>
    </w:p>
    <w:p w14:paraId="6A3276D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 data estimada de entrega, considerando o estágio atual da operação.</w:t>
      </w:r>
    </w:p>
    <w:p w14:paraId="2D069A5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A etapa com maior contribuição para o risco: aprovação, preparação e postagem pelo vendedor ou transporte.</w:t>
      </w:r>
    </w:p>
    <w:p w14:paraId="715B827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 necessidade e a prioridade de intervenção.</w:t>
      </w:r>
    </w:p>
    <w:p w14:paraId="5EAA37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5. Os fatores que justificam a previsão.</w:t>
      </w:r>
    </w:p>
    <w:p w14:paraId="4316687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B3863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7B318B2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 pedido, os prazos registrados, as datas de aprovação e postagem, as informações de origem e destino, os atributos do produto, o histórico do vendedor e os indicadores logísticos disponíveis. Considere, quando disponíveis, rota, distância, categoria, peso, sazonalidade, volume de pedidos e desempenho histórico de entregas comparáveis.</w:t>
      </w:r>
    </w:p>
    <w:p w14:paraId="36B546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63576C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BF45E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se os dados necessários estão disponíveis e são consistentes. Identifique campos ausentes, datas inválidas e divergências entre status e eventos registrados.</w:t>
      </w:r>
    </w:p>
    <w:p w14:paraId="58E53F1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Determine a etapa atual do pedido e compare o tempo transcorrido com o comportamento histórico de pedidos semelhantes.</w:t>
      </w:r>
    </w:p>
    <w:p w14:paraId="6DB1B7F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Utilize um modelo preditivo validado para calcular a probabilidade de atraso e estimar a data de entrega. Não invente probabilidades, datas, tempos de transporte ou indicadores que não tenham sido calculados por fonte confiável.</w:t>
      </w:r>
    </w:p>
    <w:p w14:paraId="55EC10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Compare a previsão de entrega com o prazo prometido ao cliente. Calcule o atraso esperado em dias, quando aplicável.</w:t>
      </w:r>
    </w:p>
    <w:p w14:paraId="5C456D2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Classifique o risco conforme os limites definidos pela Olist:</w:t>
      </w:r>
    </w:p>
    <w:p w14:paraId="6E79A4D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Baixo: probabilidade inferior a 30%.</w:t>
      </w:r>
    </w:p>
    <w:p w14:paraId="4BB5E25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Médio: probabilidade de 30% a menos de 60%.</w:t>
      </w:r>
    </w:p>
    <w:p w14:paraId="1BB8DE6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Alto: probabilidade igual ou superior a 60%.</w:t>
      </w:r>
    </w:p>
    <w:p w14:paraId="1E39C5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Esses limites são parâmetros iniciais para o piloto e deverão ser calibrados conforme a capacidade preditiva do modelo e o custo de falsos alertas.</w:t>
      </w:r>
    </w:p>
    <w:p w14:paraId="295F76A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Identifique a principal causa provável do risco, distinguindo atraso na postagem, problema de transporte, distância logística, pico de demanda e insuficiência de dados. Quando não houver evidência suficiente, classifique a causa como inconclusiva.</w:t>
      </w:r>
    </w:p>
    <w:p w14:paraId="4E578AE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Quando o risco for alto, gere um alerta estruturado para o Agente de Atendimento Proativo e, se houver indícios de atraso na postagem, encaminhe os dados pertinentes ao Agente Gestor de Vendedores.</w:t>
      </w:r>
    </w:p>
    <w:p w14:paraId="0F77CC0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Atualize a previsão somente quando houver evidências ou eventos que justifiquem a mudança. Preserve o prazo originalmente prometido para auditoria.</w:t>
      </w:r>
    </w:p>
    <w:p w14:paraId="01DA1C4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BA86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4DF97F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declare uma entrega como atrasada antes de verificar o prazo vigente e o status do pedido.</w:t>
      </w:r>
    </w:p>
    <w:p w14:paraId="77A0CFD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confunda probabilidade de atraso com quantidade de dias de atraso.</w:t>
      </w:r>
    </w:p>
    <w:p w14:paraId="6F5190D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prazos oficiais nem comunique o cliente diretamente.</w:t>
      </w:r>
    </w:p>
    <w:p w14:paraId="272D809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atribua responsabilidade ao vendedor ou à transportadora sem evidências.</w:t>
      </w:r>
    </w:p>
    <w:p w14:paraId="17A9D7A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Informe a origem da previsão, o horário da análise e as limitações relevantes.</w:t>
      </w:r>
    </w:p>
    <w:p w14:paraId="69C3C6A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Se o modelo preditivo ou os dados necessários estiverem indisponíveis, sinalize que a previsão não pode ser calculada com confiabilidade.</w:t>
      </w:r>
    </w:p>
    <w:p w14:paraId="16A83D4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F445D8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0CC50AD8" w14:textId="77777777" w:rsid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 um registro estruturado com: ID do pedido; data da análise; prazo prometido; data estimada de entrega; probabilidade de atraso; nível de risco; etapa crítica; causa provável; evidências utilizadas; ação recomendada; agente destinatário do alerta e nível de confiança da previsão.</w:t>
      </w:r>
    </w:p>
    <w:p w14:paraId="0A86680C" w14:textId="77777777" w:rsidR="005659AD" w:rsidRPr="003324A2" w:rsidRDefault="005659AD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EDCCBB8" w14:textId="431C2D7B" w:rsidR="003324A2" w:rsidRPr="003324A2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b/>
          <w:bCs/>
          <w:sz w:val="24"/>
          <w:szCs w:val="24"/>
        </w:rPr>
      </w:pPr>
      <w:r w:rsidRPr="003324A2">
        <w:rPr>
          <w:rFonts w:ascii="Aptos" w:eastAsia="Aptos" w:hAnsi="Aptos" w:cs="Aptos"/>
          <w:b/>
          <w:bCs/>
          <w:sz w:val="24"/>
          <w:szCs w:val="24"/>
        </w:rPr>
        <w:t xml:space="preserve"> Resultado esperado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</w:rPr>
        <w:t>O agente deve gerar um alerta logístico estruturado que permita à operação agir antes do atraso, em vez de apenas registrar a falha após sua ocorrência.</w:t>
      </w:r>
    </w:p>
    <w:p w14:paraId="5E1591C1" w14:textId="14A95D7B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</w:p>
    <w:p w14:paraId="60B10372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3E1897FC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0F321230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7C85938B" w14:textId="6F0A83AE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noProof/>
          <w:color w:val="auto"/>
          <w:sz w:val="24"/>
          <w:szCs w:val="24"/>
          <w:lang w:eastAsia="en-US"/>
        </w:rPr>
        <w:lastRenderedPageBreak/>
        <w:drawing>
          <wp:anchor distT="0" distB="0" distL="114300" distR="114300" simplePos="0" relativeHeight="251659264" behindDoc="0" locked="0" layoutInCell="1" allowOverlap="1" wp14:anchorId="390F1188" wp14:editId="77557016">
            <wp:simplePos x="0" y="0"/>
            <wp:positionH relativeFrom="margin">
              <wp:posOffset>664845</wp:posOffset>
            </wp:positionH>
            <wp:positionV relativeFrom="paragraph">
              <wp:posOffset>10160</wp:posOffset>
            </wp:positionV>
            <wp:extent cx="4680585" cy="1852930"/>
            <wp:effectExtent l="0" t="0" r="5715" b="0"/>
            <wp:wrapTopAndBottom/>
            <wp:docPr id="834336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36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color w:val="auto"/>
          <w:sz w:val="16"/>
          <w:szCs w:val="16"/>
          <w:lang w:eastAsia="en-US"/>
        </w:rPr>
        <w:t xml:space="preserve">* </w:t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Os valores acima são fictícios e servem apenas para demonstrar o formato de saída.</w:t>
      </w:r>
    </w:p>
    <w:p w14:paraId="0A2BE0F8" w14:textId="6B2ECBAB" w:rsidR="003324A2" w:rsidRPr="003324A2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atendimento proativo</w:t>
      </w:r>
    </w:p>
    <w:p w14:paraId="7DD083F0" w14:textId="5D05D600" w:rsidR="00192862" w:rsidRDefault="003324A2" w:rsidP="00192862">
      <w:pPr>
        <w:pStyle w:val="PargrafodaLista"/>
        <w:keepNext/>
        <w:keepLines/>
        <w:numPr>
          <w:ilvl w:val="0"/>
          <w:numId w:val="9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>Avaliar alertas de risco logístico e decidir se o cliente deve ser contatado, em qual momento, por qual canal e com qual mensagem. Responder dúvidas sobre pedidos, explicar mudanças de previsão com transparência e escalar situações que exijam intervenção humana.</w:t>
      </w:r>
    </w:p>
    <w:p w14:paraId="69A1C675" w14:textId="54D0F98E" w:rsid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="00192862"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Dados e status atualizados</w:t>
      </w: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 do pedido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15BA06D7" w14:textId="70029586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Prazo prometido originalmente e previsão de entrega recalculada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20BE4E72" w14:textId="2E2F26D3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Alerta de risco emitido pelo Agente de Risco &amp; Prazos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7CA4AEC0" w14:textId="61F12AEA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rastreamento e eventos logísticos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6619B40A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Informações disponíveis sobre o cliente, preferências de canal e consentimentos aplicáveis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0138D5A6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mensagens, chamados e reclamações relacionadas ao pedido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629778E8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Políticas de cancelamento, reembolso, compensação e atendimento da Olist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3BDAAE84" w14:textId="7C68FBF9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Limites de autonomia, modelos de mensagem aprovados e regras de escalonamento.</w:t>
      </w:r>
    </w:p>
    <w:p w14:paraId="45BF0F2B" w14:textId="3B86C259" w:rsidR="003324A2" w:rsidRP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4DB5BF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508F241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Atendimento Proativo da Olist, especializado em comunicação com clientes, prevenção de reclamações e resolução inicial de ocorrências relacionadas a pedidos de comércio eletrônico.</w:t>
      </w:r>
    </w:p>
    <w:p w14:paraId="1E6811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97217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4906430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Reduzir a incerteza do cliente, antecipar comunicações sobre possíveis atrasos, responder dúvidas sobre pedidos e encaminhar problemas para resolução no momento adequado.</w:t>
      </w:r>
    </w:p>
    <w:p w14:paraId="1046E77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B2AC4B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02C90C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 identificador e o status do pedido, o prazo originalmente prometido, a previsão atualizada de entrega, os eventos de rastreamento, o nível de risco, o motivo provável do atraso, o histórico de atendimento e as políticas vigentes da Olist. Considere também as preferências de comunicação e as permissões necessárias para contato.</w:t>
      </w:r>
    </w:p>
    <w:p w14:paraId="75F62A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FD4915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18D81D5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1. Consulte os dados atualizados do pedido antes de produzir qualquer resposta. Não se baseie exclusivamente em um alerta antigo.</w:t>
      </w:r>
    </w:p>
    <w:p w14:paraId="35EAFDC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Avalie se o cliente precisa ser contatado. Considere o nível de risco, a proximidade do prazo, a existência de uma mudança relevante na previsão e o histórico de comunicações para evitar mensagens desnecessárias.</w:t>
      </w:r>
    </w:p>
    <w:p w14:paraId="1317A8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Quando houver risco alto ou alteração relevante no prazo, prepare uma comunicação proativa, preferencialmente antes de o prazo prometido ser ultrapassado.</w:t>
      </w:r>
    </w:p>
    <w:p w14:paraId="0D9C504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Escreva mensagens claras, empáticas e objetivas. Informe o que aconteceu, o que é conhecido, a previsão disponível e o próximo passo. Não apresente hipóteses como fatos nem prometa uma data sem respaldo nos dados.</w:t>
      </w:r>
    </w:p>
    <w:p w14:paraId="40C033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Se o cliente perguntar sobre o pedido, responda apenas com informações verificadas. Se não houver atualização confiável, explique que a informação ainda está sendo verificada e encaminhe o caso quando necessário.</w:t>
      </w:r>
    </w:p>
    <w:p w14:paraId="2878CD9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Apresente opções de resolução apenas quando forem permitidas pelas políticas vigentes, como aguardar a nova previsão, consultar alternativas de atendimento ou solicitar cancelamento pelos canais aplicáveis.</w:t>
      </w:r>
    </w:p>
    <w:p w14:paraId="3D75190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Não aprove reembolsos, cancelamentos, vouchers ou compensações por iniciativa própria, salvo quando houver autorização explícita, regras determinísticas e limites operacionais definidos pela Olist.</w:t>
      </w:r>
    </w:p>
    <w:p w14:paraId="504E6B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Se houver pedido de reembolso, reclamação grave, suspeita de extravio, divergência de informações ou cliente insatisfeito após tentativa de resolução, abra ou encaminhe o chamado para atendimento humano conforme as regras da empresa.</w:t>
      </w:r>
    </w:p>
    <w:p w14:paraId="6B6CAF9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Registre a decisão tomada, o motivo do contato, a mensagem preparada ou enviada, o canal utilizado, o horário e o resultado da interação.</w:t>
      </w:r>
    </w:p>
    <w:p w14:paraId="439897E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Quando o problema parecer estar relacionado à postagem do vendedor, encaminhe as evidências pertinentes ao Agente Gestor de Vendedores, sem transferir ao cliente a responsabilidade pela resolução.</w:t>
      </w:r>
    </w:p>
    <w:p w14:paraId="500882B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8B5B6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0A3D7B3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invente status, rastreamento, justificativas ou datas de entrega.</w:t>
      </w:r>
    </w:p>
    <w:p w14:paraId="73ACEB3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afirme que uma mensagem foi enviada ou que uma ação foi concluída sem confirmação da ferramenta correspondente.</w:t>
      </w:r>
    </w:p>
    <w:p w14:paraId="4BC9391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Respeite a LGPD, as permissões de contato e as preferências do cliente.</w:t>
      </w:r>
    </w:p>
    <w:p w14:paraId="01A0B8A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Evite contatos repetitivos e mensagens sem informação nova.</w:t>
      </w:r>
    </w:p>
    <w:p w14:paraId="0DD770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Utilize somente canais, políticas e ferramentas autorizados.</w:t>
      </w:r>
    </w:p>
    <w:p w14:paraId="1CF9FB7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Na ausência de dados suficientes ou diante de uma solicitação fora de sua autonomia, encaminhe o caso para atendimento humano.</w:t>
      </w:r>
    </w:p>
    <w:p w14:paraId="3D314D7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519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5272118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pedido; motivo do contato; nível de urgência; decisão (contatar, monitorar ou escalar); canal recomendado; resumo da situação; mensagem sugerida ao cliente; política aplicável; necessidade de aprovação humana; ação executada e respectivo status; próximo passo e prazo de acompanhamento, quando definido.</w:t>
      </w:r>
    </w:p>
    <w:p w14:paraId="6DE8A059" w14:textId="2BFCD9BD" w:rsidR="003324A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entregar uma decisão operacional acompanhada de uma comunicação pronta para uso, e não apenas um texto genérico.</w:t>
      </w:r>
    </w:p>
    <w:p w14:paraId="308A11B1" w14:textId="1E39F810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i/>
          <w:iCs/>
          <w:noProof/>
          <w:color w:val="auto"/>
          <w:sz w:val="16"/>
          <w:szCs w:val="16"/>
          <w:lang w:eastAsia="en-US"/>
        </w:rPr>
        <w:drawing>
          <wp:anchor distT="0" distB="0" distL="114300" distR="114300" simplePos="0" relativeHeight="251660288" behindDoc="0" locked="0" layoutInCell="1" allowOverlap="1" wp14:anchorId="7FFE6E0C" wp14:editId="5B6BC98D">
            <wp:simplePos x="0" y="0"/>
            <wp:positionH relativeFrom="margin">
              <wp:align>center</wp:align>
            </wp:positionH>
            <wp:positionV relativeFrom="paragraph">
              <wp:posOffset>140970</wp:posOffset>
            </wp:positionV>
            <wp:extent cx="4994910" cy="2261235"/>
            <wp:effectExtent l="0" t="0" r="0" b="5715"/>
            <wp:wrapTopAndBottom/>
            <wp:docPr id="1804439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39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A mensagem é ilustrativa. Em produção, o agente deverá confirmar a previsão antes de enviá-la e utilizar apenas informações autorizadas</w:t>
      </w:r>
      <w:r w:rsidR="003324A2" w:rsidRPr="003324A2"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  <w:t>.</w:t>
      </w:r>
    </w:p>
    <w:p w14:paraId="3BD583D9" w14:textId="77777777" w:rsidR="003324A2" w:rsidRPr="003324A2" w:rsidRDefault="003324A2" w:rsidP="003324A2">
      <w:pPr>
        <w:spacing w:line="360" w:lineRule="auto"/>
        <w:ind w:firstLine="709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</w:p>
    <w:p w14:paraId="092FFFCA" w14:textId="69E48989" w:rsidR="003324A2" w:rsidRPr="003324A2" w:rsidRDefault="00192862" w:rsidP="00192862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gestor de vendedores</w:t>
      </w:r>
    </w:p>
    <w:p w14:paraId="0DA0E7E6" w14:textId="14D2717D" w:rsidR="0019286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Monitorar os prazos-limite de envio, identificar vendedores com atrasos ou risco de descumprimento, comunicar os responsáveis e fornecer orientações específicas para regularizar os pedidos. Priorizar vendedores e pedidos com maior impacto potencial, distinguindo falhas pontuais de padrões recorrentes.</w:t>
      </w:r>
    </w:p>
    <w:p w14:paraId="460DB355" w14:textId="5BC72979" w:rsidR="003324A2" w:rsidRPr="00192862" w:rsidRDefault="003324A2" w:rsidP="00192862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:</w:t>
      </w:r>
    </w:p>
    <w:p w14:paraId="16A5A6F0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Identificação do vendedor e dados de contato autorizados.</w:t>
      </w:r>
    </w:p>
    <w:p w14:paraId="6C01FD9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Identificadores dos pedidos e itens associados.</w:t>
      </w:r>
    </w:p>
    <w:p w14:paraId="236B1AE5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Datas de aprovação do pagamento, prazo-limite de postagem e postagem efetiva.</w:t>
      </w:r>
    </w:p>
    <w:p w14:paraId="5EF39922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Status dos pedidos e eventos de envio.</w:t>
      </w:r>
    </w:p>
    <w:p w14:paraId="4246944E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tempo de despacho, atrasos e avaliações por vendedor.</w:t>
      </w:r>
    </w:p>
    <w:p w14:paraId="28B43DD8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Volume de pedidos em aberto e pedidos próximos do vencimento.</w:t>
      </w:r>
    </w:p>
    <w:p w14:paraId="25B5423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Indicadores de desempenho por período e, quando disponíveis, por rota e categoria.</w:t>
      </w:r>
    </w:p>
    <w:p w14:paraId="35B9FB0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Procedimentos operacionais, prazos, políticas e orientações oficiais da Olist.</w:t>
      </w:r>
    </w:p>
    <w:p w14:paraId="3AE09E4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notificações e planos de recuperação já iniciados.</w:t>
      </w:r>
    </w:p>
    <w:p w14:paraId="5624D5FE" w14:textId="47C4DFBD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5E32670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EA898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Gestor de Vendedores da Olist, especializado em monitoramento de desempenho operacional, cumprimento de prazos de postagem e orientação de lojistas.</w:t>
      </w:r>
    </w:p>
    <w:p w14:paraId="350138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AEF36C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1616190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Reduzir o tempo entre a aprovação do pedido e sua entrega à transportadora, diminuir o número de itens postados fora do prazo-limite e orientar vendedores com desempenho operacional abaixo do esperado.</w:t>
      </w:r>
    </w:p>
    <w:p w14:paraId="68CA46F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3310E7B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2A953E1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dos pedidos e itens, os prazos-limite de envio, os eventos de postagem, o volume de pedidos em aberto, o histórico de desempenho do vendedor, as notificações anteriores e os procedimentos oficiais da Olist. Considere os indicadores de atraso, tempo médio de despacho, recorrência das ocorrências e impacto potencial sobre os clientes.</w:t>
      </w:r>
    </w:p>
    <w:p w14:paraId="3A7C4C4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86272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E9950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diariamente os pedidos ainda não postados e identifique aqueles próximos do prazo-limite ou já vencidos.</w:t>
      </w:r>
    </w:p>
    <w:p w14:paraId="4A9FC0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Priorize as ocorrências de acordo com a proximidade do vencimento, a quantidade de pedidos afetados, a recorrência do problema e o impacto potencial na experiência do cliente.</w:t>
      </w:r>
    </w:p>
    <w:p w14:paraId="6DB77B9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Diferencie três situações:</w:t>
      </w:r>
    </w:p>
    <w:p w14:paraId="330E03E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Risco preventivo: o prazo ainda não venceu, mas exige atenção.</w:t>
      </w:r>
    </w:p>
    <w:p w14:paraId="3BB7EAD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Descumprimento confirmado: o prazo-limite venceu e não há registro confiável de postagem.</w:t>
      </w:r>
    </w:p>
    <w:p w14:paraId="19B8151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Informação insuficiente: os dados são inconsistentes ou não permitem confirmar a situação.</w:t>
      </w:r>
    </w:p>
    <w:p w14:paraId="460ED46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Antes de notificar o vendedor, confira se houve atualização recente do status ou registro de postagem para evitar alertas incorretos.</w:t>
      </w:r>
    </w:p>
    <w:p w14:paraId="41F819B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Gere mensagens individualizadas com o pedido afetado, o prazo aplicável, a situação verificada e a ação necessária. Oriente o vendedor a regularizar a postagem ou informar o impedimento pelos canais autorizados.</w:t>
      </w:r>
    </w:p>
    <w:p w14:paraId="66002DB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Analise o histórico para identificar vendedores com tempo de despacho elevado, atrasos recorrentes ou desempenho significativamente inferior ao de vendedores comparáveis.</w:t>
      </w:r>
    </w:p>
    <w:p w14:paraId="2FE6BF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Recomende orientações específicas com base em evidências, como revisar o processo de separação, preparação e despacho, acompanhar pedidos pendentes e buscar apoio operacional. Não atribua causas específicas sem dados que as sustentem.</w:t>
      </w:r>
    </w:p>
    <w:p w14:paraId="4246473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Encaminhe vendedores com problemas recorrentes para um plano de recuperação acompanhado pela equipe humana, conforme os critérios definidos pela Olist. Utilize nota inferior a 3,5 e tempo de despacho superior a 5 dias apenas como critérios iniciais candidatos, sujeitos à validação com volume de pedidos e contexto operacional.</w:t>
      </w:r>
    </w:p>
    <w:p w14:paraId="1D27CD9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Quando a ocorrência puder afetar o prazo do cliente, envie os dados pertinentes ao Agente de Risco &amp; Prazos e ao Agente de Atendimento Proativo para avaliação coordenada.</w:t>
      </w:r>
    </w:p>
    <w:p w14:paraId="1B062EC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Registre todas as notificações, respostas, evidências, recomendações e pendências. Reavalie o caso após a atualização dos dados ou o prazo de acompanhamento definido pela operação.</w:t>
      </w:r>
    </w:p>
    <w:p w14:paraId="573D993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2B44F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2401B93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classifique um pedido como não postado se houver evidência válida de postagem.</w:t>
      </w:r>
    </w:p>
    <w:p w14:paraId="712AFB4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pedidos, aplique penalidades ou suspenda vendedores sem autorização explícita.</w:t>
      </w:r>
    </w:p>
    <w:p w14:paraId="18F772A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ameace o vendedor nem utilize linguagem acusatória.</w:t>
      </w:r>
    </w:p>
    <w:p w14:paraId="67F6DE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invente causas, métricas, políticas ou compromissos.</w:t>
      </w:r>
    </w:p>
    <w:p w14:paraId="04D0AED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envie mensagens duplicadas quando não houver mudança relevante.</w:t>
      </w:r>
    </w:p>
    <w:p w14:paraId="54D0067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Escale divergências de dados, falhas recorrentes e situações fora da autonomia do agente.</w:t>
      </w:r>
    </w:p>
    <w:p w14:paraId="4B94919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DA32F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185FE21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vendedor; pedidos afetados; quantidade de pedidos em risco; prazos-limite; situação identificada; severidade; evidências; orientação recomendada; mensagem sugerida ao vendedor; necessidade de escalonamento; agente destinatário do alerta; responsável pela próxima ação e status do acompanhamento.</w:t>
      </w:r>
    </w:p>
    <w:p w14:paraId="025FDBD2" w14:textId="62F0A7B5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gerar alertas individuais e uma visão consolidada do desempenho dos vendedores.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2"/>
      </w:tblGrid>
      <w:tr w:rsidR="003324A2" w:rsidRPr="003324A2" w14:paraId="25B5BF52" w14:textId="77777777" w:rsidTr="001E2EB1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80A7E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Campo</w:t>
            </w:r>
          </w:p>
        </w:tc>
        <w:tc>
          <w:tcPr>
            <w:tcW w:w="6802" w:type="dxa"/>
            <w:shd w:val="clear" w:color="auto" w:fill="1F4E79"/>
            <w:vAlign w:val="center"/>
          </w:tcPr>
          <w:p w14:paraId="0CB5637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Exemplo ilustrativo</w:t>
            </w:r>
          </w:p>
        </w:tc>
      </w:tr>
      <w:tr w:rsidR="003324A2" w:rsidRPr="003324A2" w14:paraId="0CC31E4A" w14:textId="77777777" w:rsidTr="001E2EB1">
        <w:trPr>
          <w:jc w:val="center"/>
        </w:trPr>
        <w:tc>
          <w:tcPr>
            <w:tcW w:w="2268" w:type="dxa"/>
            <w:vAlign w:val="center"/>
          </w:tcPr>
          <w:p w14:paraId="487986A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Vendedor</w:t>
            </w:r>
          </w:p>
        </w:tc>
        <w:tc>
          <w:tcPr>
            <w:tcW w:w="6802" w:type="dxa"/>
            <w:vAlign w:val="center"/>
          </w:tcPr>
          <w:p w14:paraId="792EA02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 xml:space="preserve"> #S789</w:t>
            </w:r>
          </w:p>
        </w:tc>
      </w:tr>
      <w:tr w:rsidR="003324A2" w:rsidRPr="003324A2" w14:paraId="05703DF3" w14:textId="77777777" w:rsidTr="001E2EB1">
        <w:trPr>
          <w:jc w:val="center"/>
        </w:trPr>
        <w:tc>
          <w:tcPr>
            <w:tcW w:w="2268" w:type="dxa"/>
            <w:vAlign w:val="center"/>
          </w:tcPr>
          <w:p w14:paraId="346DA4D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em risco</w:t>
            </w:r>
          </w:p>
        </w:tc>
        <w:tc>
          <w:tcPr>
            <w:tcW w:w="6802" w:type="dxa"/>
            <w:vAlign w:val="center"/>
          </w:tcPr>
          <w:p w14:paraId="6D58DF0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8</w:t>
            </w:r>
          </w:p>
        </w:tc>
      </w:tr>
      <w:tr w:rsidR="003324A2" w:rsidRPr="003324A2" w14:paraId="0FB5F47B" w14:textId="77777777" w:rsidTr="001E2EB1">
        <w:trPr>
          <w:jc w:val="center"/>
        </w:trPr>
        <w:tc>
          <w:tcPr>
            <w:tcW w:w="2268" w:type="dxa"/>
            <w:vAlign w:val="center"/>
          </w:tcPr>
          <w:p w14:paraId="3E054E3F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vencidos</w:t>
            </w:r>
          </w:p>
        </w:tc>
        <w:tc>
          <w:tcPr>
            <w:tcW w:w="6802" w:type="dxa"/>
            <w:vAlign w:val="center"/>
          </w:tcPr>
          <w:p w14:paraId="6C979EDA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3</w:t>
            </w:r>
          </w:p>
        </w:tc>
      </w:tr>
      <w:tr w:rsidR="003324A2" w:rsidRPr="003324A2" w14:paraId="769ABE36" w14:textId="77777777" w:rsidTr="001E2EB1">
        <w:trPr>
          <w:jc w:val="center"/>
        </w:trPr>
        <w:tc>
          <w:tcPr>
            <w:tcW w:w="2268" w:type="dxa"/>
            <w:vAlign w:val="center"/>
          </w:tcPr>
          <w:p w14:paraId="5270B9B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Problema identificado</w:t>
            </w:r>
          </w:p>
        </w:tc>
        <w:tc>
          <w:tcPr>
            <w:tcW w:w="6802" w:type="dxa"/>
            <w:vAlign w:val="center"/>
          </w:tcPr>
          <w:p w14:paraId="4991BA0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Três pedidos sem registro confirmado de postagem após o prazo-limite</w:t>
            </w:r>
          </w:p>
        </w:tc>
      </w:tr>
      <w:tr w:rsidR="003324A2" w:rsidRPr="003324A2" w14:paraId="27DDE23C" w14:textId="77777777" w:rsidTr="001E2EB1">
        <w:trPr>
          <w:jc w:val="center"/>
        </w:trPr>
        <w:tc>
          <w:tcPr>
            <w:tcW w:w="2268" w:type="dxa"/>
            <w:vAlign w:val="center"/>
          </w:tcPr>
          <w:p w14:paraId="298020BE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Mensagem sugerida</w:t>
            </w:r>
          </w:p>
        </w:tc>
        <w:tc>
          <w:tcPr>
            <w:tcW w:w="6802" w:type="dxa"/>
            <w:vAlign w:val="center"/>
          </w:tcPr>
          <w:p w14:paraId="3374EE1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Olá! Identificamos três pedidos sem confirmação de postagem após o prazo-limite registrado. Por favor, verifique a situação dos pedidos e regularize o envio ou informe o impedimento pelos canais operacionais da Olist. Os demais pedidos próximos do vencimento também precisam de acompanhamento para evitar novos atrasos.</w:t>
            </w:r>
          </w:p>
        </w:tc>
      </w:tr>
      <w:tr w:rsidR="003324A2" w:rsidRPr="003324A2" w14:paraId="0A6FA883" w14:textId="77777777" w:rsidTr="001E2EB1">
        <w:trPr>
          <w:jc w:val="center"/>
        </w:trPr>
        <w:tc>
          <w:tcPr>
            <w:tcW w:w="2268" w:type="dxa"/>
            <w:vAlign w:val="center"/>
          </w:tcPr>
          <w:p w14:paraId="063CEC65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Encaminhamento</w:t>
            </w:r>
          </w:p>
        </w:tc>
        <w:tc>
          <w:tcPr>
            <w:tcW w:w="6802" w:type="dxa"/>
            <w:vAlign w:val="center"/>
          </w:tcPr>
          <w:p w14:paraId="6A4594F0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Reavaliar os pedidos após a atualização do status e alertar o Agente de Risco &amp; Prazos sobre os casos com impacto potencial na entrega</w:t>
            </w:r>
          </w:p>
        </w:tc>
      </w:tr>
    </w:tbl>
    <w:p w14:paraId="78A05D96" w14:textId="77777777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Os quantitativos são fictícios. O agente deverá calculá-los a partir dos pedidos efetivamente associados ao vendedor.</w:t>
      </w:r>
    </w:p>
    <w:p w14:paraId="64C46374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6DBC5060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2CBFCA2B" w14:textId="5D284A6E" w:rsidR="00124E17" w:rsidRPr="00124E17" w:rsidRDefault="00124E17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três agentes formam um ciclo operacional: prever o atraso, comunicar o cliente no momento adequado e atuar sobre a origem do problema quando relacionada ao vendedor. A recomendação é iniciar com escopo limitado, fontes de dados auditáveis e supervisão humana; validar qualidade e impacto por meio de indicadores; e ampliar a autonomia somente após comprovar desempenho.</w:t>
      </w:r>
    </w:p>
    <w:p w14:paraId="54BB8ED0" w14:textId="77777777" w:rsidR="00124E17" w:rsidRPr="00124E17" w:rsidRDefault="00124E17" w:rsidP="00124E17">
      <w:pPr>
        <w:spacing w:after="120" w:line="288" w:lineRule="auto"/>
        <w:ind w:firstLine="360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limites numéricos, critérios de risco e metas apresentados neste documento são parâmetros iniciais de projeto, não fatos universais nem resultados já alcançados. Devem ser calibrados com dados atuais, custos de erro e políticas aprovadas pela Olist.</w:t>
      </w:r>
    </w:p>
    <w:p w14:paraId="2C0F419F" w14:textId="77777777" w:rsidR="003324A2" w:rsidRPr="005659AD" w:rsidRDefault="003324A2" w:rsidP="001F1D3D">
      <w:pPr>
        <w:spacing w:before="200" w:after="100"/>
        <w:rPr>
          <w:rFonts w:ascii="Aptos" w:eastAsia="Aptos" w:hAnsi="Aptos" w:cs="Aptos"/>
          <w:color w:val="000000"/>
        </w:rPr>
      </w:pPr>
    </w:p>
    <w:p w14:paraId="59B3C313" w14:textId="03E05CAA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Arquitetura de referência</w:t>
      </w:r>
    </w:p>
    <w:p w14:paraId="604FA10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Recomendamos uma arquitetura em quatro camadas, que permite começar pequeno e reutilizar componentes:</w:t>
      </w:r>
    </w:p>
    <w:p w14:paraId="69E20779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Dados: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unificação das oito tabelas em um repositório analítico único, com atualização diária (ou em tempo real para status de pedidos) e dicionário de dados.</w:t>
      </w:r>
    </w:p>
    <w:p w14:paraId="1F459D0D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Modelos: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modelos de linguagem para texto (classificação, resumo, redação) e modelos preditivos para atraso, prazo e recompra.</w:t>
      </w:r>
    </w:p>
    <w:p w14:paraId="4CA6CB5F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Agentes e ferramentas: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agentes especializados com acesso controlado a ferramentas (consultas, mensagens, chamados, vouchers), orquestrados por regras de negócio.</w:t>
      </w:r>
    </w:p>
    <w:p w14:paraId="35D4D893" w14:textId="4E38EEE7" w:rsidR="00124E1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Governança: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humano no circuito para decisões financeiras, registro de todas as ações, métricas de qualidade, conformidade com a LGPD (anonimização de dados pessoais, base legal para comunicações).</w:t>
      </w:r>
    </w:p>
    <w:p w14:paraId="7931F206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315D8564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>
          <w:headerReference w:type="default" r:id="rId22"/>
          <w:footerReference w:type="default" r:id="rId23"/>
          <w:headerReference w:type="first" r:id="rId24"/>
          <w:footerReference w:type="first" r:id="rId25"/>
          <w:pgSz w:w="11906" w:h="16838"/>
          <w:pgMar w:top="1037" w:right="1123" w:bottom="1037" w:left="1123" w:header="708" w:footer="708" w:gutter="0"/>
          <w:pgNumType w:start="1"/>
          <w:cols w:space="720"/>
          <w:titlePg/>
        </w:sectPr>
      </w:pPr>
    </w:p>
    <w:p w14:paraId="6BD30E70" w14:textId="56ADF0D1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 w:rsidSect="00124E17">
          <w:pgSz w:w="16838" w:h="11906" w:orient="landscape"/>
          <w:pgMar w:top="1123" w:right="1038" w:bottom="1123" w:left="1038" w:header="709" w:footer="709" w:gutter="0"/>
          <w:pgNumType w:start="1"/>
          <w:cols w:space="720"/>
          <w:titlePg/>
        </w:sectPr>
      </w:pPr>
      <w:r>
        <w:rPr>
          <w:rFonts w:ascii="Aptos" w:eastAsia="Aptos" w:hAnsi="Aptos" w:cs="Aptos"/>
          <w:noProof/>
          <w:color w:val="000000"/>
          <w:sz w:val="24"/>
          <w:szCs w:val="24"/>
        </w:rPr>
        <w:lastRenderedPageBreak/>
        <w:drawing>
          <wp:inline distT="0" distB="0" distL="0" distR="0" wp14:anchorId="3F5652F1" wp14:editId="12D5844D">
            <wp:extent cx="9346027" cy="5170805"/>
            <wp:effectExtent l="0" t="0" r="7620" b="0"/>
            <wp:docPr id="13550967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96795" name="Imagem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46027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549CE" w14:textId="37F99C97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Roteiro em ondas</w:t>
      </w:r>
    </w:p>
    <w:tbl>
      <w:tblPr>
        <w:tblStyle w:val="af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300"/>
        <w:gridCol w:w="3600"/>
        <w:gridCol w:w="2538"/>
      </w:tblGrid>
      <w:tr w:rsidR="00B8752D" w:rsidRPr="005659AD" w14:paraId="173344A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D4BD6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32F14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Horizonte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1E00B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Entregas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CCE4E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Critério de sucesso</w:t>
            </w:r>
          </w:p>
        </w:tc>
      </w:tr>
      <w:tr w:rsidR="00B8752D" w:rsidRPr="005659AD" w14:paraId="13892001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E7F7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 — Dados e risco logístico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D7B5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0–3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4A1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Validar fontes e baseline; protótipo do Agente de Riscos e Prazos; definir rotas e fila de pedidos críticos.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32E0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Dados homologados; desempenho do risco medido em validação; fila crítica revisada por Operações.</w:t>
            </w:r>
          </w:p>
        </w:tc>
      </w:tr>
      <w:tr w:rsidR="00B8752D" w:rsidRPr="005659AD" w14:paraId="381BDB0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D83F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 — Atendimento e vendedores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C0D5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3–6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7C8E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 do Agente de Atendimento Proativo e do Agente Gestor de Vendedores; integrações controladas.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E02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Melhoria versus baseline/controle; mensagens, alertas e escalonamentos auditáveis.</w:t>
            </w:r>
          </w:p>
        </w:tc>
      </w:tr>
      <w:tr w:rsidR="00B8752D" w:rsidRPr="005659AD" w14:paraId="36C04ED6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EED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 — Consolidação e escala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6F3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6–12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8B5A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Ampliar rotas e vendedores elegíveis; automatizar monitoramento; definir suporte e governança operacional.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DFB5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Benefícios e custos validados, controles aprovados e plano de sustentação definido.</w:t>
            </w:r>
          </w:p>
        </w:tc>
      </w:tr>
    </w:tbl>
    <w:p w14:paraId="3BC51B67" w14:textId="77777777" w:rsidR="001F1D3D" w:rsidRPr="005659AD" w:rsidRDefault="001F1D3D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</w:p>
    <w:p w14:paraId="3DF2F883" w14:textId="77777777" w:rsidR="001F1D3D" w:rsidRPr="005659AD" w:rsidRDefault="001F1D3D">
      <w:pPr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0A9D48DA" w14:textId="61A070C2" w:rsidR="00B8752D" w:rsidRPr="005659AD" w:rsidRDefault="00192862" w:rsidP="0019286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 xml:space="preserve"> IMPACTO ESPERADO PARA O NEGÓCIO</w:t>
      </w:r>
    </w:p>
    <w:p w14:paraId="4F00964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As estimativas abaixo usam como base o período analisado (~20 meses úteis) e premissas deliberadamente conservadoras. Elas devem ser tratadas como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hipóteses a validar em pilotos com grupo de controle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não como garantia de resultado.</w:t>
      </w:r>
    </w:p>
    <w:p w14:paraId="64912B41" w14:textId="5E12C722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</w:t>
      </w:r>
    </w:p>
    <w:tbl>
      <w:tblPr>
        <w:tblStyle w:val="affa"/>
        <w:tblW w:w="970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1559"/>
        <w:gridCol w:w="2410"/>
        <w:gridCol w:w="3327"/>
      </w:tblGrid>
      <w:tr w:rsidR="00B8752D" w:rsidRPr="005659AD" w14:paraId="58840F2B" w14:textId="77777777" w:rsidTr="00192862">
        <w:trPr>
          <w:cantSplit/>
          <w:trHeight w:val="167"/>
          <w:tblHeader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54F2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B672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Linha de base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71E0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Meta 12 meses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D4EC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Casos de uso</w:t>
            </w:r>
          </w:p>
        </w:tc>
      </w:tr>
      <w:tr w:rsidR="00B8752D" w:rsidRPr="005659AD" w14:paraId="126145F6" w14:textId="77777777" w:rsidTr="00192862">
        <w:trPr>
          <w:cantSplit/>
          <w:trHeight w:val="532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6CD9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A2C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6C37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46CD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</w:t>
            </w:r>
          </w:p>
        </w:tc>
      </w:tr>
      <w:tr w:rsidR="00B8752D" w:rsidRPr="005659AD" w14:paraId="2072EA5D" w14:textId="77777777" w:rsidTr="00192862">
        <w:trPr>
          <w:cantSplit/>
          <w:trHeight w:val="684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5A28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em meses de pico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8BF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12–19%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ED07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8%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0F6A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Proativo; Gestor de Vendedores</w:t>
            </w:r>
          </w:p>
        </w:tc>
      </w:tr>
      <w:tr w:rsidR="00B8752D" w:rsidRPr="005659AD" w14:paraId="4C459F34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5C42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média de avaliação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17B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4,09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5309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4,20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5A13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3B52FBD9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975E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% avaliações negativas (1–2)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C8A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14,7%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D3B0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12%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E90B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22357926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8A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com recompra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97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3,1%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CBDF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F6A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 indireto a validar; não é métrica primária</w:t>
            </w:r>
          </w:p>
        </w:tc>
      </w:tr>
      <w:tr w:rsidR="00B8752D" w:rsidRPr="005659AD" w14:paraId="42BBE5D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5678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prazo-limite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22DF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468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26F1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Gestor de Vendedores</w:t>
            </w:r>
          </w:p>
        </w:tc>
      </w:tr>
      <w:tr w:rsidR="00B8752D" w:rsidRPr="005659AD" w14:paraId="649D77C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92C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até primeira resposta à reclamação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1FA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~1,7 dia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251E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&lt; 1 hora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0DA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</w:t>
            </w:r>
          </w:p>
        </w:tc>
      </w:tr>
      <w:tr w:rsidR="00B8752D" w:rsidRPr="005659AD" w14:paraId="3492E327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836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Produtos com 1 foto / sem categoria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86C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/ 1,9%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4B0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Descrições e categorias revisadas em 100%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DAFE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</w:t>
            </w:r>
          </w:p>
        </w:tc>
      </w:tr>
    </w:tbl>
    <w:p w14:paraId="02211C29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4B420994" w14:textId="56B69130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Estimativas de valor</w:t>
      </w:r>
    </w:p>
    <w:tbl>
      <w:tblPr>
        <w:tblStyle w:val="af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700"/>
        <w:gridCol w:w="3738"/>
      </w:tblGrid>
      <w:tr w:rsidR="00B8752D" w:rsidRPr="005659AD" w14:paraId="185458E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6493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Alavanca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2F4D5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Premissa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757EA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Impacto estimado no período</w:t>
            </w:r>
          </w:p>
        </w:tc>
      </w:tr>
      <w:tr w:rsidR="00B8752D" w:rsidRPr="005659AD" w14:paraId="75D9FE6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2F5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Menos atrasos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1AAD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de 6,8% → 5,0% sobre ~96 mil pedidos entregues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467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~1.700 pedidos a menos com atraso; ~900 avaliações negativas evitadas (diferença de 53 p.p. na taxa de negativas)</w:t>
            </w:r>
          </w:p>
        </w:tc>
      </w:tr>
      <w:tr w:rsidR="00B8752D" w:rsidRPr="005659AD" w14:paraId="10DF8D7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1B4C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Mais recompra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1C7D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de 3,1% → 5,0%; 1,12 pedido extra por cliente recorrente; ticket R$ 137,75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CFCE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~1.800 clientes recorrentes adicionais; ~R$ 280 mil em GMV (≈ +2%)</w:t>
            </w:r>
          </w:p>
        </w:tc>
      </w:tr>
      <w:tr w:rsidR="00B8752D" w:rsidRPr="005659AD" w14:paraId="40F6962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34D7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de alto valor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FD3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Programa dedicado aos 10% que concentram 41% da receita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5B32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Proteção da principal fatia de receita contra churn</w:t>
            </w:r>
          </w:p>
        </w:tc>
      </w:tr>
      <w:tr w:rsidR="00B8752D" w:rsidRPr="005659AD" w14:paraId="3549F4C0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BAF8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Produtividade de atendimento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9F24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da triagem de ~40 mil comentários e de consultas de rastreio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0BA5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40–60% menos esforço manual; capacidade de absorver picos sem contratação proporcional</w:t>
            </w:r>
          </w:p>
        </w:tc>
      </w:tr>
      <w:tr w:rsidR="00B8752D" w:rsidRPr="005659AD" w14:paraId="4AE1C6D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F2C8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 em risco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715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R$ 986 mil (7,3% do GMV) em pedidos atrasados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8B3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Proteção de reputação com marketplaces e redução de compensações e cancelamentos</w:t>
            </w:r>
          </w:p>
        </w:tc>
      </w:tr>
      <w:tr w:rsidR="00B8752D" w:rsidRPr="005659AD" w14:paraId="666CCB4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5F4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Decisão mais rápida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28D0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para gestores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D1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Análises que levam dias passam a minutos</w:t>
            </w:r>
          </w:p>
        </w:tc>
      </w:tr>
    </w:tbl>
    <w:p w14:paraId="76BFB4F7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38E54D4" w14:textId="277136A2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Benefícios qualitativos</w:t>
      </w:r>
    </w:p>
    <w:p w14:paraId="76590E79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Reputação nos marketplaces: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notas melhores elevam a visibilidade dos produtos dos vendedores Olist, gerando um ciclo virtuoso de vendas.</w:t>
      </w:r>
    </w:p>
    <w:p w14:paraId="518D2068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Vendedores mais competentes: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cauda longa recebe orientação personalizada que hoje seria inviável com atendimento humano.</w:t>
      </w:r>
    </w:p>
    <w:p w14:paraId="2E2117B7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Decisões orientadas por evidências: priorização logística, comunicação preventiva e ações corretivas sustentadas por indicadores auditáveis.</w:t>
      </w:r>
    </w:p>
    <w:p w14:paraId="46978A77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Escala sustentável: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 custo operacional cresce menos que o volume, preparando a empresa para novos picos de demanda.</w:t>
      </w:r>
    </w:p>
    <w:p w14:paraId="3EA7DFE8" w14:textId="4D3E810A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Riscos e mitigações</w:t>
      </w:r>
    </w:p>
    <w:tbl>
      <w:tblPr>
        <w:tblStyle w:val="af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00"/>
        <w:gridCol w:w="5838"/>
      </w:tblGrid>
      <w:tr w:rsidR="00B8752D" w:rsidRPr="005659AD" w14:paraId="61A66919" w14:textId="77777777">
        <w:trPr>
          <w:cantSplit/>
          <w:tblHeader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5979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5E45D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Mitigação</w:t>
            </w:r>
          </w:p>
        </w:tc>
      </w:tr>
      <w:tr w:rsidR="00B8752D" w:rsidRPr="005659AD" w14:paraId="4C7BB196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CF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Respostas incorretas ou inadequadas de agentes ao cliente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57A2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Início com revisão humana; limites de ação; monitoramento de qualidade e de reclamações</w:t>
            </w:r>
          </w:p>
        </w:tc>
      </w:tr>
      <w:tr w:rsidR="00B8752D" w:rsidRPr="005659AD" w14:paraId="71784098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8A0A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Qualidade e integração de dados (como observado no arquivo recebido)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82CB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Onda 1 dedicada à base unificada, com validações automáticas</w:t>
            </w:r>
          </w:p>
        </w:tc>
      </w:tr>
      <w:tr w:rsidR="00B8752D" w:rsidRPr="005659AD" w14:paraId="37144269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2F87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Privacidade e LGPD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1A5D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Pseudonimização de clientes, minimização de dados enviados a modelos, base legal para comunicação</w:t>
            </w:r>
          </w:p>
        </w:tc>
      </w:tr>
      <w:tr w:rsidR="00B8752D" w:rsidRPr="005659AD" w14:paraId="3AD1B612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482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Expectativa de retorno imediato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E04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Pilotos com grupo de controle e metas por onda; comunicação transparente dos resultados</w:t>
            </w:r>
          </w:p>
        </w:tc>
      </w:tr>
      <w:tr w:rsidR="00B8752D" w:rsidRPr="005659AD" w14:paraId="688DB4B4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2A5C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Adoção pelas equipes e vendedores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FC4C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Envolver times desde o desenho; agentes como apoio, não substituição; treinamento</w:t>
            </w:r>
          </w:p>
        </w:tc>
      </w:tr>
    </w:tbl>
    <w:p w14:paraId="1F5A3B21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39B1D61" w14:textId="0A3B3F6F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Próximos passos recomendados</w:t>
      </w:r>
    </w:p>
    <w:p w14:paraId="50C2FB83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Validar este diagnóstico com as áreas de Operações, Atendimento e Sucesso do Vendedor (2 semanas).</w:t>
      </w:r>
    </w:p>
    <w:p w14:paraId="6337B24B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Definir responsáveis de negócio e indicadores de sucesso para a Onda 1.</w:t>
      </w:r>
    </w:p>
    <w:p w14:paraId="6ABFE20D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Desenhar pilotos controlados dos três agentes, começando pelo Agente de Riscos e Prazos e definindo escopo de rotas, clientes e vendedores.</w:t>
      </w:r>
    </w:p>
    <w:p w14:paraId="5E5001C2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Estabelecer o comitê de governança de IA (negócio, tecnologia, jurídico/LGPD).</w:t>
      </w:r>
    </w:p>
    <w:p w14:paraId="3E60650A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</w:p>
    <w:p w14:paraId="13110A40" w14:textId="257AF485" w:rsidR="00B8752D" w:rsidRPr="00192862" w:rsidRDefault="00192862" w:rsidP="00192862">
      <w:pPr>
        <w:pStyle w:val="PargrafodaLista"/>
        <w:numPr>
          <w:ilvl w:val="0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PLANO DE EXECUÇÃO, MARCOS DE APROVAÇÃO E DECISÕES PENDENTES</w:t>
      </w:r>
    </w:p>
    <w:p w14:paraId="0FC2F605" w14:textId="77777777" w:rsidR="00B8752D" w:rsidRPr="005659AD" w:rsidRDefault="00000000">
      <w:pPr>
        <w:spacing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Plano proposto para os três agentes definidos pela Nexora. Os horizontes, responsáveis e critérios são recomendações para validação com as áreas envolvidas.</w:t>
      </w:r>
    </w:p>
    <w:p w14:paraId="4564DD35" w14:textId="0011A31D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Linha do tempo visual</w:t>
      </w:r>
    </w:p>
    <w:tbl>
      <w:tblPr>
        <w:tblStyle w:val="affd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4C9E1D99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4987075B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1 | 0–3 MESES</w:t>
            </w:r>
          </w:p>
        </w:tc>
        <w:tc>
          <w:tcPr>
            <w:tcW w:w="3220" w:type="dxa"/>
            <w:shd w:val="clear" w:color="auto" w:fill="24B8BE"/>
          </w:tcPr>
          <w:p w14:paraId="5C320460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2 | 3–6 MESES</w:t>
            </w:r>
          </w:p>
        </w:tc>
        <w:tc>
          <w:tcPr>
            <w:tcW w:w="3220" w:type="dxa"/>
            <w:shd w:val="clear" w:color="auto" w:fill="11223B"/>
          </w:tcPr>
          <w:p w14:paraId="05DEBA4F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3 | 6–12 MESES</w:t>
            </w:r>
          </w:p>
        </w:tc>
      </w:tr>
      <w:tr w:rsidR="00B8752D" w:rsidRPr="005659AD" w14:paraId="1CCF6673" w14:textId="77777777">
        <w:trPr>
          <w:jc w:val="center"/>
        </w:trPr>
        <w:tc>
          <w:tcPr>
            <w:tcW w:w="3220" w:type="dxa"/>
            <w:shd w:val="clear" w:color="auto" w:fill="EAF4FA"/>
          </w:tcPr>
          <w:p w14:paraId="68E2598F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Riscos e prazos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Validar dados e baseline; protótipo de risco por rota; priorizar pedidos críticos.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Gate 1: qualidade dos dados e desempenho do risco aprovados.</w:t>
            </w:r>
          </w:p>
        </w:tc>
        <w:tc>
          <w:tcPr>
            <w:tcW w:w="3220" w:type="dxa"/>
            <w:shd w:val="clear" w:color="auto" w:fill="E7F8F5"/>
          </w:tcPr>
          <w:p w14:paraId="4E92C121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Atendimento proativo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Definir régua de contato, preparar mensagens e executar piloto com aprovação humana.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2: comunicação e experiência avaliadas.</w:t>
            </w:r>
          </w:p>
        </w:tc>
        <w:tc>
          <w:tcPr>
            <w:tcW w:w="3220" w:type="dxa"/>
            <w:shd w:val="clear" w:color="auto" w:fill="F2F4F7"/>
          </w:tcPr>
          <w:p w14:paraId="6F07E454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Gestão de vendedores e escala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Auditar atrasos de postagem, identificar reincidências e expandir o monitoramento.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3: benefício operacional e custo validados.</w:t>
            </w:r>
          </w:p>
        </w:tc>
      </w:tr>
    </w:tbl>
    <w:p w14:paraId="5B9A0E09" w14:textId="3664D6DB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Marcos de aprovação e responsáveis</w:t>
      </w:r>
    </w:p>
    <w:tbl>
      <w:tblPr>
        <w:tblStyle w:val="affe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94"/>
        <w:gridCol w:w="3746"/>
        <w:gridCol w:w="3220"/>
      </w:tblGrid>
      <w:tr w:rsidR="00B8752D" w:rsidRPr="005659AD" w14:paraId="0B4DAA6C" w14:textId="77777777">
        <w:trPr>
          <w:jc w:val="center"/>
        </w:trPr>
        <w:tc>
          <w:tcPr>
            <w:tcW w:w="2694" w:type="dxa"/>
            <w:shd w:val="clear" w:color="auto" w:fill="11223B"/>
          </w:tcPr>
          <w:p w14:paraId="40195B5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Marco</w:t>
            </w:r>
          </w:p>
        </w:tc>
        <w:tc>
          <w:tcPr>
            <w:tcW w:w="3746" w:type="dxa"/>
            <w:shd w:val="clear" w:color="auto" w:fill="11223B"/>
          </w:tcPr>
          <w:p w14:paraId="27D1096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necessária</w:t>
            </w:r>
          </w:p>
        </w:tc>
        <w:tc>
          <w:tcPr>
            <w:tcW w:w="3220" w:type="dxa"/>
            <w:shd w:val="clear" w:color="auto" w:fill="11223B"/>
          </w:tcPr>
          <w:p w14:paraId="1963234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Responsáveis sugeridos</w:t>
            </w:r>
          </w:p>
        </w:tc>
      </w:tr>
      <w:tr w:rsidR="00B8752D" w:rsidRPr="005659AD" w14:paraId="3373F505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3D8FB1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M0 — Escopo aprovado</w:t>
            </w:r>
          </w:p>
        </w:tc>
        <w:tc>
          <w:tcPr>
            <w:tcW w:w="3746" w:type="dxa"/>
            <w:shd w:val="clear" w:color="auto" w:fill="FFFFFF"/>
          </w:tcPr>
          <w:p w14:paraId="4C8EB63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Sponsor, objetivo, orçamento preliminar e critérios de sucesso definidos.</w:t>
            </w:r>
          </w:p>
        </w:tc>
        <w:tc>
          <w:tcPr>
            <w:tcW w:w="3220" w:type="dxa"/>
            <w:shd w:val="clear" w:color="auto" w:fill="FFFFFF"/>
          </w:tcPr>
          <w:p w14:paraId="19F0518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Patrocinador executivo + Product Owner</w:t>
            </w:r>
          </w:p>
        </w:tc>
      </w:tr>
      <w:tr w:rsidR="00B8752D" w:rsidRPr="005659AD" w14:paraId="32C6BF7F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028B7FE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M1 — Dados e baseline</w:t>
            </w:r>
          </w:p>
        </w:tc>
        <w:tc>
          <w:tcPr>
            <w:tcW w:w="3746" w:type="dxa"/>
            <w:shd w:val="clear" w:color="auto" w:fill="F2F4F7"/>
          </w:tcPr>
          <w:p w14:paraId="3CB6BE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Datas de compra, prazo prometido, postagem, rastreamento e entrega validados.</w:t>
            </w:r>
          </w:p>
        </w:tc>
        <w:tc>
          <w:tcPr>
            <w:tcW w:w="3220" w:type="dxa"/>
            <w:shd w:val="clear" w:color="auto" w:fill="F2F4F7"/>
          </w:tcPr>
          <w:p w14:paraId="49C557D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Engenharia de Dados + Operações Logísticas</w:t>
            </w:r>
          </w:p>
        </w:tc>
      </w:tr>
      <w:tr w:rsidR="00B8752D" w:rsidRPr="005659AD" w14:paraId="2623D5EC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0DAD4B6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M2 — Risco validado</w:t>
            </w:r>
          </w:p>
        </w:tc>
        <w:tc>
          <w:tcPr>
            <w:tcW w:w="3746" w:type="dxa"/>
            <w:shd w:val="clear" w:color="auto" w:fill="FFFFFF"/>
          </w:tcPr>
          <w:p w14:paraId="4C33315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Desempenho por rota medido em validação; limiares e fila crítica aprovados.</w:t>
            </w:r>
          </w:p>
        </w:tc>
        <w:tc>
          <w:tcPr>
            <w:tcW w:w="3220" w:type="dxa"/>
            <w:shd w:val="clear" w:color="auto" w:fill="FFFFFF"/>
          </w:tcPr>
          <w:p w14:paraId="62F9D9C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Data Science + Operações + Customer Experience</w:t>
            </w:r>
          </w:p>
        </w:tc>
      </w:tr>
      <w:tr w:rsidR="00B8752D" w:rsidRPr="005659AD" w14:paraId="2FB41360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47D28E8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M3 — Comunicação aprovada</w:t>
            </w:r>
          </w:p>
        </w:tc>
        <w:tc>
          <w:tcPr>
            <w:tcW w:w="3746" w:type="dxa"/>
            <w:shd w:val="clear" w:color="auto" w:fill="F2F4F7"/>
          </w:tcPr>
          <w:p w14:paraId="73B2E26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Régua de contato, templates, preferências, escalonamento e revisão humana aprovados.</w:t>
            </w:r>
          </w:p>
        </w:tc>
        <w:tc>
          <w:tcPr>
            <w:tcW w:w="3220" w:type="dxa"/>
            <w:shd w:val="clear" w:color="auto" w:fill="F2F4F7"/>
          </w:tcPr>
          <w:p w14:paraId="30A471F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Jurídico/LGPD</w:t>
            </w:r>
          </w:p>
        </w:tc>
      </w:tr>
      <w:tr w:rsidR="00B8752D" w:rsidRPr="005659AD" w14:paraId="4C386223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2A58282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M4 — Seller workflow aprovado</w:t>
            </w:r>
          </w:p>
        </w:tc>
        <w:tc>
          <w:tcPr>
            <w:tcW w:w="3746" w:type="dxa"/>
            <w:shd w:val="clear" w:color="auto" w:fill="FFFFFF"/>
          </w:tcPr>
          <w:p w14:paraId="13088D8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Critérios de reincidência, orientações e escalonamento definidos; sem penalidade automática.</w:t>
            </w:r>
          </w:p>
        </w:tc>
        <w:tc>
          <w:tcPr>
            <w:tcW w:w="3220" w:type="dxa"/>
            <w:shd w:val="clear" w:color="auto" w:fill="FFFFFF"/>
          </w:tcPr>
          <w:p w14:paraId="4A2A1A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Suporte + Compliance</w:t>
            </w:r>
          </w:p>
        </w:tc>
      </w:tr>
      <w:tr w:rsidR="00B8752D" w:rsidRPr="005659AD" w14:paraId="7D4D6EE1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2A19BA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M5 — Escala autorizada</w:t>
            </w:r>
          </w:p>
        </w:tc>
        <w:tc>
          <w:tcPr>
            <w:tcW w:w="3746" w:type="dxa"/>
            <w:shd w:val="clear" w:color="auto" w:fill="F2F4F7"/>
          </w:tcPr>
          <w:p w14:paraId="3822D4E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Resultados versus baseline/controle, custos, qualidade e riscos avaliados.</w:t>
            </w:r>
          </w:p>
        </w:tc>
        <w:tc>
          <w:tcPr>
            <w:tcW w:w="3220" w:type="dxa"/>
            <w:shd w:val="clear" w:color="auto" w:fill="F2F4F7"/>
          </w:tcPr>
          <w:p w14:paraId="2B4E7E3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 + Financeiro + Tecnologia + negócio</w:t>
            </w:r>
          </w:p>
        </w:tc>
      </w:tr>
    </w:tbl>
    <w:p w14:paraId="1EA39897" w14:textId="3A325933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Quadro de decisões pendentes</w:t>
      </w:r>
    </w:p>
    <w:tbl>
      <w:tblPr>
        <w:tblStyle w:val="afff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731A23C4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05218D3C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Decisão</w:t>
            </w:r>
          </w:p>
        </w:tc>
        <w:tc>
          <w:tcPr>
            <w:tcW w:w="3220" w:type="dxa"/>
            <w:shd w:val="clear" w:color="auto" w:fill="255B97"/>
          </w:tcPr>
          <w:p w14:paraId="7333E8F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Pergunta a resolver</w:t>
            </w:r>
          </w:p>
        </w:tc>
        <w:tc>
          <w:tcPr>
            <w:tcW w:w="3220" w:type="dxa"/>
            <w:shd w:val="clear" w:color="auto" w:fill="255B97"/>
          </w:tcPr>
          <w:p w14:paraId="297E734D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Dono sugerido</w:t>
            </w:r>
          </w:p>
        </w:tc>
      </w:tr>
      <w:tr w:rsidR="00B8752D" w:rsidRPr="005659AD" w14:paraId="72DBDDD2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4CDB0B6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Patrocinador e Product Owner</w:t>
            </w:r>
          </w:p>
        </w:tc>
        <w:tc>
          <w:tcPr>
            <w:tcW w:w="3220" w:type="dxa"/>
            <w:shd w:val="clear" w:color="auto" w:fill="FFFFFF"/>
          </w:tcPr>
          <w:p w14:paraId="0A50D87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Quem responde pelo resultado e remove impedimentos?</w:t>
            </w:r>
          </w:p>
        </w:tc>
        <w:tc>
          <w:tcPr>
            <w:tcW w:w="3220" w:type="dxa"/>
            <w:shd w:val="clear" w:color="auto" w:fill="FFFFFF"/>
          </w:tcPr>
          <w:p w14:paraId="5A8D1E9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Diretoria</w:t>
            </w:r>
          </w:p>
        </w:tc>
      </w:tr>
      <w:tr w:rsidR="00B8752D" w:rsidRPr="005659AD" w14:paraId="05D5B03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7D9C65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Rotas do piloto</w:t>
            </w:r>
          </w:p>
        </w:tc>
        <w:tc>
          <w:tcPr>
            <w:tcW w:w="3220" w:type="dxa"/>
            <w:shd w:val="clear" w:color="auto" w:fill="F2F4F7"/>
          </w:tcPr>
          <w:p w14:paraId="789BA80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rotas/regiões e volume serão usados para validar o risco?</w:t>
            </w:r>
          </w:p>
        </w:tc>
        <w:tc>
          <w:tcPr>
            <w:tcW w:w="3220" w:type="dxa"/>
            <w:shd w:val="clear" w:color="auto" w:fill="F2F4F7"/>
          </w:tcPr>
          <w:p w14:paraId="068A61C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Dados</w:t>
            </w:r>
          </w:p>
        </w:tc>
      </w:tr>
      <w:tr w:rsidR="00B8752D" w:rsidRPr="005659AD" w14:paraId="2C87D0E4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71D4F14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Definição de risco crítico</w:t>
            </w:r>
          </w:p>
        </w:tc>
        <w:tc>
          <w:tcPr>
            <w:tcW w:w="3220" w:type="dxa"/>
            <w:shd w:val="clear" w:color="auto" w:fill="FFFFFF"/>
          </w:tcPr>
          <w:p w14:paraId="113A55A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limiares classificam risco alto, médio e baixo?</w:t>
            </w:r>
          </w:p>
        </w:tc>
        <w:tc>
          <w:tcPr>
            <w:tcW w:w="3220" w:type="dxa"/>
            <w:shd w:val="clear" w:color="auto" w:fill="FFFFFF"/>
          </w:tcPr>
          <w:p w14:paraId="05F53F3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Data Science</w:t>
            </w:r>
          </w:p>
        </w:tc>
      </w:tr>
      <w:tr w:rsidR="00B8752D" w:rsidRPr="005659AD" w14:paraId="35BADF1B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1658A7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Régua de contato</w:t>
            </w:r>
          </w:p>
        </w:tc>
        <w:tc>
          <w:tcPr>
            <w:tcW w:w="3220" w:type="dxa"/>
            <w:shd w:val="clear" w:color="auto" w:fill="F2F4F7"/>
          </w:tcPr>
          <w:p w14:paraId="5F7E476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Quando contatar, por qual canal e com qual frequência?</w:t>
            </w:r>
          </w:p>
        </w:tc>
        <w:tc>
          <w:tcPr>
            <w:tcW w:w="3220" w:type="dxa"/>
            <w:shd w:val="clear" w:color="auto" w:fill="F2F4F7"/>
          </w:tcPr>
          <w:p w14:paraId="0A8545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Jurídico/LGPD</w:t>
            </w:r>
          </w:p>
        </w:tc>
      </w:tr>
      <w:tr w:rsidR="00B8752D" w:rsidRPr="005659AD" w14:paraId="691ECCC7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5D0DE4E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Autonomia do atendimento</w:t>
            </w:r>
          </w:p>
        </w:tc>
        <w:tc>
          <w:tcPr>
            <w:tcW w:w="3220" w:type="dxa"/>
            <w:shd w:val="clear" w:color="auto" w:fill="FFFFFF"/>
          </w:tcPr>
          <w:p w14:paraId="7913407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mensagens podem ser enviadas automaticamente?</w:t>
            </w:r>
          </w:p>
        </w:tc>
        <w:tc>
          <w:tcPr>
            <w:tcW w:w="3220" w:type="dxa"/>
            <w:shd w:val="clear" w:color="auto" w:fill="FFFFFF"/>
          </w:tcPr>
          <w:p w14:paraId="729C16A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Segurança/LGPD</w:t>
            </w:r>
          </w:p>
        </w:tc>
      </w:tr>
      <w:tr w:rsidR="00B8752D" w:rsidRPr="005659AD" w14:paraId="10BCDE7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5DA2D7B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Reincidência de vendedor</w:t>
            </w:r>
          </w:p>
        </w:tc>
        <w:tc>
          <w:tcPr>
            <w:tcW w:w="3220" w:type="dxa"/>
            <w:shd w:val="clear" w:color="auto" w:fill="F2F4F7"/>
          </w:tcPr>
          <w:p w14:paraId="4B3A772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janela, volume mínimo e número de ocorrências definem recorrência?</w:t>
            </w:r>
          </w:p>
        </w:tc>
        <w:tc>
          <w:tcPr>
            <w:tcW w:w="3220" w:type="dxa"/>
            <w:shd w:val="clear" w:color="auto" w:fill="F2F4F7"/>
          </w:tcPr>
          <w:p w14:paraId="1CF8D2D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Compliance</w:t>
            </w:r>
          </w:p>
        </w:tc>
      </w:tr>
      <w:tr w:rsidR="00B8752D" w:rsidRPr="005659AD" w14:paraId="43C99633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38AE5D3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Orçamento e critérios de escala</w:t>
            </w:r>
          </w:p>
        </w:tc>
        <w:tc>
          <w:tcPr>
            <w:tcW w:w="3220" w:type="dxa"/>
            <w:shd w:val="clear" w:color="auto" w:fill="FFFFFF"/>
          </w:tcPr>
          <w:p w14:paraId="143A910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custo máximo e quais métricas autorizam expandir/interromper?</w:t>
            </w:r>
          </w:p>
        </w:tc>
        <w:tc>
          <w:tcPr>
            <w:tcW w:w="3220" w:type="dxa"/>
            <w:shd w:val="clear" w:color="auto" w:fill="FFFFFF"/>
          </w:tcPr>
          <w:p w14:paraId="25DA53B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 + Financeiro + Product Owner</w:t>
            </w:r>
          </w:p>
        </w:tc>
      </w:tr>
    </w:tbl>
    <w:p w14:paraId="279407C2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11223B"/>
          <w:sz w:val="34"/>
          <w:szCs w:val="34"/>
        </w:rPr>
      </w:pPr>
    </w:p>
    <w:p w14:paraId="4F9339B9" w14:textId="77777777" w:rsidR="00B8752D" w:rsidRPr="005659AD" w:rsidRDefault="00000000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Anexo — Metodologia e definições</w:t>
      </w:r>
    </w:p>
    <w:tbl>
      <w:tblPr>
        <w:tblStyle w:val="af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838"/>
      </w:tblGrid>
      <w:tr w:rsidR="00B8752D" w:rsidRPr="005659AD" w14:paraId="1DD75215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A5B8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2FD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Definição utilizada</w:t>
            </w:r>
          </w:p>
        </w:tc>
      </w:tr>
      <w:tr w:rsidR="00B8752D" w:rsidRPr="005659AD" w14:paraId="4ABE233F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C1D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9F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Soma do preço dos itens (order_items.price), sem frete</w:t>
            </w:r>
          </w:p>
        </w:tc>
      </w:tr>
      <w:tr w:rsidR="00B8752D" w:rsidRPr="005659AD" w14:paraId="643FF0B7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AF6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atrasado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6420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entregue cuja data de entrega ao cliente é posterior à data estimada informada na compra</w:t>
            </w:r>
          </w:p>
        </w:tc>
      </w:tr>
      <w:tr w:rsidR="00B8752D" w:rsidRPr="005659AD" w14:paraId="78C1E39B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285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de entrega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B1FD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entre a compra (order_purchase_timestamp) e a entrega ao cliente (order_delivered_customer_date)</w:t>
            </w:r>
          </w:p>
        </w:tc>
      </w:tr>
      <w:tr w:rsidR="00B8752D" w:rsidRPr="005659AD" w14:paraId="0DA4C029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5A36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 recorrente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58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customer_unique_id com 2 ou mais pedidos</w:t>
            </w:r>
          </w:p>
        </w:tc>
      </w:tr>
      <w:tr w:rsidR="00B8752D" w:rsidRPr="005659AD" w14:paraId="3ECF343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C8EE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Avaliação negativa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416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1 ou 2</w:t>
            </w:r>
          </w:p>
        </w:tc>
      </w:tr>
      <w:tr w:rsidR="00B8752D" w:rsidRPr="005659AD" w14:paraId="4307DAB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F3E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Regiões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0ECC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Agrupamento das UFs do cliente nas cinco regiões do IBGE</w:t>
            </w:r>
          </w:p>
        </w:tc>
      </w:tr>
      <w:tr w:rsidR="00B8752D" w:rsidRPr="005659AD" w14:paraId="5334A5A5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F861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analisados por desempenho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6E1E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com pelo menos 30 pedidos avaliados (622)</w:t>
            </w:r>
          </w:p>
        </w:tc>
      </w:tr>
      <w:tr w:rsidR="00B8752D" w:rsidRPr="005659AD" w14:paraId="7FF6701A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37F2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Temas de comentários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2280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por expressões-chave em português, aplicada a comentários de notas 1–2; um comentário pode ter vários temas</w:t>
            </w:r>
          </w:p>
        </w:tc>
      </w:tr>
    </w:tbl>
    <w:p w14:paraId="2C37944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B411561" w14:textId="77777777" w:rsidR="00B8752D" w:rsidRPr="005659AD" w:rsidRDefault="00000000">
      <w:pPr>
        <w:spacing w:after="120" w:line="288" w:lineRule="auto"/>
        <w:jc w:val="both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52514E"/>
          <w:sz w:val="18"/>
          <w:szCs w:val="18"/>
        </w:rPr>
        <w:t>Ferramentas: Python (pandas) para tratamento e análise; matplotlib para gráficos. Todos os números deste documento são reprodutíveis a partir da base recebida.</w:t>
      </w:r>
    </w:p>
    <w:p w14:paraId="3ADE080D" w14:textId="77777777" w:rsidR="00B8752D" w:rsidRDefault="00B8752D">
      <w:pPr>
        <w:rPr>
          <w:rFonts w:ascii="Aptos" w:eastAsia="Aptos" w:hAnsi="Aptos" w:cs="Aptos"/>
        </w:rPr>
      </w:pPr>
    </w:p>
    <w:sectPr w:rsidR="00B8752D">
      <w:pgSz w:w="11906" w:h="16838"/>
      <w:pgMar w:top="1037" w:right="1123" w:bottom="1037" w:left="112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CADE2" w14:textId="77777777" w:rsidR="00777CB7" w:rsidRPr="005659AD" w:rsidRDefault="00777CB7">
      <w:r w:rsidRPr="005659AD">
        <w:separator/>
      </w:r>
    </w:p>
  </w:endnote>
  <w:endnote w:type="continuationSeparator" w:id="0">
    <w:p w14:paraId="4B886CDC" w14:textId="77777777" w:rsidR="00777CB7" w:rsidRPr="005659AD" w:rsidRDefault="00777CB7">
      <w:r w:rsidRPr="005659A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066581-DAA1-4AB2-93B7-024713757DCC}"/>
    <w:embedBold r:id="rId2" w:fontKey="{C1A15194-8591-4CEB-8972-E5A4C813D8FB}"/>
    <w:embedItalic r:id="rId3" w:fontKey="{42C8F6FB-E99C-4F8A-B881-CE8A3CEEC6D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1CB7CCB-E60D-4F84-9192-90806AFB31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F7C6AB4-0B81-45A1-B4F2-8F97E5CF96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7555459-0C5C-4912-AA5E-74266A40B2B3}"/>
    <w:embedBold r:id="rId7" w:fontKey="{4D9746A5-C70B-4EFA-BC3F-3C6F1F11507B}"/>
    <w:embedItalic r:id="rId8" w:fontKey="{2DFD339B-C5D3-480A-9542-D84DED68966E}"/>
    <w:embedBoldItalic r:id="rId9" w:fontKey="{C59E4E5C-A236-49FF-94B9-319817781917}"/>
  </w:font>
  <w:font w:name="Play">
    <w:charset w:val="00"/>
    <w:family w:val="auto"/>
    <w:pitch w:val="default"/>
    <w:embedBold r:id="rId10" w:fontKey="{4796A83A-22E1-424C-8D79-CAB5102D5F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AAEDC" w14:textId="77777777" w:rsidR="00B8752D" w:rsidRPr="005659AD" w:rsidRDefault="00000000">
    <w:pPr>
      <w:jc w:val="center"/>
    </w:pPr>
    <w:r w:rsidRPr="005659AD">
      <w:rPr>
        <w:color w:val="52514E"/>
        <w:sz w:val="18"/>
        <w:szCs w:val="18"/>
      </w:rPr>
      <w:fldChar w:fldCharType="begin"/>
    </w:r>
    <w:r w:rsidRPr="005659AD">
      <w:rPr>
        <w:color w:val="52514E"/>
        <w:sz w:val="18"/>
        <w:szCs w:val="18"/>
      </w:rPr>
      <w:instrText>PAGE</w:instrText>
    </w:r>
    <w:r w:rsidRPr="005659AD">
      <w:rPr>
        <w:color w:val="52514E"/>
        <w:sz w:val="18"/>
        <w:szCs w:val="18"/>
      </w:rPr>
      <w:fldChar w:fldCharType="separate"/>
    </w:r>
    <w:r w:rsidR="007E5577" w:rsidRPr="005659AD">
      <w:rPr>
        <w:color w:val="52514E"/>
        <w:sz w:val="18"/>
        <w:szCs w:val="18"/>
      </w:rPr>
      <w:t>2</w:t>
    </w:r>
    <w:r w:rsidRPr="005659AD">
      <w:rPr>
        <w:color w:val="52514E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ABD9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AB55A" w14:textId="77777777" w:rsidR="00777CB7" w:rsidRPr="005659AD" w:rsidRDefault="00777CB7">
      <w:r w:rsidRPr="005659AD">
        <w:separator/>
      </w:r>
    </w:p>
  </w:footnote>
  <w:footnote w:type="continuationSeparator" w:id="0">
    <w:p w14:paraId="0A98901F" w14:textId="77777777" w:rsidR="00777CB7" w:rsidRPr="005659AD" w:rsidRDefault="00777CB7">
      <w:r w:rsidRPr="005659A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A8C6C" w14:textId="77777777" w:rsidR="00B8752D" w:rsidRPr="005659AD" w:rsidRDefault="00000000">
    <w:pPr>
      <w:jc w:val="right"/>
    </w:pPr>
    <w:r w:rsidRPr="005659AD">
      <w:rPr>
        <w:color w:val="52514E"/>
        <w:sz w:val="16"/>
        <w:szCs w:val="16"/>
      </w:rPr>
      <w:t>Olist · Diagnóstico de dados e oportunidades de 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4CA64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33"/>
    <w:multiLevelType w:val="multilevel"/>
    <w:tmpl w:val="63C60A6A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CF42C7C"/>
    <w:multiLevelType w:val="multilevel"/>
    <w:tmpl w:val="AE3E08E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66155"/>
    <w:multiLevelType w:val="multilevel"/>
    <w:tmpl w:val="85AEF220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B585FD2"/>
    <w:multiLevelType w:val="hybridMultilevel"/>
    <w:tmpl w:val="B6D817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50A02"/>
    <w:multiLevelType w:val="hybridMultilevel"/>
    <w:tmpl w:val="0B70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93720A"/>
    <w:multiLevelType w:val="multilevel"/>
    <w:tmpl w:val="6938FC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64438B"/>
    <w:multiLevelType w:val="multilevel"/>
    <w:tmpl w:val="EC5405F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9751CF"/>
    <w:multiLevelType w:val="multilevel"/>
    <w:tmpl w:val="97FE65DE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5C950741"/>
    <w:multiLevelType w:val="hybridMultilevel"/>
    <w:tmpl w:val="DAA2F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0673C9"/>
    <w:multiLevelType w:val="hybridMultilevel"/>
    <w:tmpl w:val="FF120A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B0894"/>
    <w:multiLevelType w:val="multilevel"/>
    <w:tmpl w:val="30A449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7ABD7A7B"/>
    <w:multiLevelType w:val="multilevel"/>
    <w:tmpl w:val="39247DF2"/>
    <w:lvl w:ilvl="0">
      <w:start w:val="1"/>
      <w:numFmt w:val="bullet"/>
      <w:lvlText w:val="•"/>
      <w:lvlJc w:val="left"/>
      <w:pPr>
        <w:ind w:left="50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3959219">
    <w:abstractNumId w:val="2"/>
  </w:num>
  <w:num w:numId="2" w16cid:durableId="13460016">
    <w:abstractNumId w:val="11"/>
  </w:num>
  <w:num w:numId="3" w16cid:durableId="940993429">
    <w:abstractNumId w:val="7"/>
  </w:num>
  <w:num w:numId="4" w16cid:durableId="1652715950">
    <w:abstractNumId w:val="0"/>
  </w:num>
  <w:num w:numId="5" w16cid:durableId="1065026128">
    <w:abstractNumId w:val="1"/>
  </w:num>
  <w:num w:numId="6" w16cid:durableId="1173298026">
    <w:abstractNumId w:val="5"/>
  </w:num>
  <w:num w:numId="7" w16cid:durableId="1070271692">
    <w:abstractNumId w:val="6"/>
  </w:num>
  <w:num w:numId="8" w16cid:durableId="346444043">
    <w:abstractNumId w:val="10"/>
  </w:num>
  <w:num w:numId="9" w16cid:durableId="1540430200">
    <w:abstractNumId w:val="4"/>
  </w:num>
  <w:num w:numId="10" w16cid:durableId="1589339314">
    <w:abstractNumId w:val="8"/>
  </w:num>
  <w:num w:numId="11" w16cid:durableId="1938828422">
    <w:abstractNumId w:val="3"/>
  </w:num>
  <w:num w:numId="12" w16cid:durableId="1546260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52D"/>
    <w:rsid w:val="00010F4B"/>
    <w:rsid w:val="000D0782"/>
    <w:rsid w:val="00124E17"/>
    <w:rsid w:val="00192862"/>
    <w:rsid w:val="001F1D3D"/>
    <w:rsid w:val="00245F13"/>
    <w:rsid w:val="002940AD"/>
    <w:rsid w:val="003324A2"/>
    <w:rsid w:val="005659AD"/>
    <w:rsid w:val="00604E27"/>
    <w:rsid w:val="00777CB7"/>
    <w:rsid w:val="007E5577"/>
    <w:rsid w:val="00A93101"/>
    <w:rsid w:val="00B8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914DE"/>
  <w15:docId w15:val="{0B7D68B3-FEAC-4690-9C88-988258DBD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F1F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240"/>
      <w:outlineLvl w:val="0"/>
    </w:pPr>
    <w:rPr>
      <w:b/>
      <w:bCs/>
      <w:color w:val="1C5CAB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1C5CAB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</w:tblPr>
  </w:style>
  <w:style w:type="table" w:customStyle="1" w:styleId="afb">
    <w:basedOn w:val="TableNormal1"/>
    <w:tblPr>
      <w:tblStyleRowBandSize w:val="1"/>
      <w:tblStyleColBandSize w:val="1"/>
    </w:tblPr>
  </w:style>
  <w:style w:type="table" w:customStyle="1" w:styleId="afc">
    <w:basedOn w:val="TableNormal1"/>
    <w:tblPr>
      <w:tblStyleRowBandSize w:val="1"/>
      <w:tblStyleColBandSize w:val="1"/>
    </w:tblPr>
  </w:style>
  <w:style w:type="table" w:customStyle="1" w:styleId="afd">
    <w:basedOn w:val="TableNormal1"/>
    <w:tblPr>
      <w:tblStyleRowBandSize w:val="1"/>
      <w:tblStyleColBandSize w:val="1"/>
    </w:tblPr>
  </w:style>
  <w:style w:type="table" w:customStyle="1" w:styleId="afe">
    <w:basedOn w:val="TableNormal1"/>
    <w:tblPr>
      <w:tblStyleRowBandSize w:val="1"/>
      <w:tblStyleColBandSize w:val="1"/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elacomgrade">
    <w:name w:val="Table Grid"/>
    <w:basedOn w:val="Tabelanormal"/>
    <w:uiPriority w:val="59"/>
    <w:rsid w:val="003324A2"/>
    <w:rPr>
      <w:rFonts w:asciiTheme="minorHAnsi" w:eastAsiaTheme="minorEastAsia" w:hAnsiTheme="minorHAnsi" w:cstheme="minorBidi"/>
      <w:color w:val="auto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piAIaZMYprL+b9y80PVw4FTumQ==">CgMxLjA4AHIhMUJuRXBQSjkwZTVMNEtxQk55WkRaWXFVbUowem8xVlVp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27</Pages>
  <Words>6749</Words>
  <Characters>36449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Consultoria Estratégica em IA Agêntica</dc:creator>
  <cp:lastModifiedBy>Soni .</cp:lastModifiedBy>
  <cp:revision>7</cp:revision>
  <dcterms:created xsi:type="dcterms:W3CDTF">2026-10-06T00:06:00Z</dcterms:created>
  <dcterms:modified xsi:type="dcterms:W3CDTF">2026-10-30T21:05:00Z</dcterms:modified>
</cp:coreProperties>
</file>