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6"/>
        </w:rPr>
        <w:t>FACTUCORE API</w:t>
      </w:r>
    </w:p>
    <w:p>
      <w:pPr>
        <w:jc w:val="center"/>
      </w:pPr>
      <w:r>
        <w:rPr>
          <w:b/>
          <w:sz w:val="28"/>
        </w:rPr>
        <w:t>Guía definitiva de integración para sistemas externos</w:t>
      </w:r>
    </w:p>
    <w:p>
      <w:pPr>
        <w:jc w:val="center"/>
      </w:pPr>
      <w:r>
        <w:rPr>
          <w:i/>
          <w:sz w:val="20"/>
        </w:rPr>
        <w:t>Basada en el contrato real del backend – rama main</w:t>
      </w:r>
    </w:p>
    <w:p>
      <w:pPr>
        <w:spacing w:before="120"/>
      </w:pPr>
      <w:r>
        <w:rPr>
          <w:b/>
        </w:rPr>
        <w:t xml:space="preserve">Objetivo. </w:t>
      </w:r>
      <w:r>
        <w:t>Permitir que un sistema externo —por ejemplo un software de instalación, mantenimiento y venta de aires acondicionados— cree y gestione documentos electrónicos a través de FactuCore sin implementar directamente la lógica DIAN.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IMPORTANTE — comportamiento actual de la API</w:t>
            </w:r>
            <w:r>
              <w:br/>
              <w:t>Crear una factura o nota crédito por API NO genera XML, NO firma y NO transmite automáticamente. La creación deja el documento en VALIDATED_INTERNAL. La integración debe ejecutar después generate-xml → sign → transmit.</w:t>
            </w:r>
          </w:p>
        </w:tc>
      </w:tr>
    </w:tbl>
    <w:p>
      <w:pPr>
        <w:pStyle w:val="Heading1"/>
      </w:pPr>
      <w:r>
        <w:t>1. Base URL y versión de la API</w:t>
      </w:r>
    </w:p>
    <w:p>
      <w:pPr>
        <w:pStyle w:val="ListBullet"/>
        <w:spacing w:after="40"/>
      </w:pPr>
      <w:r>
        <w:t>Todas las rutas del backend usan el prefijo global /api.</w:t>
      </w:r>
    </w:p>
    <w:p>
      <w:pPr>
        <w:pStyle w:val="ListBullet"/>
        <w:spacing w:after="40"/>
      </w:pPr>
      <w:r>
        <w:t>API externa principal: /api/v1/external/documents/*</w:t>
      </w:r>
    </w:p>
    <w:p>
      <w:pPr>
        <w:pStyle w:val="ListBullet"/>
        <w:spacing w:after="40"/>
      </w:pPr>
      <w:r>
        <w:t>Existe alias legacy: /api/external/documents/*</w:t>
      </w:r>
    </w:p>
    <w:p>
      <w:r>
        <w:rPr>
          <w:b/>
        </w:rPr>
        <w:t xml:space="preserve">Recomendación: </w:t>
      </w:r>
      <w:r>
        <w:t>usar siempre la versión /api/v1/... en integraciones nuevas.</w:t>
      </w:r>
    </w:p>
    <w:p>
      <w:pPr>
        <w:pStyle w:val="Heading1"/>
      </w:pPr>
      <w:r>
        <w:t>2. Autenticación</w:t>
      </w:r>
    </w:p>
    <w:p>
      <w:r>
        <w:rPr>
          <w:b/>
        </w:rPr>
        <w:t>Headers obligatorios en cada petición: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x-client-key: TU_CLIENT_KEY</w:t>
        <w:br/>
        <w:t>x-client-secret: TU_CLIENT_SECRET</w:t>
        <w:br/>
        <w:t>Content-Type: application/json</w:t>
      </w:r>
    </w:p>
    <w:p>
      <w:pPr>
        <w:pStyle w:val="ListBullet"/>
        <w:spacing w:after="40"/>
      </w:pPr>
      <w:r>
        <w:t>El API Client determina automáticamente el tenant/empresa.</w:t>
      </w:r>
    </w:p>
    <w:p>
      <w:pPr>
        <w:pStyle w:val="ListBullet"/>
        <w:spacing w:after="40"/>
      </w:pPr>
      <w:r>
        <w:t>El cliente debe estar ACTIVE, no expirado y cumplir la lista de IP permitidas si está configurada.</w:t>
      </w:r>
    </w:p>
    <w:p>
      <w:pPr>
        <w:pStyle w:val="ListBullet"/>
        <w:spacing w:after="40"/>
      </w:pPr>
      <w:r>
        <w:t>Key y secret se validan contra hashes bcrypt almacenados.</w:t>
      </w:r>
    </w:p>
    <w:p>
      <w:pPr>
        <w:pStyle w:val="ListBullet"/>
        <w:spacing w:after="40"/>
      </w:pPr>
      <w:r>
        <w:t>Credenciales faltantes o inválidas producen 401.</w:t>
      </w:r>
    </w:p>
    <w:p>
      <w:pPr>
        <w:pStyle w:val="ListBullet"/>
        <w:spacing w:after="40"/>
      </w:pPr>
      <w:r>
        <w:t>Rate limit por defecto: 120 solicitudes cada 60 segundos; la API expone headers X-RateLimit-* .</w:t>
      </w:r>
    </w:p>
    <w:p>
      <w:r>
        <w:rPr>
          <w:b/>
        </w:rPr>
        <w:t xml:space="preserve">Seguridad: </w:t>
      </w:r>
      <w:r>
        <w:t>el client secret debe vivir en el backend del sistema integrador. Nunca debe quedar expuesto en el navegador o frontend público.</w:t>
      </w:r>
    </w:p>
    <w:p>
      <w:pPr>
        <w:pStyle w:val="Heading1"/>
      </w:pPr>
      <w:r>
        <w:t>3. Scopes /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t>Scope</w:t>
            </w:r>
          </w:p>
        </w:tc>
        <w:tc>
          <w:tcPr>
            <w:tcW w:type="dxa" w:w="5184"/>
            <w:shd w:fill="D9EAF7"/>
          </w:tcPr>
          <w:p>
            <w:r>
              <w:t>Uso</w:t>
            </w:r>
          </w:p>
        </w:tc>
      </w:tr>
      <w:tr>
        <w:tc>
          <w:tcPr>
            <w:tcW w:type="dxa" w:w="5184"/>
          </w:tcPr>
          <w:p>
            <w:r>
              <w:t>documents:create</w:t>
            </w:r>
          </w:p>
        </w:tc>
        <w:tc>
          <w:tcPr>
            <w:tcW w:type="dxa" w:w="5184"/>
          </w:tcPr>
          <w:p>
            <w:r>
              <w:t>Crear facturas, notas crédito y notas débito.</w:t>
            </w:r>
          </w:p>
        </w:tc>
      </w:tr>
      <w:tr>
        <w:tc>
          <w:tcPr>
            <w:tcW w:type="dxa" w:w="5184"/>
          </w:tcPr>
          <w:p>
            <w:r>
              <w:t>documents:read</w:t>
            </w:r>
          </w:p>
        </w:tc>
        <w:tc>
          <w:tcPr>
            <w:tcW w:type="dxa" w:w="5184"/>
          </w:tcPr>
          <w:p>
            <w:r>
              <w:t>Listar, consultar, revisar estado, operaciones y timeline.</w:t>
            </w:r>
          </w:p>
        </w:tc>
      </w:tr>
      <w:tr>
        <w:tc>
          <w:tcPr>
            <w:tcW w:type="dxa" w:w="5184"/>
          </w:tcPr>
          <w:p>
            <w:r>
              <w:t>documents:generate_xml</w:t>
            </w:r>
          </w:p>
        </w:tc>
        <w:tc>
          <w:tcPr>
            <w:tcW w:type="dxa" w:w="5184"/>
          </w:tcPr>
          <w:p>
            <w:r>
              <w:t>Generar XML UBL.</w:t>
            </w:r>
          </w:p>
        </w:tc>
      </w:tr>
      <w:tr>
        <w:tc>
          <w:tcPr>
            <w:tcW w:type="dxa" w:w="5184"/>
          </w:tcPr>
          <w:p>
            <w:r>
              <w:t>documents:sign</w:t>
            </w:r>
          </w:p>
        </w:tc>
        <w:tc>
          <w:tcPr>
            <w:tcW w:type="dxa" w:w="5184"/>
          </w:tcPr>
          <w:p>
            <w:r>
              <w:t>Firmar XML.</w:t>
            </w:r>
          </w:p>
        </w:tc>
      </w:tr>
      <w:tr>
        <w:tc>
          <w:tcPr>
            <w:tcW w:type="dxa" w:w="5184"/>
          </w:tcPr>
          <w:p>
            <w:r>
              <w:t>documents:transmit</w:t>
            </w:r>
          </w:p>
        </w:tc>
        <w:tc>
          <w:tcPr>
            <w:tcW w:type="dxa" w:w="5184"/>
          </w:tcPr>
          <w:p>
            <w:r>
              <w:t>Encolar transmisión a DIAN.</w:t>
            </w:r>
          </w:p>
        </w:tc>
      </w:tr>
      <w:tr>
        <w:tc>
          <w:tcPr>
            <w:tcW w:type="dxa" w:w="5184"/>
          </w:tcPr>
          <w:p>
            <w:r>
              <w:t>documents:retry_transmission</w:t>
            </w:r>
          </w:p>
        </w:tc>
        <w:tc>
          <w:tcPr>
            <w:tcW w:type="dxa" w:w="5184"/>
          </w:tcPr>
          <w:p>
            <w:r>
              <w:t>Reintentar documentos en TECHNICAL_ERROR.</w:t>
            </w:r>
          </w:p>
        </w:tc>
      </w:tr>
      <w:tr>
        <w:tc>
          <w:tcPr>
            <w:tcW w:type="dxa" w:w="5184"/>
          </w:tcPr>
          <w:p>
            <w:r>
              <w:t>documents:download</w:t>
            </w:r>
          </w:p>
        </w:tc>
        <w:tc>
          <w:tcPr>
            <w:tcW w:type="dxa" w:w="5184"/>
          </w:tcPr>
          <w:p>
            <w:r>
              <w:t>Descargar XML, XML firmado y PDF existente.</w:t>
            </w:r>
          </w:p>
        </w:tc>
      </w:tr>
    </w:tbl>
    <w:p>
      <w:pPr>
        <w:pStyle w:val="Heading1"/>
      </w:pPr>
      <w:r>
        <w:t>4. Endpoints externos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AF7"/>
          </w:tcPr>
          <w:p>
            <w:r>
              <w:t>Método</w:t>
            </w:r>
          </w:p>
        </w:tc>
        <w:tc>
          <w:tcPr>
            <w:tcW w:type="dxa" w:w="2592"/>
            <w:shd w:fill="D9EAF7"/>
          </w:tcPr>
          <w:p>
            <w:r>
              <w:t>Ruta</w:t>
            </w:r>
          </w:p>
        </w:tc>
        <w:tc>
          <w:tcPr>
            <w:tcW w:type="dxa" w:w="2592"/>
            <w:shd w:fill="D9EAF7"/>
          </w:tcPr>
          <w:p>
            <w:r>
              <w:t>Scope</w:t>
            </w:r>
          </w:p>
        </w:tc>
        <w:tc>
          <w:tcPr>
            <w:tcW w:type="dxa" w:w="2592"/>
            <w:shd w:fill="D9EAF7"/>
          </w:tcPr>
          <w:p>
            <w:r>
              <w:t>Propósito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/api/v1/external/documents/invoices</w:t>
            </w:r>
          </w:p>
        </w:tc>
        <w:tc>
          <w:tcPr>
            <w:tcW w:type="dxa" w:w="2592"/>
            <w:vAlign w:val="top"/>
          </w:tcPr>
          <w:p>
            <w:r>
              <w:t>documents:create</w:t>
            </w:r>
          </w:p>
        </w:tc>
        <w:tc>
          <w:tcPr>
            <w:tcW w:type="dxa" w:w="2592"/>
            <w:vAlign w:val="top"/>
          </w:tcPr>
          <w:p>
            <w:r>
              <w:t>Crear factura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/api/v1/external/documents/credit-notes</w:t>
            </w:r>
          </w:p>
        </w:tc>
        <w:tc>
          <w:tcPr>
            <w:tcW w:type="dxa" w:w="2592"/>
            <w:vAlign w:val="top"/>
          </w:tcPr>
          <w:p>
            <w:r>
              <w:t>documents:create</w:t>
            </w:r>
          </w:p>
        </w:tc>
        <w:tc>
          <w:tcPr>
            <w:tcW w:type="dxa" w:w="2592"/>
            <w:vAlign w:val="top"/>
          </w:tcPr>
          <w:p>
            <w:r>
              <w:t>Crear nota crédito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/api/v1/external/documents/debit-notes</w:t>
            </w:r>
          </w:p>
        </w:tc>
        <w:tc>
          <w:tcPr>
            <w:tcW w:type="dxa" w:w="2592"/>
            <w:vAlign w:val="top"/>
          </w:tcPr>
          <w:p>
            <w:r>
              <w:t>documents:create</w:t>
            </w:r>
          </w:p>
        </w:tc>
        <w:tc>
          <w:tcPr>
            <w:tcW w:type="dxa" w:w="2592"/>
            <w:vAlign w:val="top"/>
          </w:tcPr>
          <w:p>
            <w:r>
              <w:t>Crear nota débito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Listar documentos (máximo 100)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Consultar detalle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/api/v1/external/documents/by-external-reference/:externalReference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Buscar por referencia externa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/api/v1/external/documents/by-number/:fullNumber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Buscar por número completo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/api/v1/external/documents/:id/status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Consultar estado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/api/v1/external/documents/status/by-external-reference/:externalReference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Consultar estado por referencia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/api/v1/external/documents/:id/operations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Acciones disponibles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/api/v1/external/documents/:id/timeline</w:t>
            </w:r>
          </w:p>
        </w:tc>
        <w:tc>
          <w:tcPr>
            <w:tcW w:type="dxa" w:w="2592"/>
            <w:vAlign w:val="top"/>
          </w:tcPr>
          <w:p>
            <w:r>
              <w:t>documents:read</w:t>
            </w:r>
          </w:p>
        </w:tc>
        <w:tc>
          <w:tcPr>
            <w:tcW w:type="dxa" w:w="2592"/>
            <w:vAlign w:val="top"/>
          </w:tcPr>
          <w:p>
            <w:r>
              <w:t>Timeline/auditoría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/api/v1/external/documents/:id/generate-xml</w:t>
            </w:r>
          </w:p>
        </w:tc>
        <w:tc>
          <w:tcPr>
            <w:tcW w:type="dxa" w:w="2592"/>
            <w:vAlign w:val="top"/>
          </w:tcPr>
          <w:p>
            <w:r>
              <w:t>documents:generate_xml</w:t>
            </w:r>
          </w:p>
        </w:tc>
        <w:tc>
          <w:tcPr>
            <w:tcW w:type="dxa" w:w="2592"/>
            <w:vAlign w:val="top"/>
          </w:tcPr>
          <w:p>
            <w:r>
              <w:t>Generar XML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/api/v1/external/documents/:id/sign</w:t>
            </w:r>
          </w:p>
        </w:tc>
        <w:tc>
          <w:tcPr>
            <w:tcW w:type="dxa" w:w="2592"/>
            <w:vAlign w:val="top"/>
          </w:tcPr>
          <w:p>
            <w:r>
              <w:t>documents:sign</w:t>
            </w:r>
          </w:p>
        </w:tc>
        <w:tc>
          <w:tcPr>
            <w:tcW w:type="dxa" w:w="2592"/>
            <w:vAlign w:val="top"/>
          </w:tcPr>
          <w:p>
            <w:r>
              <w:t>Firmar XML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/api/v1/external/documents/:id/transmit</w:t>
            </w:r>
          </w:p>
        </w:tc>
        <w:tc>
          <w:tcPr>
            <w:tcW w:type="dxa" w:w="2592"/>
            <w:vAlign w:val="top"/>
          </w:tcPr>
          <w:p>
            <w:r>
              <w:t>documents:transmit</w:t>
            </w:r>
          </w:p>
        </w:tc>
        <w:tc>
          <w:tcPr>
            <w:tcW w:type="dxa" w:w="2592"/>
            <w:vAlign w:val="top"/>
          </w:tcPr>
          <w:p>
            <w:r>
              <w:t>Encolar transmisión</w:t>
            </w:r>
          </w:p>
        </w:tc>
      </w:tr>
      <w:tr>
        <w:tc>
          <w:tcPr>
            <w:tcW w:type="dxa" w:w="2592"/>
            <w:vAlign w:val="top"/>
          </w:tcPr>
          <w:p>
            <w:r>
              <w:t>POST</w:t>
            </w:r>
          </w:p>
        </w:tc>
        <w:tc>
          <w:tcPr>
            <w:tcW w:type="dxa" w:w="2592"/>
            <w:vAlign w:val="top"/>
          </w:tcPr>
          <w:p>
            <w:r>
              <w:t>/api/v1/external/documents/:id/retry-transmission</w:t>
            </w:r>
          </w:p>
        </w:tc>
        <w:tc>
          <w:tcPr>
            <w:tcW w:type="dxa" w:w="2592"/>
            <w:vAlign w:val="top"/>
          </w:tcPr>
          <w:p>
            <w:r>
              <w:t>documents:retry_transmission</w:t>
            </w:r>
          </w:p>
        </w:tc>
        <w:tc>
          <w:tcPr>
            <w:tcW w:type="dxa" w:w="2592"/>
            <w:vAlign w:val="top"/>
          </w:tcPr>
          <w:p>
            <w:r>
              <w:t>Reintentar transmisión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/api/v1/external/documents/:id/download/xml</w:t>
            </w:r>
          </w:p>
        </w:tc>
        <w:tc>
          <w:tcPr>
            <w:tcW w:type="dxa" w:w="2592"/>
            <w:vAlign w:val="top"/>
          </w:tcPr>
          <w:p>
            <w:r>
              <w:t>documents:download</w:t>
            </w:r>
          </w:p>
        </w:tc>
        <w:tc>
          <w:tcPr>
            <w:tcW w:type="dxa" w:w="2592"/>
            <w:vAlign w:val="top"/>
          </w:tcPr>
          <w:p>
            <w:r>
              <w:t>Descargar XML sin firmar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/api/v1/external/documents/:id/download/xml-signed</w:t>
            </w:r>
          </w:p>
        </w:tc>
        <w:tc>
          <w:tcPr>
            <w:tcW w:type="dxa" w:w="2592"/>
            <w:vAlign w:val="top"/>
          </w:tcPr>
          <w:p>
            <w:r>
              <w:t>documents:download</w:t>
            </w:r>
          </w:p>
        </w:tc>
        <w:tc>
          <w:tcPr>
            <w:tcW w:type="dxa" w:w="2592"/>
            <w:vAlign w:val="top"/>
          </w:tcPr>
          <w:p>
            <w:r>
              <w:t>Descargar XML firmado</w:t>
            </w:r>
          </w:p>
        </w:tc>
      </w:tr>
      <w:tr>
        <w:tc>
          <w:tcPr>
            <w:tcW w:type="dxa" w:w="2592"/>
            <w:vAlign w:val="top"/>
          </w:tcPr>
          <w:p>
            <w:r>
              <w:t>GET</w:t>
            </w:r>
          </w:p>
        </w:tc>
        <w:tc>
          <w:tcPr>
            <w:tcW w:type="dxa" w:w="2592"/>
            <w:vAlign w:val="top"/>
          </w:tcPr>
          <w:p>
            <w:r>
              <w:t>/api/v1/external/documents/:id/download/pdf</w:t>
            </w:r>
          </w:p>
        </w:tc>
        <w:tc>
          <w:tcPr>
            <w:tcW w:type="dxa" w:w="2592"/>
            <w:vAlign w:val="top"/>
          </w:tcPr>
          <w:p>
            <w:r>
              <w:t>documents:download</w:t>
            </w:r>
          </w:p>
        </w:tc>
        <w:tc>
          <w:tcPr>
            <w:tcW w:type="dxa" w:w="2592"/>
            <w:vAlign w:val="top"/>
          </w:tcPr>
          <w:p>
            <w:r>
              <w:t>Descargar PDF existente</w:t>
            </w:r>
          </w:p>
        </w:tc>
      </w:tr>
    </w:tbl>
    <w:p>
      <w:pPr>
        <w:pStyle w:val="Heading1"/>
      </w:pPr>
      <w:r>
        <w:t>5. Flujo completo para emitir una factura</w:t>
      </w:r>
    </w:p>
    <w:p>
      <w:pPr>
        <w:pStyle w:val="ListNumber"/>
        <w:spacing w:after="40"/>
      </w:pPr>
      <w:r>
        <w:t>POST /api/v1/external/documents/invoices → crea y valida internamente el documento. Estado: VALIDATED_INTERNAL.</w:t>
      </w:r>
    </w:p>
    <w:p>
      <w:pPr>
        <w:pStyle w:val="ListNumber"/>
        <w:spacing w:after="40"/>
      </w:pPr>
      <w:r>
        <w:t>POST /api/v1/external/documents/:id/generate-xml → genera el XML UBL. Estado: XML_GENERATED.</w:t>
      </w:r>
    </w:p>
    <w:p>
      <w:pPr>
        <w:pStyle w:val="ListNumber"/>
        <w:spacing w:after="40"/>
      </w:pPr>
      <w:r>
        <w:t>POST /api/v1/external/documents/:id/sign → firma el XML. Estado: SIGNED.</w:t>
      </w:r>
    </w:p>
    <w:p>
      <w:pPr>
        <w:pStyle w:val="ListNumber"/>
        <w:spacing w:after="40"/>
      </w:pPr>
      <w:r>
        <w:t>POST /api/v1/external/documents/:id/transmit → encola la transmisión a DIAN y devuelve queued: true.</w:t>
      </w:r>
    </w:p>
    <w:p>
      <w:pPr>
        <w:pStyle w:val="ListNumber"/>
        <w:spacing w:after="40"/>
      </w:pPr>
      <w:r>
        <w:t>Consultar /:id/status o status/by-external-reference/:externalReference hasta obtener el estado final.</w:t>
      </w:r>
    </w:p>
    <w:p>
      <w:pPr>
        <w:pStyle w:val="Heading1"/>
      </w:pPr>
      <w:r>
        <w:t>6. Crear factura electrónica</w:t>
      </w:r>
    </w:p>
    <w:p>
      <w:r>
        <w:rPr>
          <w:b/>
        </w:rPr>
        <w:t xml:space="preserve">Endpoint: </w:t>
      </w:r>
      <w:r>
        <w:t>POST /api/v1/external/documents/invoices</w:t>
      </w:r>
    </w:p>
    <w:p>
      <w:r>
        <w:rPr>
          <w:b/>
        </w:rPr>
        <w:t xml:space="preserve">Regla de cliente: </w:t>
      </w:r>
      <w:r>
        <w:t>debe enviarse exactamente uno de customerId o customer.</w:t>
      </w:r>
    </w:p>
    <w:p>
      <w:pPr>
        <w:pStyle w:val="Heading2"/>
      </w:pPr>
      <w:r>
        <w:t>6.1 Campos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t>Campo</w:t>
            </w:r>
          </w:p>
        </w:tc>
        <w:tc>
          <w:tcPr>
            <w:tcW w:type="dxa" w:w="3456"/>
            <w:shd w:fill="D9EAF7"/>
          </w:tcPr>
          <w:p>
            <w:r>
              <w:t>Tipo / requisito</w:t>
            </w:r>
          </w:p>
        </w:tc>
        <w:tc>
          <w:tcPr>
            <w:tcW w:type="dxa" w:w="3456"/>
            <w:shd w:fill="D9EAF7"/>
          </w:tcPr>
          <w:p>
            <w:r>
              <w:t>Descripción</w:t>
            </w:r>
          </w:p>
        </w:tc>
      </w:tr>
      <w:tr>
        <w:tc>
          <w:tcPr>
            <w:tcW w:type="dxa" w:w="3456"/>
          </w:tcPr>
          <w:p>
            <w:r>
              <w:t>tenantId</w:t>
            </w:r>
          </w:p>
        </w:tc>
        <w:tc>
          <w:tcPr>
            <w:tcW w:type="dxa" w:w="3456"/>
          </w:tcPr>
          <w:p>
            <w:r>
              <w:t>UUID, opcional</w:t>
            </w:r>
          </w:p>
        </w:tc>
        <w:tc>
          <w:tcPr>
            <w:tcW w:type="dxa" w:w="3456"/>
          </w:tcPr>
          <w:p>
            <w:r>
              <w:t>En API externa se resuelve por el API Client.</w:t>
            </w:r>
          </w:p>
        </w:tc>
      </w:tr>
      <w:tr>
        <w:tc>
          <w:tcPr>
            <w:tcW w:type="dxa" w:w="3456"/>
          </w:tcPr>
          <w:p>
            <w:r>
              <w:t>customerId</w:t>
            </w:r>
          </w:p>
        </w:tc>
        <w:tc>
          <w:tcPr>
            <w:tcW w:type="dxa" w:w="3456"/>
          </w:tcPr>
          <w:p>
            <w:r>
              <w:t>UUID, opcional</w:t>
            </w:r>
          </w:p>
        </w:tc>
        <w:tc>
          <w:tcPr>
            <w:tcW w:type="dxa" w:w="3456"/>
          </w:tcPr>
          <w:p>
            <w:r>
              <w:t>Usar si el cliente ya existe. No enviar junto con customer.</w:t>
            </w:r>
          </w:p>
        </w:tc>
      </w:tr>
      <w:tr>
        <w:tc>
          <w:tcPr>
            <w:tcW w:type="dxa" w:w="3456"/>
          </w:tcPr>
          <w:p>
            <w:r>
              <w:t>customer</w:t>
            </w:r>
          </w:p>
        </w:tc>
        <w:tc>
          <w:tcPr>
            <w:tcW w:type="dxa" w:w="3456"/>
          </w:tcPr>
          <w:p>
            <w:r>
              <w:t>Objeto, opcional</w:t>
            </w:r>
          </w:p>
        </w:tc>
        <w:tc>
          <w:tcPr>
            <w:tcW w:type="dxa" w:w="3456"/>
          </w:tcPr>
          <w:p>
            <w:r>
              <w:t>Cliente embebido. No enviar junto con customerId.</w:t>
            </w:r>
          </w:p>
        </w:tc>
      </w:tr>
      <w:tr>
        <w:tc>
          <w:tcPr>
            <w:tcW w:type="dxa" w:w="3456"/>
          </w:tcPr>
          <w:p>
            <w:r>
              <w:t>resolutionId</w:t>
            </w:r>
          </w:p>
        </w:tc>
        <w:tc>
          <w:tcPr>
            <w:tcW w:type="dxa" w:w="3456"/>
          </w:tcPr>
          <w:p>
            <w:r>
              <w:t>UUID, opcional</w:t>
            </w:r>
          </w:p>
        </w:tc>
        <w:tc>
          <w:tcPr>
            <w:tcW w:type="dxa" w:w="3456"/>
          </w:tcPr>
          <w:p>
            <w:r>
              <w:t>Si falta, backend selecciona resolución activa/vigente.</w:t>
            </w:r>
          </w:p>
        </w:tc>
      </w:tr>
      <w:tr>
        <w:tc>
          <w:tcPr>
            <w:tcW w:type="dxa" w:w="3456"/>
          </w:tcPr>
          <w:p>
            <w:r>
              <w:t>externalReference</w:t>
            </w:r>
          </w:p>
        </w:tc>
        <w:tc>
          <w:tcPr>
            <w:tcW w:type="dxa" w:w="3456"/>
          </w:tcPr>
          <w:p>
            <w:r>
              <w:t>String ≤100, opcional</w:t>
            </w:r>
          </w:p>
        </w:tc>
        <w:tc>
          <w:tcPr>
            <w:tcW w:type="dxa" w:w="3456"/>
          </w:tcPr>
          <w:p>
            <w:r>
              <w:t>Clave recomendada de idempotencia.</w:t>
            </w:r>
          </w:p>
        </w:tc>
      </w:tr>
      <w:tr>
        <w:tc>
          <w:tcPr>
            <w:tcW w:type="dxa" w:w="3456"/>
          </w:tcPr>
          <w:p>
            <w:r>
              <w:t>issueDate</w:t>
            </w:r>
          </w:p>
        </w:tc>
        <w:tc>
          <w:tcPr>
            <w:tcW w:type="dxa" w:w="3456"/>
          </w:tcPr>
          <w:p>
            <w:r>
              <w:t>ISO date, obligatorio</w:t>
            </w:r>
          </w:p>
        </w:tc>
        <w:tc>
          <w:tcPr>
            <w:tcW w:type="dxa" w:w="3456"/>
          </w:tcPr>
          <w:p>
            <w:r>
              <w:t>Fecha de emisión.</w:t>
            </w:r>
          </w:p>
        </w:tc>
      </w:tr>
      <w:tr>
        <w:tc>
          <w:tcPr>
            <w:tcW w:type="dxa" w:w="3456"/>
          </w:tcPr>
          <w:p>
            <w:r>
              <w:t>issueTime</w:t>
            </w:r>
          </w:p>
        </w:tc>
        <w:tc>
          <w:tcPr>
            <w:tcW w:type="dxa" w:w="3456"/>
          </w:tcPr>
          <w:p>
            <w:r>
              <w:t>HH:mm o HH:mm:ss, opcional</w:t>
            </w:r>
          </w:p>
        </w:tc>
        <w:tc>
          <w:tcPr>
            <w:tcW w:type="dxa" w:w="3456"/>
          </w:tcPr>
          <w:p>
            <w:r>
              <w:t>Hora de emisión.</w:t>
            </w:r>
          </w:p>
        </w:tc>
      </w:tr>
      <w:tr>
        <w:tc>
          <w:tcPr>
            <w:tcW w:type="dxa" w:w="3456"/>
          </w:tcPr>
          <w:p>
            <w:r>
              <w:t>dueDate</w:t>
            </w:r>
          </w:p>
        </w:tc>
        <w:tc>
          <w:tcPr>
            <w:tcW w:type="dxa" w:w="3456"/>
          </w:tcPr>
          <w:p>
            <w:r>
              <w:t>ISO date, opcional</w:t>
            </w:r>
          </w:p>
        </w:tc>
        <w:tc>
          <w:tcPr>
            <w:tcW w:type="dxa" w:w="3456"/>
          </w:tcPr>
          <w:p>
            <w:r>
              <w:t>PaymentDueDate; útil para crédito.</w:t>
            </w:r>
          </w:p>
        </w:tc>
      </w:tr>
      <w:tr>
        <w:tc>
          <w:tcPr>
            <w:tcW w:type="dxa" w:w="3456"/>
          </w:tcPr>
          <w:p>
            <w:r>
              <w:t>paymentMeansCode</w:t>
            </w:r>
          </w:p>
        </w:tc>
        <w:tc>
          <w:tcPr>
            <w:tcW w:type="dxa" w:w="3456"/>
          </w:tcPr>
          <w:p>
            <w:r>
              <w:t>String ≤16, opcional</w:t>
            </w:r>
          </w:p>
        </w:tc>
        <w:tc>
          <w:tcPr>
            <w:tcW w:type="dxa" w:w="3456"/>
          </w:tcPr>
          <w:p>
            <w:r>
              <w:t>Default backend: "1".</w:t>
            </w:r>
          </w:p>
        </w:tc>
      </w:tr>
      <w:tr>
        <w:tc>
          <w:tcPr>
            <w:tcW w:type="dxa" w:w="3456"/>
          </w:tcPr>
          <w:p>
            <w:r>
              <w:t>paymentMeansId</w:t>
            </w:r>
          </w:p>
        </w:tc>
        <w:tc>
          <w:tcPr>
            <w:tcW w:type="dxa" w:w="3456"/>
          </w:tcPr>
          <w:p>
            <w:r>
              <w:t>String ≤16, opcional</w:t>
            </w:r>
          </w:p>
        </w:tc>
        <w:tc>
          <w:tcPr>
            <w:tcW w:type="dxa" w:w="3456"/>
          </w:tcPr>
          <w:p>
            <w:r>
              <w:t>Default backend: "1".</w:t>
            </w:r>
          </w:p>
        </w:tc>
      </w:tr>
      <w:tr>
        <w:tc>
          <w:tcPr>
            <w:tcW w:type="dxa" w:w="3456"/>
          </w:tcPr>
          <w:p>
            <w:r>
              <w:t>invoiceTypeCode</w:t>
            </w:r>
          </w:p>
        </w:tc>
        <w:tc>
          <w:tcPr>
            <w:tcW w:type="dxa" w:w="3456"/>
          </w:tcPr>
          <w:p>
            <w:r>
              <w:t>String, opcional</w:t>
            </w:r>
          </w:p>
        </w:tc>
        <w:tc>
          <w:tcPr>
            <w:tcW w:type="dxa" w:w="3456"/>
          </w:tcPr>
          <w:p>
            <w:r>
              <w:t>Default factura: "01".</w:t>
            </w:r>
          </w:p>
        </w:tc>
      </w:tr>
      <w:tr>
        <w:tc>
          <w:tcPr>
            <w:tcW w:type="dxa" w:w="3456"/>
          </w:tcPr>
          <w:p>
            <w:r>
              <w:t>operationType</w:t>
            </w:r>
          </w:p>
        </w:tc>
        <w:tc>
          <w:tcPr>
            <w:tcW w:type="dxa" w:w="3456"/>
          </w:tcPr>
          <w:p>
            <w:r>
              <w:t>String, opcional</w:t>
            </w:r>
          </w:p>
        </w:tc>
        <w:tc>
          <w:tcPr>
            <w:tcW w:type="dxa" w:w="3456"/>
          </w:tcPr>
          <w:p>
            <w:r>
              <w:t>Default factura: "10".</w:t>
            </w:r>
          </w:p>
        </w:tc>
      </w:tr>
      <w:tr>
        <w:tc>
          <w:tcPr>
            <w:tcW w:type="dxa" w:w="3456"/>
          </w:tcPr>
          <w:p>
            <w:r>
              <w:t>notes</w:t>
            </w:r>
          </w:p>
        </w:tc>
        <w:tc>
          <w:tcPr>
            <w:tcW w:type="dxa" w:w="3456"/>
          </w:tcPr>
          <w:p>
            <w:r>
              <w:t>String, opcional</w:t>
            </w:r>
          </w:p>
        </w:tc>
        <w:tc>
          <w:tcPr>
            <w:tcW w:type="dxa" w:w="3456"/>
          </w:tcPr>
          <w:p>
            <w:r>
              <w:t>Observaciones.</w:t>
            </w:r>
          </w:p>
        </w:tc>
      </w:tr>
      <w:tr>
        <w:tc>
          <w:tcPr>
            <w:tcW w:type="dxa" w:w="3456"/>
          </w:tcPr>
          <w:p>
            <w:r>
              <w:t>lines</w:t>
            </w:r>
          </w:p>
        </w:tc>
        <w:tc>
          <w:tcPr>
            <w:tcW w:type="dxa" w:w="3456"/>
          </w:tcPr>
          <w:p>
            <w:r>
              <w:t>Array, obligatorio</w:t>
            </w:r>
          </w:p>
        </w:tc>
        <w:tc>
          <w:tcPr>
            <w:tcW w:type="dxa" w:w="3456"/>
          </w:tcPr>
          <w:p>
            <w:r>
              <w:t>Mínimo 1 línea.</w:t>
            </w:r>
          </w:p>
        </w:tc>
      </w:tr>
    </w:tbl>
    <w:p>
      <w:pPr>
        <w:pStyle w:val="Heading2"/>
      </w:pPr>
      <w:r>
        <w:t>6.2 Validaciones importantes de líneas</w:t>
      </w:r>
    </w:p>
    <w:p>
      <w:pPr>
        <w:pStyle w:val="ListBullet"/>
        <w:spacing w:after="40"/>
      </w:pPr>
      <w:r>
        <w:t>quantity &gt; 0.</w:t>
      </w:r>
    </w:p>
    <w:p>
      <w:pPr>
        <w:pStyle w:val="ListBullet"/>
        <w:spacing w:after="40"/>
      </w:pPr>
      <w:r>
        <w:t>unitPrice &gt;= 0.</w:t>
      </w:r>
    </w:p>
    <w:p>
      <w:pPr>
        <w:pStyle w:val="ListBullet"/>
        <w:spacing w:after="40"/>
      </w:pPr>
      <w:r>
        <w:t>Descuento no puede ser negativo ni superar la base.</w:t>
      </w:r>
    </w:p>
    <w:p>
      <w:pPr>
        <w:pStyle w:val="ListBullet"/>
        <w:spacing w:after="40"/>
      </w:pPr>
      <w:r>
        <w:t>Una línea TAXED exige impuestos.</w:t>
      </w:r>
    </w:p>
    <w:p>
      <w:pPr>
        <w:pStyle w:val="ListBullet"/>
        <w:spacing w:after="40"/>
      </w:pPr>
      <w:r>
        <w:t>Una línea no gravada no permite impuestos.</w:t>
      </w:r>
    </w:p>
    <w:p>
      <w:pPr>
        <w:pStyle w:val="Heading2"/>
      </w:pPr>
      <w:r>
        <w:t>6.3 Ejemplo JSON — sistema de aires acondicionados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{</w:t>
        <w:br/>
        <w:t xml:space="preserve">  "externalReference": "OT-4587",</w:t>
        <w:br/>
        <w:t xml:space="preserve">  "resolutionId": "11111111-1111-1111-1111-111111111111",</w:t>
        <w:br/>
        <w:t xml:space="preserve">  "issueDate": "2026-08-25T10:00:00.000Z",</w:t>
        <w:br/>
        <w:t xml:space="preserve">  "issueTime": "10:00:00",</w:t>
        <w:br/>
        <w:t xml:space="preserve">  "dueDate": null,</w:t>
        <w:br/>
        <w:t xml:space="preserve">  "paymentMeansId": "1",</w:t>
        <w:br/>
        <w:t xml:space="preserve">  "paymentMeansCode": "10",</w:t>
        <w:br/>
        <w:t xml:space="preserve">  "invoiceTypeCode": "01",</w:t>
        <w:br/>
        <w:t xml:space="preserve">  "operationType": "10",</w:t>
        <w:br/>
        <w:t xml:space="preserve">  "sourceSystem": "Sistema Aires SAS",</w:t>
        <w:br/>
        <w:t xml:space="preserve">  "notes": "Orden OT-4587 - mantenimiento aire acondicionado",</w:t>
        <w:br/>
        <w:t xml:space="preserve">  "customer": {</w:t>
        <w:br/>
        <w:t xml:space="preserve">    "customerType": "COMPANY",</w:t>
        <w:br/>
        <w:t xml:space="preserve">    "identificationType": "NIT",</w:t>
        <w:br/>
        <w:t xml:space="preserve">    "identificationTypeCode": "31",</w:t>
        <w:br/>
        <w:t xml:space="preserve">    "identificationNumber": "900123456",</w:t>
        <w:br/>
        <w:t xml:space="preserve">    "verificationDigit": "7",</w:t>
        <w:br/>
        <w:t xml:space="preserve">    "legalName": "Cliente Empresarial SAS",</w:t>
        <w:br/>
        <w:t xml:space="preserve">    "email": "contabilidad@cliente.co",</w:t>
        <w:br/>
        <w:t xml:space="preserve">    "phone": "+573001234567",</w:t>
        <w:br/>
        <w:t xml:space="preserve">    "addressLine1": "Calle 100 # 20-30",</w:t>
        <w:br/>
        <w:t xml:space="preserve">    "countryCode": "CO",</w:t>
        <w:br/>
        <w:t xml:space="preserve">    "departmentCode": "11",</w:t>
        <w:br/>
        <w:t xml:space="preserve">    "municipalityCode": "11001",</w:t>
        <w:br/>
        <w:t xml:space="preserve">    "cityName": "Bogota",</w:t>
        <w:br/>
        <w:t xml:space="preserve">    "departmentName": "Bogota D.C.",</w:t>
        <w:br/>
        <w:t xml:space="preserve">    "countryName": "Colombia",</w:t>
        <w:br/>
        <w:t xml:space="preserve">    "taxLevelCode": "R-99-PN",</w:t>
        <w:br/>
        <w:t xml:space="preserve">    "taxSchemeId": "01",</w:t>
        <w:br/>
        <w:t xml:space="preserve">    "taxSchemeName": "IVA",</w:t>
        <w:br/>
        <w:t xml:space="preserve">    "fiscalResponsibilityCodes": ["R-99-PN"]</w:t>
        <w:br/>
        <w:t xml:space="preserve">  },</w:t>
        <w:br/>
        <w:t xml:space="preserve">  "lines": [</w:t>
        <w:br/>
        <w:t xml:space="preserve">    {</w:t>
        <w:br/>
        <w:t xml:space="preserve">      "sku": "SERV-AC-MANT",</w:t>
        <w:br/>
        <w:t xml:space="preserve">      "standardItemId": "72101511",</w:t>
        <w:br/>
        <w:t xml:space="preserve">      "standardItemSchemeId": "UNSPSC",</w:t>
        <w:br/>
        <w:t xml:space="preserve">      "description": "Mantenimiento preventivo aire acondicionado",</w:t>
        <w:br/>
        <w:t xml:space="preserve">      "unitCode": "SERVICE",</w:t>
        <w:br/>
        <w:t xml:space="preserve">      "taxTreatment": "TAXED",</w:t>
        <w:br/>
        <w:t xml:space="preserve">      "taxSchemeId": "01",</w:t>
        <w:br/>
        <w:t xml:space="preserve">      "taxSchemeName": "IVA",</w:t>
        <w:br/>
        <w:t xml:space="preserve">      "quantity": 1,</w:t>
        <w:br/>
        <w:t xml:space="preserve">      "unitPrice": 350000,</w:t>
        <w:br/>
        <w:t xml:space="preserve">      "discountAmount": 0,</w:t>
        <w:br/>
        <w:t xml:space="preserve">      "taxes": [</w:t>
        <w:br/>
        <w:t xml:space="preserve">        {</w:t>
        <w:br/>
        <w:t xml:space="preserve">          "taxType": "IVA",</w:t>
        <w:br/>
        <w:t xml:space="preserve">          "rate": 19,</w:t>
        <w:br/>
        <w:t xml:space="preserve">          "taxableBase": 350000,</w:t>
        <w:br/>
        <w:t xml:space="preserve">          "taxAmount": 66500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Respuesta al crear la factura</w:t>
      </w:r>
    </w:p>
    <w:p>
      <w:r>
        <w:rPr>
          <w:b/>
        </w:rPr>
        <w:t xml:space="preserve">Estado inicial esperado: </w:t>
      </w:r>
      <w:r>
        <w:t>VALIDATED_INTERNAL. En este momento cufe/cude y adjuntos todavía pueden ser null porque el XML aún no se ha generado.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{</w:t>
        <w:br/>
        <w:t xml:space="preserve">  "id": "document-uuid",</w:t>
        <w:br/>
        <w:t xml:space="preserve">  "tenantId": "tenant-uuid",</w:t>
        <w:br/>
        <w:t xml:space="preserve">  "customerId": "customer-uuid",</w:t>
        <w:br/>
        <w:t xml:space="preserve">  "resolutionId": "resolution-uuid",</w:t>
        <w:br/>
        <w:t xml:space="preserve">  "type": "INVOICE",</w:t>
        <w:br/>
        <w:t xml:space="preserve">  "environment": "PRODUCTION",</w:t>
        <w:br/>
        <w:t xml:space="preserve">  "status": "VALIDATED_INTERNAL",</w:t>
        <w:br/>
        <w:t xml:space="preserve">  "fullNumber": "FE12345",</w:t>
        <w:br/>
        <w:t xml:space="preserve">  "prefix": "FE",</w:t>
        <w:br/>
        <w:t xml:space="preserve">  "number": 12345,</w:t>
        <w:br/>
        <w:t xml:space="preserve">  "paymentMeansCode": "10",</w:t>
        <w:br/>
        <w:t xml:space="preserve">  "paymentMeansId": "1",</w:t>
        <w:br/>
        <w:t xml:space="preserve">  "cufe": null,</w:t>
        <w:br/>
        <w:t xml:space="preserve">  "cude": null,</w:t>
        <w:br/>
        <w:t xml:space="preserve">  "totalAmount": 416500,</w:t>
        <w:br/>
        <w:t xml:space="preserve">  "externalReference": "OT-4587",</w:t>
        <w:br/>
        <w:t xml:space="preserve">  "subtotalAmount": 350000,</w:t>
        <w:br/>
        <w:t xml:space="preserve">  "discountAmount": 0,</w:t>
        <w:br/>
        <w:t xml:space="preserve">  "taxAmount": 66500,</w:t>
        <w:br/>
        <w:t xml:space="preserve">  "idempotent": false,</w:t>
        <w:br/>
        <w:t xml:space="preserve">  "idempotencyKey": {</w:t>
        <w:br/>
        <w:t xml:space="preserve">    "documentType": "INVOICE",</w:t>
        <w:br/>
        <w:t xml:space="preserve">    "externalReference": "OT-4587"</w:t>
        <w:br/>
        <w:t xml:space="preserve">  }</w:t>
        <w:br/>
        <w:t>}</w:t>
      </w:r>
    </w:p>
    <w:p>
      <w:pPr>
        <w:pStyle w:val="Heading1"/>
      </w:pPr>
      <w:r>
        <w:t>8. Idempotencia — regla obligatoria para una integración robusta</w:t>
      </w:r>
    </w:p>
    <w:p>
      <w:pPr>
        <w:pStyle w:val="ListBullet"/>
        <w:spacing w:after="40"/>
      </w:pPr>
      <w:r>
        <w:t>Clave conceptual: tenantId + documentType + externalReference.</w:t>
      </w:r>
    </w:p>
    <w:p>
      <w:pPr>
        <w:pStyle w:val="ListBullet"/>
        <w:spacing w:after="40"/>
      </w:pPr>
      <w:r>
        <w:t>La base de datos tiene restricción única para tenant + type + externalReference.</w:t>
      </w:r>
    </w:p>
    <w:p>
      <w:pPr>
        <w:pStyle w:val="ListBullet"/>
        <w:spacing w:after="40"/>
      </w:pPr>
      <w:r>
        <w:t>Si repites exactamente la misma carga, FactuCore devuelve el documento existente con idempotent: true.</w:t>
      </w:r>
    </w:p>
    <w:p>
      <w:pPr>
        <w:pStyle w:val="ListBullet"/>
        <w:spacing w:after="40"/>
      </w:pPr>
      <w:r>
        <w:t>Si reutilizas la misma externalReference con una carga diferente, devuelve HTTP 409 Conflict.</w:t>
      </w:r>
    </w:p>
    <w:p>
      <w:pPr>
        <w:pStyle w:val="ListBullet"/>
        <w:spacing w:after="40"/>
      </w:pPr>
      <w:r>
        <w:t>Sin externalReference no existe idempotencia funcional.</w:t>
      </w:r>
    </w:p>
    <w:p>
      <w:r>
        <w:rPr>
          <w:b/>
        </w:rPr>
        <w:t xml:space="preserve">Ejemplo recomendado: </w:t>
      </w:r>
      <w:r>
        <w:t>usar la orden del sistema como referencia estable, por ejemplo OT-4587 o AIRES-OT-4587. Si hay timeout, reintenta con la MISMA referencia.</w:t>
      </w:r>
    </w:p>
    <w:p>
      <w:pPr>
        <w:pStyle w:val="Heading1"/>
      </w:pPr>
      <w:r>
        <w:t>9. Nota crédito</w:t>
      </w:r>
    </w:p>
    <w:p>
      <w:r>
        <w:rPr>
          <w:b/>
        </w:rPr>
        <w:t xml:space="preserve">Endpoint: </w:t>
      </w:r>
      <w:r>
        <w:t>POST /api/v1/external/documents/credit-notes</w:t>
      </w:r>
    </w:p>
    <w:p>
      <w:pPr>
        <w:pStyle w:val="ListBullet"/>
        <w:spacing w:after="40"/>
      </w:pPr>
      <w:r>
        <w:t>No acepta customer embebido.</w:t>
      </w:r>
    </w:p>
    <w:p>
      <w:pPr>
        <w:pStyle w:val="ListBullet"/>
        <w:spacing w:after="40"/>
      </w:pPr>
      <w:r>
        <w:t>Puede referenciar la factura original mediante originDocumentId, originFullNumber u originExternalReference.</w:t>
      </w:r>
    </w:p>
    <w:p>
      <w:pPr>
        <w:pStyle w:val="ListBullet"/>
        <w:spacing w:after="40"/>
      </w:pPr>
      <w:r>
        <w:t>customerId puede usarse solo como validación opcional.</w:t>
      </w:r>
    </w:p>
    <w:p>
      <w:pPr>
        <w:pStyle w:val="ListBullet"/>
        <w:spacing w:after="40"/>
      </w:pPr>
      <w:r>
        <w:t>Defaults: invoiceTypeCode="20" y operationType="20".</w:t>
      </w:r>
    </w:p>
    <w:p>
      <w:pPr>
        <w:pStyle w:val="ListBullet"/>
        <w:spacing w:after="40"/>
      </w:pPr>
      <w:r>
        <w:t>Al crearla también queda en VALIDATED_INTERNAL; luego debe pasar por generate-xml → sign → transmit.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{</w:t>
        <w:br/>
        <w:t xml:space="preserve">  "externalReference": "NC-OT-4587-01",</w:t>
        <w:br/>
        <w:t xml:space="preserve">  "originExternalReference": "OT-4587",</w:t>
        <w:br/>
        <w:t xml:space="preserve">  "issueDate": "2026-08-25T11:00:00.000Z",</w:t>
        <w:br/>
        <w:t xml:space="preserve">  "paymentMeansId": "1",</w:t>
        <w:br/>
        <w:t xml:space="preserve">  "paymentMeansCode": "10",</w:t>
        <w:br/>
        <w:t xml:space="preserve">  "discrepancyResponseCode": "5",</w:t>
        <w:br/>
        <w:t xml:space="preserve">  "discrepancyResponseDescription": "Ajuste comercial",</w:t>
        <w:br/>
        <w:t xml:space="preserve">  "noteReason": "Descuento aplicado al servicio",</w:t>
        <w:br/>
        <w:t xml:space="preserve">  "lines": [</w:t>
        <w:br/>
        <w:t xml:space="preserve">    {</w:t>
        <w:br/>
        <w:t xml:space="preserve">      "originLineId": "origin-line-uuid",</w:t>
        <w:br/>
        <w:t xml:space="preserve">      "sku": "SERV-AC-MANT",</w:t>
        <w:br/>
        <w:t xml:space="preserve">      "description": "Ajuste mantenimiento preventivo aire acondicionado",</w:t>
        <w:br/>
        <w:t xml:space="preserve">      "unitCode": "SERVICE",</w:t>
        <w:br/>
        <w:t xml:space="preserve">      "taxTreatment": "TAXED",</w:t>
        <w:br/>
        <w:t xml:space="preserve">      "taxSchemeId": "01",</w:t>
        <w:br/>
        <w:t xml:space="preserve">      "taxSchemeName": "IVA",</w:t>
        <w:br/>
        <w:t xml:space="preserve">      "quantity": 1,</w:t>
        <w:br/>
        <w:t xml:space="preserve">      "unitPrice": 50000,</w:t>
        <w:br/>
        <w:t xml:space="preserve">      "discountAmount": 0,</w:t>
        <w:br/>
        <w:t xml:space="preserve">      "taxes": [</w:t>
        <w:br/>
        <w:t xml:space="preserve">        { "taxType": "IVA", "rate": 19, "taxableBase": 50000, "taxAmount": 9500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10. Estados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D9EAF7"/>
          </w:tcPr>
          <w:p>
            <w:r>
              <w:t>Estado</w:t>
            </w:r>
          </w:p>
        </w:tc>
        <w:tc>
          <w:tcPr>
            <w:tcW w:type="dxa" w:w="5184"/>
            <w:shd w:fill="D9EAF7"/>
          </w:tcPr>
          <w:p>
            <w:r>
              <w:t>Significado para integración</w:t>
            </w:r>
          </w:p>
        </w:tc>
      </w:tr>
      <w:tr>
        <w:tc>
          <w:tcPr>
            <w:tcW w:type="dxa" w:w="5184"/>
          </w:tcPr>
          <w:p>
            <w:r>
              <w:t>DRAFT</w:t>
            </w:r>
          </w:p>
        </w:tc>
        <w:tc>
          <w:tcPr>
            <w:tcW w:type="dxa" w:w="5184"/>
          </w:tcPr>
          <w:p>
            <w:r>
              <w:t>Preparación</w:t>
            </w:r>
          </w:p>
        </w:tc>
      </w:tr>
      <w:tr>
        <w:tc>
          <w:tcPr>
            <w:tcW w:type="dxa" w:w="5184"/>
          </w:tcPr>
          <w:p>
            <w:r>
              <w:t>VALIDATING</w:t>
            </w:r>
          </w:p>
        </w:tc>
        <w:tc>
          <w:tcPr>
            <w:tcW w:type="dxa" w:w="5184"/>
          </w:tcPr>
          <w:p>
            <w:r>
              <w:t>Validando</w:t>
            </w:r>
          </w:p>
        </w:tc>
      </w:tr>
      <w:tr>
        <w:tc>
          <w:tcPr>
            <w:tcW w:type="dxa" w:w="5184"/>
          </w:tcPr>
          <w:p>
            <w:r>
              <w:t>VALIDATED_INTERNAL</w:t>
            </w:r>
          </w:p>
        </w:tc>
        <w:tc>
          <w:tcPr>
            <w:tcW w:type="dxa" w:w="5184"/>
          </w:tcPr>
          <w:p>
            <w:r>
              <w:t>Creado/validado internamente</w:t>
            </w:r>
          </w:p>
        </w:tc>
      </w:tr>
      <w:tr>
        <w:tc>
          <w:tcPr>
            <w:tcW w:type="dxa" w:w="5184"/>
          </w:tcPr>
          <w:p>
            <w:r>
              <w:t>XML_GENERATED</w:t>
            </w:r>
          </w:p>
        </w:tc>
        <w:tc>
          <w:tcPr>
            <w:tcW w:type="dxa" w:w="5184"/>
          </w:tcPr>
          <w:p>
            <w:r>
              <w:t>XML generado</w:t>
            </w:r>
          </w:p>
        </w:tc>
      </w:tr>
      <w:tr>
        <w:tc>
          <w:tcPr>
            <w:tcW w:type="dxa" w:w="5184"/>
          </w:tcPr>
          <w:p>
            <w:r>
              <w:t>SIGNED</w:t>
            </w:r>
          </w:p>
        </w:tc>
        <w:tc>
          <w:tcPr>
            <w:tcW w:type="dxa" w:w="5184"/>
          </w:tcPr>
          <w:p>
            <w:r>
              <w:t>XML firmado</w:t>
            </w:r>
          </w:p>
        </w:tc>
      </w:tr>
      <w:tr>
        <w:tc>
          <w:tcPr>
            <w:tcW w:type="dxa" w:w="5184"/>
          </w:tcPr>
          <w:p>
            <w:r>
              <w:t>READY_TO_SEND</w:t>
            </w:r>
          </w:p>
        </w:tc>
        <w:tc>
          <w:tcPr>
            <w:tcW w:type="dxa" w:w="5184"/>
          </w:tcPr>
          <w:p>
            <w:r>
              <w:t>Listo para envío</w:t>
            </w:r>
          </w:p>
        </w:tc>
      </w:tr>
      <w:tr>
        <w:tc>
          <w:tcPr>
            <w:tcW w:type="dxa" w:w="5184"/>
          </w:tcPr>
          <w:p>
            <w:r>
              <w:t>SENT</w:t>
            </w:r>
          </w:p>
        </w:tc>
        <w:tc>
          <w:tcPr>
            <w:tcW w:type="dxa" w:w="5184"/>
          </w:tcPr>
          <w:p>
            <w:r>
              <w:t>Enviado / esperando resultado</w:t>
            </w:r>
          </w:p>
        </w:tc>
      </w:tr>
      <w:tr>
        <w:tc>
          <w:tcPr>
            <w:tcW w:type="dxa" w:w="5184"/>
          </w:tcPr>
          <w:p>
            <w:r>
              <w:t>ACCEPTED</w:t>
            </w:r>
          </w:p>
        </w:tc>
        <w:tc>
          <w:tcPr>
            <w:tcW w:type="dxa" w:w="5184"/>
          </w:tcPr>
          <w:p>
            <w:r>
              <w:t>Aceptado DIAN – final</w:t>
            </w:r>
          </w:p>
        </w:tc>
      </w:tr>
      <w:tr>
        <w:tc>
          <w:tcPr>
            <w:tcW w:type="dxa" w:w="5184"/>
          </w:tcPr>
          <w:p>
            <w:r>
              <w:t>REJECTED</w:t>
            </w:r>
          </w:p>
        </w:tc>
        <w:tc>
          <w:tcPr>
            <w:tcW w:type="dxa" w:w="5184"/>
          </w:tcPr>
          <w:p>
            <w:r>
              <w:t>Rechazado DIAN – final</w:t>
            </w:r>
          </w:p>
        </w:tc>
      </w:tr>
      <w:tr>
        <w:tc>
          <w:tcPr>
            <w:tcW w:type="dxa" w:w="5184"/>
          </w:tcPr>
          <w:p>
            <w:r>
              <w:t>TECHNICAL_ERROR</w:t>
            </w:r>
          </w:p>
        </w:tc>
        <w:tc>
          <w:tcPr>
            <w:tcW w:type="dxa" w:w="5184"/>
          </w:tcPr>
          <w:p>
            <w:r>
              <w:t>Error técnico – final para consulta; admite retry</w:t>
            </w:r>
          </w:p>
        </w:tc>
      </w:tr>
      <w:tr>
        <w:tc>
          <w:tcPr>
            <w:tcW w:type="dxa" w:w="5184"/>
          </w:tcPr>
          <w:p>
            <w:r>
              <w:t>PENDING_RETRY</w:t>
            </w:r>
          </w:p>
        </w:tc>
        <w:tc>
          <w:tcPr>
            <w:tcW w:type="dxa" w:w="5184"/>
          </w:tcPr>
          <w:p>
            <w:r>
              <w:t>Pendiente de reintento</w:t>
            </w:r>
          </w:p>
        </w:tc>
      </w:tr>
      <w:tr>
        <w:tc>
          <w:tcPr>
            <w:tcW w:type="dxa" w:w="5184"/>
          </w:tcPr>
          <w:p>
            <w:r>
              <w:t>CANCELLED_LOGICALLY</w:t>
            </w:r>
          </w:p>
        </w:tc>
        <w:tc>
          <w:tcPr>
            <w:tcW w:type="dxa" w:w="5184"/>
          </w:tcPr>
          <w:p>
            <w:r>
              <w:t>Cancelado lógicamente</w:t>
            </w:r>
          </w:p>
        </w:tc>
      </w:tr>
    </w:tbl>
    <w:p>
      <w:r>
        <w:rPr>
          <w:b/>
        </w:rPr>
        <w:t xml:space="preserve">Finales según la lógica actual: </w:t>
      </w:r>
      <w:r>
        <w:t>ACCEPTED, REJECTED y TECHNICAL_ERROR.</w:t>
      </w:r>
    </w:p>
    <w:p>
      <w:pPr>
        <w:pStyle w:val="Heading1"/>
      </w:pPr>
      <w:r>
        <w:t>11. Consulta de estado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GET /api/v1/external/documents/:id/status</w:t>
        <w:br/>
        <w:br/>
        <w:t>GET /api/v1/external/documents/status/by-external-reference/:externalReference</w:t>
      </w:r>
    </w:p>
    <w:p>
      <w:r>
        <w:rPr>
          <w:b/>
        </w:rPr>
        <w:t xml:space="preserve">Nota: </w:t>
      </w:r>
      <w:r>
        <w:t>el servicio tiene lógica de refresh DIAN, pero actualmente no existe un endpoint externo explícito para refresh-dian-status. Por eso el integrador debe apoyarse en los endpoints de estado disponibles.</w:t>
      </w:r>
    </w:p>
    <w:p>
      <w:pPr>
        <w:pStyle w:val="Heading1"/>
      </w:pPr>
      <w:r>
        <w:t>12. Descargas</w:t>
      </w:r>
    </w:p>
    <w:p>
      <w:pPr>
        <w:pStyle w:val="ListBullet"/>
        <w:spacing w:after="40"/>
      </w:pPr>
      <w:r>
        <w:t>/api/v1/external/documents/:id/download/xml</w:t>
      </w:r>
    </w:p>
    <w:p>
      <w:pPr>
        <w:pStyle w:val="ListBullet"/>
        <w:spacing w:after="40"/>
      </w:pPr>
      <w:r>
        <w:t>/api/v1/external/documents/:id/download/xml-signed</w:t>
      </w:r>
    </w:p>
    <w:p>
      <w:pPr>
        <w:pStyle w:val="ListBullet"/>
        <w:spacing w:after="40"/>
      </w:pPr>
      <w:r>
        <w:t>/api/v1/external/documents/:id/download/pdf</w:t>
      </w:r>
    </w:p>
    <w:p>
      <w:r>
        <w:rPr>
          <w:b/>
        </w:rPr>
        <w:t xml:space="preserve">Limitación actual: </w:t>
      </w:r>
      <w:r>
        <w:t>la API externa puede descargar un PDF existente, pero no tiene endpoint externo para generarlo.</w:t>
      </w:r>
    </w:p>
    <w:p>
      <w:pPr>
        <w:pStyle w:val="Heading1"/>
      </w:pPr>
      <w:r>
        <w:t>13. Ejemplos de integración</w:t>
      </w:r>
    </w:p>
    <w:p>
      <w:pPr>
        <w:pStyle w:val="Heading2"/>
      </w:pPr>
      <w:r>
        <w:t>13.1 cURL — crear factura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curl -X POST "https://TU_API/api/v1/external/documents/invoices" \</w:t>
        <w:br/>
        <w:t xml:space="preserve">  -H "Content-Type: application/json" \</w:t>
        <w:br/>
        <w:t xml:space="preserve">  -H "x-client-key: fc_xxxxxxxxxxxxxxxx" \</w:t>
        <w:br/>
        <w:t xml:space="preserve">  -H "x-client-secret: TU_SECRET" \</w:t>
        <w:br/>
        <w:t xml:space="preserve">  -d @invoice.json</w:t>
      </w:r>
    </w:p>
    <w:p>
      <w:pPr>
        <w:pStyle w:val="Heading2"/>
      </w:pPr>
      <w:r>
        <w:t>13.2 JavaScript / TypeScript — fetch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const response = await fetch(`${FACTUCORE_URL}/api/v1/external/documents/invoices`, {</w:t>
        <w:br/>
        <w:t xml:space="preserve">  method: 'POST',</w:t>
        <w:br/>
        <w:t xml:space="preserve">  headers: {</w:t>
        <w:br/>
        <w:t xml:space="preserve">    'Content-Type': 'application/json',</w:t>
        <w:br/>
        <w:t xml:space="preserve">    'x-client-key': clientKey,</w:t>
        <w:br/>
        <w:t xml:space="preserve">    'x-client-secret': clientSecret,</w:t>
        <w:br/>
        <w:t xml:space="preserve">  },</w:t>
        <w:br/>
        <w:t xml:space="preserve">  body: JSON.stringify(invoicePayload),</w:t>
        <w:br/>
        <w:t>});</w:t>
        <w:br/>
        <w:br/>
        <w:t>const document = await response.json();</w:t>
      </w:r>
    </w:p>
    <w:p>
      <w:pPr>
        <w:pStyle w:val="Heading2"/>
      </w:pPr>
      <w:r>
        <w:t>13.3 Node.js — Axios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import axios from 'axios';</w:t>
        <w:br/>
        <w:br/>
        <w:t>const { data: document } = await axios.post(</w:t>
        <w:br/>
        <w:t xml:space="preserve">  `${FACTUCORE_URL}/api/v1/external/documents/invoices`,</w:t>
        <w:br/>
        <w:t xml:space="preserve">  invoicePayload,</w:t>
        <w:br/>
        <w:t xml:space="preserve">  {</w:t>
        <w:br/>
        <w:t xml:space="preserve">    headers: {</w:t>
        <w:br/>
        <w:t xml:space="preserve">      'x-client-key': clientKey,</w:t>
        <w:br/>
        <w:t xml:space="preserve">      'x-client-secret': clientSecret,</w:t>
        <w:br/>
        <w:t xml:space="preserve">    },</w:t>
        <w:br/>
        <w:t xml:space="preserve">  },</w:t>
        <w:br/>
        <w:t>);</w:t>
      </w:r>
    </w:p>
    <w:p>
      <w:pPr>
        <w:pStyle w:val="Heading2"/>
      </w:pPr>
      <w:r>
        <w:t>13.4 Orquestación completa recomendada</w:t>
      </w:r>
    </w:p>
    <w:p>
      <w:pPr>
        <w:spacing w:before="60" w:after="120"/>
        <w:ind w:left="317" w:right="144"/>
        <w:shd w:fill="F3F4F6"/>
      </w:pPr>
      <w:r>
        <w:rPr>
          <w:rFonts w:ascii="Consolas" w:hAnsi="Consolas"/>
          <w:sz w:val="16"/>
        </w:rPr>
        <w:t>// 1. Crear</w:t>
        <w:br/>
        <w:t>const created = await createInvoice(payload);</w:t>
        <w:br/>
        <w:t>const id = created.id;</w:t>
        <w:br/>
        <w:br/>
        <w:t>// 2. Generar XML</w:t>
        <w:br/>
        <w:t>await post(`/api/v1/external/documents/${id}/generate-xml`);</w:t>
        <w:br/>
        <w:br/>
        <w:t>// 3. Firmar</w:t>
        <w:br/>
        <w:t>await post(`/api/v1/external/documents/${id}/sign`);</w:t>
        <w:br/>
        <w:br/>
        <w:t>// 4. Transmitir</w:t>
        <w:br/>
        <w:t>await post(`/api/v1/external/documents/${id}/transmit`);</w:t>
        <w:br/>
        <w:br/>
        <w:t>// 5. Consultar estado hasta ACCEPTED / REJECTED / TECHNICAL_ERROR</w:t>
        <w:br/>
        <w:t>const status = await get(`/api/v1/external/documents/${id}/status`);</w:t>
      </w:r>
    </w:p>
    <w:p>
      <w:pPr>
        <w:pStyle w:val="Heading1"/>
      </w:pPr>
      <w:r>
        <w:t>14. Caso práctico: software de aires acondicionados</w:t>
      </w:r>
    </w:p>
    <w:p>
      <w:r>
        <w:rPr>
          <w:b/>
        </w:rPr>
        <w:t xml:space="preserve">Flujo de negocio recomendado: </w:t>
      </w:r>
      <w:r>
        <w:t>cuando una orden queda terminada y aprobada para facturación, el backend del sistema de aires llama a FactuCore.</w:t>
      </w:r>
    </w:p>
    <w:p>
      <w:pPr>
        <w:spacing w:after="40"/>
      </w:pPr>
      <w:r/>
      <w:r>
        <w:t>1. La orden OT-4587 queda finalizada.</w:t>
      </w:r>
    </w:p>
    <w:p>
      <w:pPr>
        <w:spacing w:after="40"/>
      </w:pPr>
      <w:r/>
      <w:r>
        <w:t>2. El sistema arma el payload con cliente, servicio, impuestos, pago y externalReference=OT-4587.</w:t>
      </w:r>
    </w:p>
    <w:p>
      <w:pPr>
        <w:spacing w:after="40"/>
      </w:pPr>
      <w:r/>
      <w:r>
        <w:t>3. FactuCore crea el documento y devuelve su id.</w:t>
      </w:r>
    </w:p>
    <w:p>
      <w:pPr>
        <w:spacing w:after="40"/>
      </w:pPr>
      <w:r/>
      <w:r>
        <w:t>4. El sistema llama generate-xml, sign y transmit.</w:t>
      </w:r>
    </w:p>
    <w:p>
      <w:pPr>
        <w:spacing w:after="40"/>
      </w:pPr>
      <w:r/>
      <w:r>
        <w:t>5. El sistema guarda documentId, externalReference, número FactuCore, estado y CUFE cuando aparezca.</w:t>
      </w:r>
    </w:p>
    <w:p>
      <w:pPr>
        <w:spacing w:after="40"/>
      </w:pPr>
      <w:r/>
      <w:r>
        <w:t>6. La pantalla de la orden muestra “Factura electrónica: Aceptada / Rechazada / Pendiente”.</w:t>
      </w:r>
    </w:p>
    <w:p>
      <w:pPr>
        <w:pStyle w:val="Heading1"/>
      </w:pPr>
      <w:r>
        <w:t>15. Qué debe guardar el sistema integrador</w:t>
      </w:r>
    </w:p>
    <w:p>
      <w:pPr>
        <w:pStyle w:val="ListBullet"/>
        <w:spacing w:after="40"/>
      </w:pPr>
      <w:r>
        <w:t>ID propio de la orden/venta.</w:t>
      </w:r>
    </w:p>
    <w:p>
      <w:pPr>
        <w:pStyle w:val="ListBullet"/>
        <w:spacing w:after="40"/>
      </w:pPr>
      <w:r>
        <w:t>externalReference.</w:t>
      </w:r>
    </w:p>
    <w:p>
      <w:pPr>
        <w:pStyle w:val="ListBullet"/>
        <w:spacing w:after="40"/>
      </w:pPr>
      <w:r>
        <w:t>ID del documento FactuCore.</w:t>
      </w:r>
    </w:p>
    <w:p>
      <w:pPr>
        <w:pStyle w:val="ListBullet"/>
        <w:spacing w:after="40"/>
      </w:pPr>
      <w:r>
        <w:t>Tipo de documento.</w:t>
      </w:r>
    </w:p>
    <w:p>
      <w:pPr>
        <w:pStyle w:val="ListBullet"/>
        <w:spacing w:after="40"/>
      </w:pPr>
      <w:r>
        <w:t>fullNumber/prefijo/número si están disponibles.</w:t>
      </w:r>
    </w:p>
    <w:p>
      <w:pPr>
        <w:pStyle w:val="ListBullet"/>
        <w:spacing w:after="40"/>
      </w:pPr>
      <w:r>
        <w:t>Estado FactuCore/DIAN.</w:t>
      </w:r>
    </w:p>
    <w:p>
      <w:pPr>
        <w:pStyle w:val="ListBullet"/>
        <w:spacing w:after="40"/>
      </w:pPr>
      <w:r>
        <w:t>CUFE/CUDE cuando exista.</w:t>
      </w:r>
    </w:p>
    <w:p>
      <w:pPr>
        <w:pStyle w:val="ListBullet"/>
        <w:spacing w:after="40"/>
      </w:pPr>
      <w:r>
        <w:t>Último error o detalle relevante.</w:t>
      </w:r>
    </w:p>
    <w:p>
      <w:pPr>
        <w:pStyle w:val="ListBullet"/>
        <w:spacing w:after="40"/>
      </w:pPr>
      <w:r>
        <w:t>Fecha/hora de creación y última consulta.</w:t>
      </w:r>
    </w:p>
    <w:p>
      <w:pPr>
        <w:pStyle w:val="Heading1"/>
      </w:pPr>
      <w:r>
        <w:t>16. Swagger / OpenAPI</w:t>
      </w:r>
    </w:p>
    <w:p>
      <w:pPr>
        <w:pStyle w:val="ListBullet"/>
        <w:spacing w:after="40"/>
      </w:pPr>
      <w:r>
        <w:t>Ruta: /api/docs.</w:t>
      </w:r>
    </w:p>
    <w:p>
      <w:pPr>
        <w:pStyle w:val="ListBullet"/>
        <w:spacing w:after="40"/>
      </w:pPr>
      <w:r>
        <w:t>Solo está disponible si SWAGGER_ENABLED=true.</w:t>
      </w:r>
    </w:p>
    <w:p>
      <w:pPr>
        <w:pStyle w:val="ListBullet"/>
        <w:spacing w:after="40"/>
      </w:pPr>
      <w:r>
        <w:t>Por defecto está desactivado en producción.</w:t>
      </w:r>
    </w:p>
    <w:p>
      <w:pPr>
        <w:pStyle w:val="ListBullet"/>
        <w:spacing w:after="40"/>
      </w:pPr>
      <w:r>
        <w:t>Swagger tiene Bearer auth global, mientras que la API externa usa x-client-key y x-client-secret.</w:t>
      </w:r>
    </w:p>
    <w:p>
      <w:pPr>
        <w:pStyle w:val="ListBullet"/>
        <w:spacing w:after="40"/>
      </w:pPr>
      <w:r>
        <w:t>Las respuestas de los endpoints externos no están tipadas con schema completo, por lo que Swagger no representa con precisión todos los campos de respuesta.</w:t>
      </w:r>
    </w:p>
    <w:p>
      <w:pPr>
        <w:pStyle w:val="Heading1"/>
      </w:pPr>
      <w:r>
        <w:t>17. Limitaciones actuales a tener en cuenta</w:t>
      </w:r>
    </w:p>
    <w:p>
      <w:pPr>
        <w:pStyle w:val="ListBullet"/>
        <w:spacing w:after="40"/>
      </w:pPr>
      <w:r>
        <w:t>Crear factura/NC no ejecuta automáticamente el pipeline XML → firma → transmisión.</w:t>
      </w:r>
    </w:p>
    <w:p>
      <w:pPr>
        <w:pStyle w:val="ListBullet"/>
        <w:spacing w:after="40"/>
      </w:pPr>
      <w:r>
        <w:t>No existe endpoint externo explícito de refresh DIAN aunque existe lógica interna en service.</w:t>
      </w:r>
    </w:p>
    <w:p>
      <w:pPr>
        <w:pStyle w:val="ListBullet"/>
        <w:spacing w:after="40"/>
      </w:pPr>
      <w:r>
        <w:t>paymentMeansId y paymentMeansCode no tienen enum backend; solo validación de string no vacío.</w:t>
      </w:r>
    </w:p>
    <w:p>
      <w:pPr>
        <w:pStyle w:val="ListBullet"/>
        <w:spacing w:after="40"/>
      </w:pPr>
      <w:r>
        <w:t>Listado GET /documents devuelve como máximo 100 y no tiene paginación.</w:t>
      </w:r>
    </w:p>
    <w:p>
      <w:pPr>
        <w:pStyle w:val="ListBullet"/>
        <w:spacing w:after="40"/>
      </w:pPr>
      <w:r>
        <w:t>Existe descarga de PDF, pero no endpoint externo para generar PDF.</w:t>
      </w:r>
    </w:p>
    <w:p>
      <w:pPr>
        <w:pStyle w:val="ListBullet"/>
        <w:spacing w:after="40"/>
      </w:pPr>
      <w:r>
        <w:t>Swagger no documenta schemas externos de respuesta con suficiente precisión.</w:t>
      </w:r>
    </w:p>
    <w:p>
      <w:pPr>
        <w:pStyle w:val="Heading1"/>
      </w:pPr>
      <w:r>
        <w:t>18. Recomendación para simplificar integraciones futuras</w:t>
      </w:r>
    </w:p>
    <w:p>
      <w:r>
        <w:rPr>
          <w:b/>
        </w:rPr>
        <w:t xml:space="preserve">Mejora de producto recomendada: </w:t>
      </w:r>
      <w:r>
        <w:t>crear un endpoint de conveniencia para integradores que ejecute internamente create → generate XML → sign → transmit, manteniendo los endpoints actuales de bajo nivel. Así un sistema como el de aires podría facturar con una sola llamada y consultar el estado después. Esta mejora no forma parte del contrato actual; es una recomendación a partir de las limitaciones encontradas.</w:t>
      </w:r>
    </w:p>
    <w:p>
      <w:pPr>
        <w:pStyle w:val="Heading1"/>
      </w:pPr>
      <w:r>
        <w:t>19. Checklist mínimo para conectar un nuevo software</w:t>
      </w:r>
    </w:p>
    <w:p>
      <w:r>
        <w:t>☐ Crear API Client para el tenant.</w:t>
      </w:r>
    </w:p>
    <w:p>
      <w:r>
        <w:t>☐ Asignar scopes necesarios.</w:t>
      </w:r>
    </w:p>
    <w:p>
      <w:r>
        <w:t>☐ Guardar client key y secret de forma segura.</w:t>
      </w:r>
    </w:p>
    <w:p>
      <w:r>
        <w:t>☐ Definir externalReference única y estable.</w:t>
      </w:r>
    </w:p>
    <w:p>
      <w:r>
        <w:t>☐ Mapear clientes y líneas al DTO FactuCore.</w:t>
      </w:r>
    </w:p>
    <w:p>
      <w:r>
        <w:t>☐ Implementar create invoice.</w:t>
      </w:r>
    </w:p>
    <w:p>
      <w:r>
        <w:t>☐ Implementar generate-xml.</w:t>
      </w:r>
    </w:p>
    <w:p>
      <w:r>
        <w:t>☐ Implementar sign.</w:t>
      </w:r>
    </w:p>
    <w:p>
      <w:r>
        <w:t>☐ Implementar transmit.</w:t>
      </w:r>
    </w:p>
    <w:p>
      <w:r>
        <w:t>☐ Implementar consulta de estado.</w:t>
      </w:r>
    </w:p>
    <w:p>
      <w:r>
        <w:t>☐ Manejar 401, 409 y errores DIAN/técnicos.</w:t>
      </w:r>
    </w:p>
    <w:p>
      <w:r>
        <w:t>☐ Probar factura aceptada y nota crédito antes de habilitar producción.</w:t>
      </w:r>
    </w:p>
    <w:p>
      <w:pPr>
        <w:pStyle w:val="Heading1"/>
      </w:pPr>
      <w:r>
        <w:t>20. Resumen para un desarrollador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 xml:space="preserve">Para integrar FactuCore necesitas: </w:t>
            </w:r>
            <w:r>
              <w:t>una Base URL, un x-client-key, un x-client-secret y permisos. Generas una externalReference única, creas la factura por POST /api/v1/external/documents/invoices, guardas el id retornado, ejecutas generate-xml, sign y transmit, y consultas status hasta obtener ACCEPTED, REJECTED o TECHNICAL_ERROR. Para una nota crédito, referencias la factura original y repites el mismo pipeline.</w:t>
            </w:r>
          </w:p>
        </w:tc>
      </w:tr>
    </w:tbl>
    <w:sectPr w:rsidR="00FC693F" w:rsidRPr="0006063C" w:rsidSect="00034616"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