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CA NEXUS</w:t>
      </w:r>
    </w:p>
    <w:p>
      <w:pPr>
        <w:spacing w:after="100"/>
        <w:jc w:val="center"/>
      </w:pPr>
      <w:r>
        <w:rPr>
          <w:b/>
          <w:bCs/>
          <w:color w:val="2E5395"/>
          <w:sz w:val="24"/>
          <w:szCs w:val="24"/>
        </w:rPr>
        <w:t xml:space="preserve">Updated Product, Functional &amp; System Architecture Document</w:t>
      </w:r>
    </w:p>
    <w:p>
      <w:pPr>
        <w:pBdr>
          <w:bottom w:val="single" w:color="1F3864" w:sz="8" w:space="10"/>
        </w:pBdr>
        <w:spacing w:after="200"/>
        <w:jc w:val="center"/>
      </w:pPr>
      <w:r>
        <w:rPr>
          <w:i/>
          <w:iCs/>
          <w:color w:val="444444"/>
          <w:sz w:val="20"/>
          <w:szCs w:val="20"/>
        </w:rPr>
        <w:t xml:space="preserve">Version 3.0  |  Updated September 2026</w:t>
      </w:r>
    </w:p>
    <w:p>
      <w:pPr>
        <w:spacing w:after="140" w:line="276"/>
        <w:jc w:val="both"/>
      </w:pPr>
      <w:r>
        <w:t>This updated document consolidates the original CA Nexus requirements with the subsequent additions for compliance monitoring, bulk personalized communication, client conversations, automatic document association, daily CA operations, high-speed data access, and the final FastAPI-only backend architecture. Version 3.0 additionally incorporates fixes for the critical architecture gaps identified in the September 2026 architecture review — summarized in the changelog below and woven into the relevant sections throughout.</w:t>
      </w:r>
    </w:p>
    <w:p>
      <w:pPr>
        <w:pStyle w:val="Heading1"/>
        <w:pBdr>
          <w:bottom w:val="single" w:color="1F3864" w:sz="6" w:space="4"/>
        </w:pBdr>
        <w:spacing w:after="160" w:before="380"/>
      </w:pPr>
      <w:r>
        <w:rPr>
          <w:b/>
          <w:bCs/>
          <w:color w:val="1F3864"/>
          <w:sz w:val="27"/>
          <w:szCs w:val="27"/>
        </w:rPr>
        <w:t xml:space="preserve">Changelog — Version 3.0 Critical Fixes</w:t>
      </w:r>
    </w:p>
    <w:p>
      <w:pPr>
        <w:spacing w:after="140" w:line="276"/>
        <w:jc w:val="both"/>
      </w:pPr>
      <w:r>
        <w:rPr>
          <w:sz w:val="21"/>
          <w:szCs w:val="21"/>
        </w:rPr>
        <w:t xml:space="preserve">Ten critical gaps identified in the architecture review have been resolved in this 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6500"/>
        <w:gridCol w:w="3080"/>
      </w:tblGrid>
      <w:tr>
        <w:trPr>
          <w:tblHeader/>
        </w:trPr>
        <w:tc>
          <w:tcPr>
            <w:tcW w:type="dxa" w:w="5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19"/>
                <w:szCs w:val="19"/>
              </w:rPr>
              <w:t xml:space="preserve">#</w:t>
            </w:r>
          </w:p>
        </w:tc>
        <w:tc>
          <w:tcPr>
            <w:tcW w:type="dxa" w:w="65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19"/>
                <w:szCs w:val="19"/>
              </w:rPr>
              <w:t xml:space="preserve">Fix Applied</w:t>
            </w:r>
          </w:p>
        </w:tc>
        <w:tc>
          <w:tcPr>
            <w:tcW w:type="dxa" w:w="308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19"/>
                <w:szCs w:val="19"/>
              </w:rPr>
              <w:t xml:space="preserve">Section(s) Updated</w:t>
            </w:r>
          </w:p>
        </w:tc>
      </w:tr>
      <w:tr>
        <w:tc>
          <w:tcPr>
            <w:tcW w:type="dxa" w:w="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1</w:t>
            </w:r>
          </w:p>
        </w:tc>
        <w:tc>
          <w:tcPr>
            <w:tcW w:type="dxa" w:w="6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Multi-tenancy isolation model defined: shared schema + tenant_id, backed by PostgreSQL Row-Level Security</w:t>
            </w:r>
          </w:p>
        </w:tc>
        <w:tc>
          <w:tcPr>
            <w:tcW w:type="dxa" w:w="30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9, 19</w:t>
            </w:r>
          </w:p>
        </w:tc>
      </w:tr>
      <w:tr>
        <w:tc>
          <w:tcPr>
            <w:tcW w:type="dxa" w:w="5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2</w:t>
            </w:r>
          </w:p>
        </w:tc>
        <w:tc>
          <w:tcPr>
            <w:tcW w:type="dxa" w:w="65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Observability stack added: APM, centralized logging, alerting</w:t>
            </w:r>
          </w:p>
        </w:tc>
        <w:tc>
          <w:tcPr>
            <w:tcW w:type="dxa" w:w="30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8, 20, 21, 22</w:t>
            </w:r>
          </w:p>
        </w:tc>
      </w:tr>
      <w:tr>
        <w:tc>
          <w:tcPr>
            <w:tcW w:type="dxa" w:w="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3</w:t>
            </w:r>
          </w:p>
        </w:tc>
        <w:tc>
          <w:tcPr>
            <w:tcW w:type="dxa" w:w="6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Backup / disaster-recovery targets defined for PostgreSQL (RPO/RTO)</w:t>
            </w:r>
          </w:p>
        </w:tc>
        <w:tc>
          <w:tcPr>
            <w:tcW w:type="dxa" w:w="30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13, 21, 22</w:t>
            </w:r>
          </w:p>
        </w:tc>
      </w:tr>
      <w:tr>
        <w:tc>
          <w:tcPr>
            <w:tcW w:type="dxa" w:w="5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4</w:t>
            </w:r>
          </w:p>
        </w:tc>
        <w:tc>
          <w:tcPr>
            <w:tcW w:type="dxa" w:w="65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Message-broker / event-bus strategy made explicit (Celery+Redis vs. Azure Service Bus)</w:t>
            </w:r>
          </w:p>
        </w:tc>
        <w:tc>
          <w:tcPr>
            <w:tcW w:type="dxa" w:w="30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8, 15, 21, 22</w:t>
            </w:r>
          </w:p>
        </w:tc>
      </w:tr>
      <w:tr>
        <w:tc>
          <w:tcPr>
            <w:tcW w:type="dxa" w:w="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5</w:t>
            </w:r>
          </w:p>
        </w:tc>
        <w:tc>
          <w:tcPr>
            <w:tcW w:type="dxa" w:w="6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Idempotency handling required for webhooks and retried background jobs</w:t>
            </w:r>
          </w:p>
        </w:tc>
        <w:tc>
          <w:tcPr>
            <w:tcW w:type="dxa" w:w="30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11, 12, 15, 16</w:t>
            </w:r>
          </w:p>
        </w:tc>
      </w:tr>
      <w:tr>
        <w:tc>
          <w:tcPr>
            <w:tcW w:type="dxa" w:w="5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6</w:t>
            </w:r>
          </w:p>
        </w:tc>
        <w:tc>
          <w:tcPr>
            <w:tcW w:type="dxa" w:w="65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MFA, audit logging and malware scanning added</w:t>
            </w:r>
          </w:p>
        </w:tc>
        <w:tc>
          <w:tcPr>
            <w:tcW w:type="dxa" w:w="30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17, 19, 21, 22</w:t>
            </w:r>
          </w:p>
        </w:tc>
      </w:tr>
      <w:tr>
        <w:tc>
          <w:tcPr>
            <w:tcW w:type="dxa" w:w="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7</w:t>
            </w:r>
          </w:p>
        </w:tc>
        <w:tc>
          <w:tcPr>
            <w:tcW w:type="dxa" w:w="6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TDS and MCA/ROC compliance monitoring brought to parity via a generalized compliance engine</w:t>
            </w:r>
          </w:p>
        </w:tc>
        <w:tc>
          <w:tcPr>
            <w:tcW w:type="dxa" w:w="30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3</w:t>
            </w:r>
          </w:p>
        </w:tc>
      </w:tr>
      <w:tr>
        <w:tc>
          <w:tcPr>
            <w:tcW w:type="dxa" w:w="5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8</w:t>
            </w:r>
          </w:p>
        </w:tc>
        <w:tc>
          <w:tcPr>
            <w:tcW w:type="dxa" w:w="65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Bulk compliance-period due-date override capability added</w:t>
            </w:r>
          </w:p>
        </w:tc>
        <w:tc>
          <w:tcPr>
            <w:tcW w:type="dxa" w:w="30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3, 6</w:t>
            </w:r>
          </w:p>
        </w:tc>
      </w:tr>
      <w:tr>
        <w:tc>
          <w:tcPr>
            <w:tcW w:type="dxa" w:w="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9</w:t>
            </w:r>
          </w:p>
        </w:tc>
        <w:tc>
          <w:tcPr>
            <w:tcW w:type="dxa" w:w="6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Consent / opt-out management added for bulk communication</w:t>
            </w:r>
          </w:p>
        </w:tc>
        <w:tc>
          <w:tcPr>
            <w:tcW w:type="dxa" w:w="30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4, 16</w:t>
            </w:r>
          </w:p>
        </w:tc>
      </w:tr>
      <w:tr>
        <w:tc>
          <w:tcPr>
            <w:tcW w:type="dxa" w:w="5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10</w:t>
            </w:r>
          </w:p>
        </w:tc>
        <w:tc>
          <w:tcPr>
            <w:tcW w:type="dxa" w:w="65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Document versioning and a configurable retention policy added</w:t>
            </w:r>
          </w:p>
        </w:tc>
        <w:tc>
          <w:tcPr>
            <w:tcW w:type="dxa" w:w="30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5, 17</w:t>
            </w:r>
          </w:p>
        </w:tc>
      </w:tr>
    </w:tbl>
    <w:p>
      <w:pPr>
        <w:spacing w:after="160"/>
      </w:pPr>
    </w:p>
    <w:p>
      <w:pPr>
        <w:pStyle w:val="Heading1"/>
        <w:pBdr>
          <w:bottom w:val="single" w:color="1F3864" w:sz="6" w:space="4"/>
        </w:pBdr>
        <w:spacing w:after="160" w:before="380"/>
      </w:pPr>
      <w:r>
        <w:rPr>
          <w:b/>
          <w:bCs/>
          <w:color w:val="1F3864"/>
          <w:sz w:val="27"/>
          <w:szCs w:val="27"/>
        </w:rPr>
        <w:t xml:space="preserve">1.  Vision &amp; Overview</w:t>
      </w:r>
    </w:p>
    <w:p>
      <w:pPr>
        <w:spacing w:after="140" w:line="276"/>
        <w:jc w:val="both"/>
      </w:pPr>
      <w:r>
        <w:rPr>
          <w:sz w:val="21"/>
          <w:szCs w:val="21"/>
        </w:rPr>
        <w:t xml:space="preserve">CA Nexus is a unified, intelligent practice-management and compliance operations platform for Chartered Accountants and CA firms. It centralizes client servicing, matters, compliance, documents, communication, workflows, billing, audit operations, staff operations, reporting and automation.</w:t>
      </w:r>
    </w:p>
    <w:p>
      <w:pPr>
        <w:pStyle w:val="ListParagraph"/>
        <w:numPr>
          <w:ilvl w:val="0"/>
          <w:numId w:val="2"/>
        </w:numPr>
        <w:spacing w:after="90" w:line="270"/>
      </w:pPr>
      <w:r>
        <w:rPr>
          <w:sz w:val="21"/>
          <w:szCs w:val="21"/>
        </w:rPr>
        <w:t xml:space="preserve">Single source of truth for every client and matter.</w:t>
      </w:r>
    </w:p>
    <w:p>
      <w:pPr>
        <w:pStyle w:val="ListParagraph"/>
        <w:numPr>
          <w:ilvl w:val="0"/>
          <w:numId w:val="2"/>
        </w:numPr>
        <w:spacing w:after="90" w:line="270"/>
      </w:pPr>
      <w:r>
        <w:rPr>
          <w:sz w:val="21"/>
          <w:szCs w:val="21"/>
        </w:rPr>
        <w:t xml:space="preserve">Proactive identification of pending compliance and missing information.</w:t>
      </w:r>
    </w:p>
    <w:p>
      <w:pPr>
        <w:pStyle w:val="ListParagraph"/>
        <w:numPr>
          <w:ilvl w:val="0"/>
          <w:numId w:val="2"/>
        </w:numPr>
        <w:spacing w:after="90" w:line="270"/>
      </w:pPr>
      <w:r>
        <w:rPr>
          <w:sz w:val="21"/>
          <w:szCs w:val="21"/>
        </w:rPr>
        <w:t xml:space="preserve">Personalized bulk client follow-up.</w:t>
      </w:r>
    </w:p>
    <w:p>
      <w:pPr>
        <w:pStyle w:val="ListParagraph"/>
        <w:numPr>
          <w:ilvl w:val="0"/>
          <w:numId w:val="2"/>
        </w:numPr>
        <w:spacing w:after="90" w:line="270"/>
      </w:pPr>
      <w:r>
        <w:rPr>
          <w:sz w:val="21"/>
          <w:szCs w:val="21"/>
        </w:rPr>
        <w:t xml:space="preserve">Communication and document history in the relevant client/matter profile.</w:t>
      </w:r>
    </w:p>
    <w:p>
      <w:pPr>
        <w:pStyle w:val="ListParagraph"/>
        <w:numPr>
          <w:ilvl w:val="0"/>
          <w:numId w:val="2"/>
        </w:numPr>
        <w:spacing w:after="90" w:line="270"/>
      </w:pPr>
      <w:r>
        <w:rPr>
          <w:sz w:val="21"/>
          <w:szCs w:val="21"/>
        </w:rPr>
        <w:t xml:space="preserve">Extremely fast dashboards, search and operational access.</w:t>
      </w:r>
    </w:p>
    <w:p>
      <w:pPr>
        <w:pStyle w:val="ListParagraph"/>
        <w:numPr>
          <w:ilvl w:val="0"/>
          <w:numId w:val="2"/>
        </w:numPr>
        <w:spacing w:after="90" w:line="270"/>
      </w:pPr>
      <w:r>
        <w:rPr>
          <w:sz w:val="21"/>
          <w:szCs w:val="21"/>
        </w:rPr>
        <w:t xml:space="preserve">Long-term support for AI, OCR and integrations.</w:t>
      </w:r>
    </w:p>
    <w:p>
      <w:pPr>
        <w:pStyle w:val="ListParagraph"/>
        <w:numPr>
          <w:ilvl w:val="0"/>
          <w:numId w:val="2"/>
        </w:numPr>
        <w:spacing w:after="90" w:line="270"/>
      </w:pPr>
      <w:r>
        <w:rPr>
          <w:sz w:val="21"/>
          <w:szCs w:val="21"/>
        </w:rPr>
        <w:t xml:space="preserve">Strict per-firm data isolation, enforced in depth rather than by convention alone.</w:t>
      </w:r>
    </w:p>
    <w:p>
      <w:pPr>
        <w:pStyle w:val="Heading1"/>
        <w:pBdr>
          <w:bottom w:val="single" w:color="1F3864" w:sz="6" w:space="4"/>
        </w:pBdr>
        <w:spacing w:after="160" w:before="380"/>
      </w:pPr>
      <w:r>
        <w:rPr>
          <w:b/>
          <w:bCs/>
          <w:color w:val="1F3864"/>
          <w:sz w:val="27"/>
          <w:szCs w:val="27"/>
        </w:rPr>
        <w:t xml:space="preserve">2.  Core Product Modules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08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19"/>
                <w:szCs w:val="19"/>
              </w:rPr>
              <w:t xml:space="preserve">Module</w:t>
            </w:r>
          </w:p>
        </w:tc>
        <w:tc>
          <w:tcPr>
            <w:tcW w:type="dxa" w:w="708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19"/>
                <w:szCs w:val="19"/>
              </w:rPr>
              <w:t xml:space="preserve">Primary Purpose</w:t>
            </w:r>
          </w:p>
        </w:tc>
      </w:tr>
      <w:tr>
        <w:tc>
          <w:tcPr>
            <w:tcW w:type="dxa" w:w="3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Dashboard</w:t>
            </w:r>
          </w:p>
        </w:tc>
        <w:tc>
          <w:tcPr>
            <w:tcW w:type="dxa" w:w="70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Unified operational view of deadlines, tasks, pending compliance, documents, notices, workload and finance.</w:t>
            </w:r>
          </w:p>
        </w:tc>
      </w:tr>
      <w:tr>
        <w:tc>
          <w:tcPr>
            <w:tcW w:type="dxa" w:w="30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Client Management</w:t>
            </w:r>
          </w:p>
        </w:tc>
        <w:tc>
          <w:tcPr>
            <w:tcW w:type="dxa" w:w="70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Complete client profile and relationship hub.</w:t>
            </w:r>
          </w:p>
        </w:tc>
      </w:tr>
      <w:tr>
        <w:tc>
          <w:tcPr>
            <w:tcW w:type="dxa" w:w="3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Matter &amp; Service Management</w:t>
            </w:r>
          </w:p>
        </w:tc>
        <w:tc>
          <w:tcPr>
            <w:tcW w:type="dxa" w:w="70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Central work unit for engagements and service delivery.</w:t>
            </w:r>
          </w:p>
        </w:tc>
      </w:tr>
      <w:tr>
        <w:tc>
          <w:tcPr>
            <w:tcW w:type="dxa" w:w="30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Compliance Management</w:t>
            </w:r>
          </w:p>
        </w:tc>
        <w:tc>
          <w:tcPr>
            <w:tcW w:type="dxa" w:w="70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ITR, GST, TDS, MCA/ROC and other configured compliance workflows.</w:t>
            </w:r>
          </w:p>
        </w:tc>
      </w:tr>
      <w:tr>
        <w:tc>
          <w:tcPr>
            <w:tcW w:type="dxa" w:w="3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Task &amp; Workflow Management</w:t>
            </w:r>
          </w:p>
        </w:tc>
        <w:tc>
          <w:tcPr>
            <w:tcW w:type="dxa" w:w="70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Assignments, checklists, dependencies, recurring tasks, reviews and approvals.</w:t>
            </w:r>
          </w:p>
        </w:tc>
      </w:tr>
      <w:tr>
        <w:tc>
          <w:tcPr>
            <w:tcW w:type="dxa" w:w="30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Communication Hub</w:t>
            </w:r>
          </w:p>
        </w:tc>
        <w:tc>
          <w:tcPr>
            <w:tcW w:type="dxa" w:w="70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Email, WhatsApp and SMS communication, conversations and notification history.</w:t>
            </w:r>
          </w:p>
        </w:tc>
      </w:tr>
      <w:tr>
        <w:tc>
          <w:tcPr>
            <w:tcW w:type="dxa" w:w="3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Document Management</w:t>
            </w:r>
          </w:p>
        </w:tc>
        <w:tc>
          <w:tcPr>
            <w:tcW w:type="dxa" w:w="70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Secure storage, client/matter association, processing, OCR and search.</w:t>
            </w:r>
          </w:p>
        </w:tc>
      </w:tr>
      <w:tr>
        <w:tc>
          <w:tcPr>
            <w:tcW w:type="dxa" w:w="30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Notices Management</w:t>
            </w:r>
          </w:p>
        </w:tc>
        <w:tc>
          <w:tcPr>
            <w:tcW w:type="dxa" w:w="70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Notice tracking, deadlines, assignments, responses and closure.</w:t>
            </w:r>
          </w:p>
        </w:tc>
      </w:tr>
      <w:tr>
        <w:tc>
          <w:tcPr>
            <w:tcW w:type="dxa" w:w="3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Audit Workspace</w:t>
            </w:r>
          </w:p>
        </w:tc>
        <w:tc>
          <w:tcPr>
            <w:tcW w:type="dxa" w:w="70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Audit engagements, workpapers, procedures, findings and sign-offs.</w:t>
            </w:r>
          </w:p>
        </w:tc>
      </w:tr>
      <w:tr>
        <w:tc>
          <w:tcPr>
            <w:tcW w:type="dxa" w:w="30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Billing &amp; Finance</w:t>
            </w:r>
          </w:p>
        </w:tc>
        <w:tc>
          <w:tcPr>
            <w:tcW w:type="dxa" w:w="70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Time tracking, invoices, payments, expenses and profitability.</w:t>
            </w:r>
          </w:p>
        </w:tc>
      </w:tr>
      <w:tr>
        <w:tc>
          <w:tcPr>
            <w:tcW w:type="dxa" w:w="3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Firm Operations</w:t>
            </w:r>
          </w:p>
        </w:tc>
        <w:tc>
          <w:tcPr>
            <w:tcW w:type="dxa" w:w="70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Attendance, leave, workload, capacity and internal administration.</w:t>
            </w:r>
          </w:p>
        </w:tc>
      </w:tr>
      <w:tr>
        <w:tc>
          <w:tcPr>
            <w:tcW w:type="dxa" w:w="30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Registers &amp; Credentials</w:t>
            </w:r>
          </w:p>
        </w:tc>
        <w:tc>
          <w:tcPr>
            <w:tcW w:type="dxa" w:w="70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DSC metadata, UDIN records, registrations, renewals and controlled credential metadata.</w:t>
            </w:r>
          </w:p>
        </w:tc>
      </w:tr>
      <w:tr>
        <w:tc>
          <w:tcPr>
            <w:tcW w:type="dxa" w:w="3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Reporting &amp; Analytics</w:t>
            </w:r>
          </w:p>
        </w:tc>
        <w:tc>
          <w:tcPr>
            <w:tcW w:type="dxa" w:w="70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Practice health, productivity, compliance and operational reports.</w:t>
            </w:r>
          </w:p>
        </w:tc>
      </w:tr>
    </w:tbl>
    <w:p>
      <w:pPr>
        <w:pStyle w:val="Heading1"/>
        <w:pBdr>
          <w:bottom w:val="single" w:color="1F3864" w:sz="6" w:space="4"/>
        </w:pBdr>
        <w:spacing w:after="160" w:before="380"/>
      </w:pPr>
      <w:r>
        <w:rPr>
          <w:b/>
          <w:bCs/>
          <w:color w:val="1F3864"/>
          <w:sz w:val="27"/>
          <w:szCs w:val="27"/>
        </w:rPr>
        <w:t xml:space="preserve">3.  Enhanced Compliance Monitoring</w:t>
      </w:r>
    </w:p>
    <w:p>
      <w:pPr>
        <w:spacing w:after="140" w:line="276"/>
        <w:jc w:val="both"/>
      </w:pPr>
      <w:r>
        <w:rPr>
          <w:sz w:val="21"/>
          <w:szCs w:val="21"/>
        </w:rPr>
        <w:t xml:space="preserve">All compliance types — ITR, GST, TDS and MCA/ROC — are monitored through a single configurable Compliance Type engine: applicability rules, periods and due dates are defined once per compliance type rather than hardcoded per module. ITR and GST are detailed in Sections 3.1–3.2 as reference configurations of this engine; TDS and MCA/ROC (Sections 3.3–3.4) follow the identical pattern.</w:t>
      </w:r>
    </w:p>
    <w:p>
      <w:pPr>
        <w:pStyle w:val="Heading2"/>
        <w:spacing w:after="100" w:before="240"/>
      </w:pPr>
      <w:r>
        <w:rPr>
          <w:b/>
          <w:bCs/>
          <w:color w:val="2E5395"/>
          <w:sz w:val="23"/>
          <w:szCs w:val="23"/>
        </w:rPr>
        <w:t xml:space="preserve">3.1  ITR Non-Filer Identification</w:t>
      </w:r>
    </w:p>
    <w:p>
      <w:pPr>
        <w:spacing w:after="140" w:line="276"/>
        <w:jc w:val="both"/>
      </w:pPr>
      <w:r>
        <w:rPr>
          <w:sz w:val="21"/>
          <w:szCs w:val="21"/>
        </w:rPr>
        <w:t xml:space="preserve">Authorized CA users can identify clients whose ITR for a selected period has not been marked as filed or completed in CA Nexus.</w:t>
      </w:r>
    </w:p>
    <w:p>
      <w:pPr>
        <w:pStyle w:val="ListParagraph"/>
        <w:numPr>
          <w:ilvl w:val="0"/>
          <w:numId w:val="2"/>
        </w:numPr>
        <w:spacing w:after="90" w:line="270"/>
      </w:pPr>
      <w:r>
        <w:rPr>
          <w:sz w:val="21"/>
          <w:szCs w:val="21"/>
        </w:rPr>
        <w:t xml:space="preserve">Filter by firm, client category, assigned staff, service status and financial year.</w:t>
      </w:r>
    </w:p>
    <w:p>
      <w:pPr>
        <w:pStyle w:val="ListParagraph"/>
        <w:numPr>
          <w:ilvl w:val="0"/>
          <w:numId w:val="2"/>
        </w:numPr>
        <w:spacing w:after="90" w:line="270"/>
      </w:pPr>
      <w:r>
        <w:rPr>
          <w:sz w:val="21"/>
          <w:szCs w:val="21"/>
        </w:rPr>
        <w:t xml:space="preserve">Display counts and actionable client lists.</w:t>
      </w:r>
    </w:p>
    <w:p>
      <w:pPr>
        <w:pStyle w:val="ListParagraph"/>
        <w:numPr>
          <w:ilvl w:val="0"/>
          <w:numId w:val="2"/>
        </w:numPr>
        <w:spacing w:after="90" w:line="270"/>
      </w:pPr>
      <w:r>
        <w:rPr>
          <w:sz w:val="21"/>
          <w:szCs w:val="21"/>
        </w:rPr>
        <w:t xml:space="preserve">Bulk-select clients.</w:t>
      </w:r>
    </w:p>
    <w:p>
      <w:pPr>
        <w:pStyle w:val="ListParagraph"/>
        <w:numPr>
          <w:ilvl w:val="0"/>
          <w:numId w:val="2"/>
        </w:numPr>
        <w:spacing w:after="90" w:line="270"/>
      </w:pPr>
      <w:r>
        <w:rPr>
          <w:sz w:val="21"/>
          <w:szCs w:val="21"/>
        </w:rPr>
        <w:t xml:space="preserve">Create personalized campaigns using client and compliance variables.</w:t>
      </w:r>
    </w:p>
    <w:p>
      <w:pPr>
        <w:pStyle w:val="ListParagraph"/>
        <w:numPr>
          <w:ilvl w:val="0"/>
          <w:numId w:val="2"/>
        </w:numPr>
        <w:spacing w:after="90" w:line="270"/>
      </w:pPr>
      <w:r>
        <w:rPr>
          <w:sz w:val="21"/>
          <w:szCs w:val="21"/>
        </w:rPr>
        <w:t xml:space="preserve">Send Email, WhatsApp and SMS reminders.</w:t>
      </w:r>
    </w:p>
    <w:p>
      <w:pPr>
        <w:pStyle w:val="ListParagraph"/>
        <w:numPr>
          <w:ilvl w:val="0"/>
          <w:numId w:val="2"/>
        </w:numPr>
        <w:spacing w:after="90" w:line="270"/>
      </w:pPr>
      <w:r>
        <w:rPr>
          <w:sz w:val="21"/>
          <w:szCs w:val="21"/>
        </w:rPr>
        <w:t xml:space="preserve">Track campaign, message and delivery status.</w:t>
      </w:r>
    </w:p>
    <w:p>
      <w:pPr>
        <w:pStyle w:val="ListParagraph"/>
        <w:numPr>
          <w:ilvl w:val="0"/>
          <w:numId w:val="2"/>
        </w:numPr>
        <w:spacing w:after="90" w:line="270"/>
      </w:pPr>
      <w:r>
        <w:rPr>
          <w:sz w:val="21"/>
          <w:szCs w:val="21"/>
        </w:rPr>
        <w:t xml:space="preserve">Support follow-ups and escalation workflows.</w:t>
      </w:r>
    </w:p>
    <w:p>
      <w:pPr>
        <w:pStyle w:val="Heading2"/>
        <w:spacing w:after="100" w:before="240"/>
      </w:pPr>
      <w:r>
        <w:rPr>
          <w:b/>
          <w:bCs/>
          <w:color w:val="2E5395"/>
          <w:sz w:val="23"/>
          <w:szCs w:val="23"/>
        </w:rPr>
        <w:t xml:space="preserve">3.2  GST Frequency &amp; Filing Monitoring</w:t>
      </w:r>
    </w:p>
    <w:p>
      <w:pPr>
        <w:pStyle w:val="ListParagraph"/>
        <w:numPr>
          <w:ilvl w:val="0"/>
          <w:numId w:val="2"/>
        </w:numPr>
        <w:spacing w:after="90" w:line="270"/>
      </w:pPr>
      <w:r>
        <w:rPr>
          <w:sz w:val="21"/>
          <w:szCs w:val="21"/>
        </w:rPr>
        <w:t xml:space="preserve">Annual-based clients and annual compliance requirements.</w:t>
      </w:r>
    </w:p>
    <w:p>
      <w:pPr>
        <w:pStyle w:val="ListParagraph"/>
        <w:numPr>
          <w:ilvl w:val="0"/>
          <w:numId w:val="2"/>
        </w:numPr>
        <w:spacing w:after="90" w:line="270"/>
      </w:pPr>
      <w:r>
        <w:rPr>
          <w:sz w:val="21"/>
          <w:szCs w:val="21"/>
        </w:rPr>
        <w:t xml:space="preserve">Quarterly filing clients.</w:t>
      </w:r>
    </w:p>
    <w:p>
      <w:pPr>
        <w:pStyle w:val="ListParagraph"/>
        <w:numPr>
          <w:ilvl w:val="0"/>
          <w:numId w:val="2"/>
        </w:numPr>
        <w:spacing w:after="90" w:line="270"/>
      </w:pPr>
      <w:r>
        <w:rPr>
          <w:sz w:val="21"/>
          <w:szCs w:val="21"/>
        </w:rPr>
        <w:t xml:space="preserve">Monthly filing clients.</w:t>
      </w:r>
    </w:p>
    <w:p>
      <w:pPr>
        <w:pStyle w:val="ListParagraph"/>
        <w:numPr>
          <w:ilvl w:val="0"/>
          <w:numId w:val="2"/>
        </w:numPr>
        <w:spacing w:after="90" w:line="270"/>
      </w:pPr>
      <w:r>
        <w:rPr>
          <w:sz w:val="21"/>
          <w:szCs w:val="21"/>
        </w:rPr>
        <w:t xml:space="preserve">Return-period and due-date tracking.</w:t>
      </w:r>
    </w:p>
    <w:p>
      <w:pPr>
        <w:pStyle w:val="ListParagraph"/>
        <w:numPr>
          <w:ilvl w:val="0"/>
          <w:numId w:val="2"/>
        </w:numPr>
        <w:spacing w:after="90" w:line="270"/>
      </w:pPr>
      <w:r>
        <w:rPr>
          <w:sz w:val="21"/>
          <w:szCs w:val="21"/>
        </w:rPr>
        <w:t xml:space="preserve">Missing invoice/document identification.</w:t>
      </w:r>
    </w:p>
    <w:p>
      <w:pPr>
        <w:pStyle w:val="ListParagraph"/>
        <w:numPr>
          <w:ilvl w:val="0"/>
          <w:numId w:val="2"/>
        </w:numPr>
        <w:spacing w:after="90" w:line="270"/>
      </w:pPr>
      <w:r>
        <w:rPr>
          <w:sz w:val="21"/>
          <w:szCs w:val="21"/>
        </w:rPr>
        <w:t xml:space="preserve">Bulk selection by frequency, period and filing status.</w:t>
      </w:r>
    </w:p>
    <w:p>
      <w:pPr>
        <w:pStyle w:val="ListParagraph"/>
        <w:numPr>
          <w:ilvl w:val="0"/>
          <w:numId w:val="2"/>
        </w:numPr>
        <w:spacing w:after="90" w:line="270"/>
      </w:pPr>
      <w:r>
        <w:rPr>
          <w:sz w:val="21"/>
          <w:szCs w:val="21"/>
        </w:rPr>
        <w:t xml:space="preserve">Personalized invoice/document reminders.</w:t>
      </w:r>
    </w:p>
    <w:p>
      <w:pPr>
        <w:pStyle w:val="ListParagraph"/>
        <w:numPr>
          <w:ilvl w:val="0"/>
          <w:numId w:val="2"/>
        </w:numPr>
        <w:spacing w:after="90" w:line="270"/>
      </w:pPr>
      <w:r>
        <w:rPr>
          <w:sz w:val="21"/>
          <w:szCs w:val="21"/>
        </w:rPr>
        <w:t xml:space="preserve">Automated follow-up based on configurable deadlines.</w:t>
      </w:r>
    </w:p>
    <w:p>
      <w:pPr>
        <w:pStyle w:val="Heading2"/>
        <w:spacing w:after="100" w:before="240"/>
      </w:pPr>
      <w:r>
        <w:rPr>
          <w:b/>
          <w:bCs/>
          <w:color w:val="2E5395"/>
          <w:sz w:val="23"/>
          <w:szCs w:val="23"/>
        </w:rPr>
        <w:t xml:space="preserve">3.3  TDS Filing Monitoring</w:t>
      </w:r>
    </w:p>
    <w:p>
      <w:pPr>
        <w:pStyle w:val="ListParagraph"/>
        <w:numPr>
          <w:ilvl w:val="0"/>
          <w:numId w:val="2"/>
        </w:numPr>
        <w:spacing w:after="90" w:line="270"/>
      </w:pPr>
      <w:r>
        <w:rPr>
          <w:sz w:val="21"/>
          <w:szCs w:val="21"/>
        </w:rPr>
        <w:t xml:space="preserve">Quarterly return tracking (24Q salary TDS, 26Q non-salary domestic, 27Q non-resident payments).</w:t>
      </w:r>
    </w:p>
    <w:p>
      <w:pPr>
        <w:pStyle w:val="ListParagraph"/>
        <w:numPr>
          <w:ilvl w:val="0"/>
          <w:numId w:val="2"/>
        </w:numPr>
        <w:spacing w:after="90" w:line="270"/>
      </w:pPr>
      <w:r>
        <w:rPr>
          <w:sz w:val="21"/>
          <w:szCs w:val="21"/>
        </w:rPr>
        <w:t xml:space="preserve">Return-period and due-date tracking, including late-fee exposure under Section 234E.</w:t>
      </w:r>
    </w:p>
    <w:p>
      <w:pPr>
        <w:pStyle w:val="ListParagraph"/>
        <w:numPr>
          <w:ilvl w:val="0"/>
          <w:numId w:val="2"/>
        </w:numPr>
        <w:spacing w:after="90" w:line="270"/>
      </w:pPr>
      <w:r>
        <w:rPr>
          <w:sz w:val="21"/>
          <w:szCs w:val="21"/>
        </w:rPr>
        <w:t xml:space="preserve">Missing-challan and missing-deductee-detail identification.</w:t>
      </w:r>
    </w:p>
    <w:p>
      <w:pPr>
        <w:pStyle w:val="ListParagraph"/>
        <w:numPr>
          <w:ilvl w:val="0"/>
          <w:numId w:val="2"/>
        </w:numPr>
        <w:spacing w:after="90" w:line="270"/>
      </w:pPr>
      <w:r>
        <w:rPr>
          <w:sz w:val="21"/>
          <w:szCs w:val="21"/>
        </w:rPr>
        <w:t xml:space="preserve">Bulk selection by return type, quarter and filing status.</w:t>
      </w:r>
    </w:p>
    <w:p>
      <w:pPr>
        <w:pStyle w:val="ListParagraph"/>
        <w:numPr>
          <w:ilvl w:val="0"/>
          <w:numId w:val="2"/>
        </w:numPr>
        <w:spacing w:after="90" w:line="270"/>
      </w:pPr>
      <w:r>
        <w:rPr>
          <w:sz w:val="21"/>
          <w:szCs w:val="21"/>
        </w:rPr>
        <w:t xml:space="preserve">Personalized reminders and escalation, using the same campaign and workflow tooling as Sections 3.1–3.2.</w:t>
      </w:r>
    </w:p>
    <w:p>
      <w:pPr>
        <w:pStyle w:val="Heading2"/>
        <w:spacing w:after="100" w:before="240"/>
      </w:pPr>
      <w:r>
        <w:rPr>
          <w:b/>
          <w:bCs/>
          <w:color w:val="2E5395"/>
          <w:sz w:val="23"/>
          <w:szCs w:val="23"/>
        </w:rPr>
        <w:t xml:space="preserve">3.4  MCA/ROC Filing Monitoring</w:t>
      </w:r>
    </w:p>
    <w:p>
      <w:pPr>
        <w:pStyle w:val="ListParagraph"/>
        <w:numPr>
          <w:ilvl w:val="0"/>
          <w:numId w:val="2"/>
        </w:numPr>
        <w:spacing w:after="90" w:line="270"/>
      </w:pPr>
      <w:r>
        <w:rPr>
          <w:sz w:val="21"/>
          <w:szCs w:val="21"/>
        </w:rPr>
        <w:t xml:space="preserve">Annual filing tracking (AOC-4, MGT-7, ADT-1, DPT-3 and other configured ROC forms).</w:t>
      </w:r>
    </w:p>
    <w:p>
      <w:pPr>
        <w:pStyle w:val="ListParagraph"/>
        <w:numPr>
          <w:ilvl w:val="0"/>
          <w:numId w:val="2"/>
        </w:numPr>
        <w:spacing w:after="90" w:line="270"/>
      </w:pPr>
      <w:r>
        <w:rPr>
          <w:sz w:val="21"/>
          <w:szCs w:val="21"/>
        </w:rPr>
        <w:t xml:space="preserve">Company-wise due-date tracking tied to financial year-end and AGM date.</w:t>
      </w:r>
    </w:p>
    <w:p>
      <w:pPr>
        <w:pStyle w:val="ListParagraph"/>
        <w:numPr>
          <w:ilvl w:val="0"/>
          <w:numId w:val="2"/>
        </w:numPr>
        <w:spacing w:after="90" w:line="270"/>
      </w:pPr>
      <w:r>
        <w:rPr>
          <w:sz w:val="21"/>
          <w:szCs w:val="21"/>
        </w:rPr>
        <w:t xml:space="preserve">Bulk selection by form type, filing status and assigned staff.</w:t>
      </w:r>
    </w:p>
    <w:p>
      <w:pPr>
        <w:pStyle w:val="ListParagraph"/>
        <w:numPr>
          <w:ilvl w:val="0"/>
          <w:numId w:val="2"/>
        </w:numPr>
        <w:spacing w:after="90" w:line="270"/>
      </w:pPr>
      <w:r>
        <w:rPr>
          <w:sz w:val="21"/>
          <w:szCs w:val="21"/>
        </w:rPr>
        <w:t xml:space="preserve">Personalized reminders and escalation, using the same campaign and workflow tooling as Sections 3.1–3.2.</w:t>
      </w:r>
    </w:p>
    <w:p>
      <w:pPr>
        <w:pStyle w:val="Heading2"/>
        <w:spacing w:after="100" w:before="240"/>
      </w:pPr>
      <w:r>
        <w:rPr>
          <w:b/>
          <w:bCs/>
          <w:color w:val="2E5395"/>
          <w:sz w:val="23"/>
          <w:szCs w:val="23"/>
        </w:rPr>
        <w:t xml:space="preserve">3.5  Bulk Compliance-Period Due-Date Override</w:t>
      </w:r>
    </w:p>
    <w:p>
      <w:pPr>
        <w:pStyle w:val="ListParagraph"/>
        <w:numPr>
          <w:ilvl w:val="0"/>
          <w:numId w:val="2"/>
        </w:numPr>
        <w:spacing w:after="90" w:line="270"/>
      </w:pPr>
      <w:r>
        <w:rPr>
          <w:sz w:val="21"/>
          <w:szCs w:val="21"/>
        </w:rPr>
        <w:t xml:space="preserve">Government-notified due-date extensions (CBDT / GST Council circulars) are applied at the compliance-period level, not per client.</w:t>
      </w:r>
    </w:p>
    <w:p>
      <w:pPr>
        <w:pStyle w:val="ListParagraph"/>
        <w:numPr>
          <w:ilvl w:val="0"/>
          <w:numId w:val="2"/>
        </w:numPr>
        <w:spacing w:after="90" w:line="270"/>
      </w:pPr>
      <w:r>
        <w:rPr>
          <w:sz w:val="21"/>
          <w:szCs w:val="21"/>
        </w:rPr>
        <w:t xml:space="preserve">A single authorized action updates the due date for every client attached to that compliance period, with the change reflected immediately in dashboards, reminders and escalation timers.</w:t>
      </w:r>
    </w:p>
    <w:p>
      <w:pPr>
        <w:pStyle w:val="ListParagraph"/>
        <w:numPr>
          <w:ilvl w:val="0"/>
          <w:numId w:val="2"/>
        </w:numPr>
        <w:spacing w:after="90" w:line="270"/>
      </w:pPr>
      <w:r>
        <w:rPr>
          <w:sz w:val="21"/>
          <w:szCs w:val="21"/>
        </w:rPr>
        <w:t xml:space="preserve">Full audit trail of who changed a due date, when, and the previous value.</w:t>
      </w:r>
    </w:p>
    <w:p>
      <w:pPr>
        <w:pStyle w:val="Heading1"/>
        <w:pBdr>
          <w:bottom w:val="single" w:color="1F3864" w:sz="6" w:space="4"/>
        </w:pBdr>
        <w:spacing w:after="160" w:before="380"/>
      </w:pPr>
      <w:r>
        <w:rPr>
          <w:b/>
          <w:bCs/>
          <w:color w:val="1F3864"/>
          <w:sz w:val="27"/>
          <w:szCs w:val="27"/>
        </w:rPr>
        <w:t xml:space="preserve">4.  Unified Communication Hub</w:t>
      </w:r>
    </w:p>
    <w:p>
      <w:pPr>
        <w:spacing w:after="140" w:line="276"/>
        <w:jc w:val="both"/>
      </w:pPr>
      <w:r>
        <w:rPr>
          <w:sz w:val="21"/>
          <w:szCs w:val="21"/>
        </w:rPr>
        <w:t xml:space="preserve">Communication is a first-class CA Nexus module, not only a notification utility.</w:t>
      </w:r>
    </w:p>
    <w:p>
      <w:pPr>
        <w:pStyle w:val="ListParagraph"/>
        <w:numPr>
          <w:ilvl w:val="0"/>
          <w:numId w:val="2"/>
        </w:numPr>
        <w:spacing w:after="90" w:line="270"/>
      </w:pPr>
      <w:r>
        <w:rPr>
          <w:sz w:val="21"/>
          <w:szCs w:val="21"/>
        </w:rPr>
        <w:t xml:space="preserve">Email, WhatsApp and SMS.</w:t>
      </w:r>
    </w:p>
    <w:p>
      <w:pPr>
        <w:pStyle w:val="ListParagraph"/>
        <w:numPr>
          <w:ilvl w:val="0"/>
          <w:numId w:val="2"/>
        </w:numPr>
        <w:spacing w:after="90" w:line="270"/>
      </w:pPr>
      <w:r>
        <w:rPr>
          <w:sz w:val="21"/>
          <w:szCs w:val="21"/>
        </w:rPr>
        <w:t xml:space="preserve">Personalized bulk campaigns with variables and templates.</w:t>
      </w:r>
    </w:p>
    <w:p>
      <w:pPr>
        <w:pStyle w:val="ListParagraph"/>
        <w:numPr>
          <w:ilvl w:val="0"/>
          <w:numId w:val="2"/>
        </w:numPr>
        <w:spacing w:after="90" w:line="270"/>
      </w:pPr>
      <w:r>
        <w:rPr>
          <w:sz w:val="21"/>
          <w:szCs w:val="21"/>
        </w:rPr>
        <w:t xml:space="preserve">Individual client conversations associated with clients and matters.</w:t>
      </w:r>
    </w:p>
    <w:p>
      <w:pPr>
        <w:pStyle w:val="ListParagraph"/>
        <w:numPr>
          <w:ilvl w:val="0"/>
          <w:numId w:val="2"/>
        </w:numPr>
        <w:spacing w:after="90" w:line="270"/>
      </w:pPr>
      <w:r>
        <w:rPr>
          <w:sz w:val="21"/>
          <w:szCs w:val="21"/>
        </w:rPr>
        <w:t xml:space="preserve">Thread/conversation views where channel capabilities permit.</w:t>
      </w:r>
    </w:p>
    <w:p>
      <w:pPr>
        <w:pStyle w:val="ListParagraph"/>
        <w:numPr>
          <w:ilvl w:val="0"/>
          <w:numId w:val="2"/>
        </w:numPr>
        <w:spacing w:after="90" w:line="270"/>
      </w:pPr>
      <w:r>
        <w:rPr>
          <w:sz w:val="21"/>
          <w:szCs w:val="21"/>
        </w:rPr>
        <w:t xml:space="preserve">Inbound and outbound history.</w:t>
      </w:r>
    </w:p>
    <w:p>
      <w:pPr>
        <w:pStyle w:val="ListParagraph"/>
        <w:numPr>
          <w:ilvl w:val="0"/>
          <w:numId w:val="2"/>
        </w:numPr>
        <w:spacing w:after="90" w:line="270"/>
      </w:pPr>
      <w:r>
        <w:rPr>
          <w:sz w:val="21"/>
          <w:szCs w:val="21"/>
        </w:rPr>
        <w:t xml:space="preserve">Delivery, failure and processing status.</w:t>
      </w:r>
    </w:p>
    <w:p>
      <w:pPr>
        <w:pStyle w:val="ListParagraph"/>
        <w:numPr>
          <w:ilvl w:val="0"/>
          <w:numId w:val="2"/>
        </w:numPr>
        <w:spacing w:after="90" w:line="270"/>
      </w:pPr>
      <w:r>
        <w:rPr>
          <w:sz w:val="21"/>
          <w:szCs w:val="21"/>
        </w:rPr>
        <w:t xml:space="preserve">Internal notes and context.</w:t>
      </w:r>
    </w:p>
    <w:p>
      <w:pPr>
        <w:pStyle w:val="ListParagraph"/>
        <w:numPr>
          <w:ilvl w:val="0"/>
          <w:numId w:val="2"/>
        </w:numPr>
        <w:spacing w:after="90" w:line="270"/>
      </w:pPr>
      <w:r>
        <w:rPr>
          <w:sz w:val="21"/>
          <w:szCs w:val="21"/>
        </w:rPr>
        <w:t xml:space="preserve">Communication-to-task conversion.</w:t>
      </w:r>
    </w:p>
    <w:p>
      <w:pPr>
        <w:pStyle w:val="ListParagraph"/>
        <w:numPr>
          <w:ilvl w:val="0"/>
          <w:numId w:val="2"/>
        </w:numPr>
        <w:spacing w:after="90" w:line="270"/>
      </w:pPr>
      <w:r>
        <w:rPr>
          <w:sz w:val="21"/>
          <w:szCs w:val="21"/>
        </w:rPr>
        <w:t xml:space="preserve">Automated reminders and escalation.</w:t>
      </w:r>
    </w:p>
    <w:p>
      <w:pPr>
        <w:pStyle w:val="ListParagraph"/>
        <w:numPr>
          <w:ilvl w:val="0"/>
          <w:numId w:val="2"/>
        </w:numPr>
        <w:spacing w:after="90" w:line="270"/>
      </w:pPr>
      <w:r>
        <w:rPr>
          <w:sz w:val="21"/>
          <w:szCs w:val="21"/>
        </w:rPr>
        <w:t xml:space="preserve">Campaign reporting.</w:t>
      </w:r>
    </w:p>
    <w:p>
      <w:pPr>
        <w:pStyle w:val="ListParagraph"/>
        <w:numPr>
          <w:ilvl w:val="0"/>
          <w:numId w:val="2"/>
        </w:numPr>
        <w:spacing w:after="90" w:line="270"/>
      </w:pPr>
      <w:r>
        <w:rPr>
          <w:sz w:val="21"/>
          <w:szCs w:val="21"/>
        </w:rPr>
        <w:t xml:space="preserve">Per-client, per-channel consent and preference records, checked before every bulk send.</w:t>
      </w:r>
    </w:p>
    <w:p>
      <w:pPr>
        <w:pStyle w:val="ListParagraph"/>
        <w:numPr>
          <w:ilvl w:val="0"/>
          <w:numId w:val="2"/>
        </w:numPr>
        <w:spacing w:after="90" w:line="270"/>
      </w:pPr>
      <w:r>
        <w:rPr>
          <w:sz w:val="21"/>
          <w:szCs w:val="21"/>
        </w:rPr>
        <w:t xml:space="preserve">WhatsApp template approval and versioning workflow, aligned to WhatsApp Business Platform requirements for business-initiated messages.</w:t>
      </w:r>
    </w:p>
    <w:p>
      <w:pPr>
        <w:pStyle w:val="ListParagraph"/>
        <w:numPr>
          <w:ilvl w:val="0"/>
          <w:numId w:val="2"/>
        </w:numPr>
        <w:spacing w:after="90" w:line="270"/>
      </w:pPr>
      <w:r>
        <w:rPr>
          <w:sz w:val="21"/>
          <w:szCs w:val="21"/>
        </w:rPr>
        <w:t xml:space="preserve">Automatic handling of the WhatsApp 24-hour customer-service messaging window.</w:t>
      </w:r>
    </w:p>
    <w:p>
      <w:pPr>
        <w:pStyle w:val="ListParagraph"/>
        <w:numPr>
          <w:ilvl w:val="0"/>
          <w:numId w:val="2"/>
        </w:numPr>
        <w:spacing w:after="90" w:line="270"/>
      </w:pPr>
      <w:r>
        <w:rPr>
          <w:sz w:val="21"/>
          <w:szCs w:val="21"/>
        </w:rPr>
        <w:t xml:space="preserve">Suppression-list enforcement (TRAI DND registry for SMS, unsubscribes for email, opt-outs for WhatsApp) applied before every campaign send.</w:t>
      </w:r>
    </w:p>
    <w:p>
      <w:pPr>
        <w:pStyle w:val="Heading1"/>
        <w:pBdr>
          <w:bottom w:val="single" w:color="1F3864" w:sz="6" w:space="4"/>
        </w:pBdr>
        <w:spacing w:after="160" w:before="380"/>
      </w:pPr>
      <w:r>
        <w:rPr>
          <w:b/>
          <w:bCs/>
          <w:color w:val="1F3864"/>
          <w:sz w:val="27"/>
          <w:szCs w:val="27"/>
        </w:rPr>
        <w:t xml:space="preserve">5.  Client and Matter Document Capture</w:t>
      </w:r>
    </w:p>
    <w:p>
      <w:pPr>
        <w:pStyle w:val="ListParagraph"/>
        <w:numPr>
          <w:ilvl w:val="0"/>
          <w:numId w:val="2"/>
        </w:numPr>
        <w:spacing w:after="90" w:line="270"/>
      </w:pPr>
      <w:r>
        <w:rPr>
          <w:sz w:val="21"/>
          <w:szCs w:val="21"/>
        </w:rPr>
        <w:t xml:space="preserve">Incoming client attachments are linked to the relevant client.</w:t>
      </w:r>
    </w:p>
    <w:p>
      <w:pPr>
        <w:pStyle w:val="ListParagraph"/>
        <w:numPr>
          <w:ilvl w:val="0"/>
          <w:numId w:val="2"/>
        </w:numPr>
        <w:spacing w:after="90" w:line="270"/>
      </w:pPr>
      <w:r>
        <w:rPr>
          <w:sz w:val="21"/>
          <w:szCs w:val="21"/>
        </w:rPr>
        <w:t xml:space="preserve">Where identifiable, attachments are linked to the relevant matter.</w:t>
      </w:r>
    </w:p>
    <w:p>
      <w:pPr>
        <w:pStyle w:val="ListParagraph"/>
        <w:numPr>
          <w:ilvl w:val="0"/>
          <w:numId w:val="2"/>
        </w:numPr>
        <w:spacing w:after="90" w:line="270"/>
      </w:pPr>
      <w:r>
        <w:rPr>
          <w:sz w:val="21"/>
          <w:szCs w:val="21"/>
        </w:rPr>
        <w:t xml:space="preserve">Files are stored in centralized object storage.</w:t>
      </w:r>
    </w:p>
    <w:p>
      <w:pPr>
        <w:pStyle w:val="ListParagraph"/>
        <w:numPr>
          <w:ilvl w:val="0"/>
          <w:numId w:val="2"/>
        </w:numPr>
        <w:spacing w:after="90" w:line="270"/>
      </w:pPr>
      <w:r>
        <w:rPr>
          <w:sz w:val="21"/>
          <w:szCs w:val="21"/>
        </w:rPr>
        <w:t xml:space="preserve">Document metadata remains in the CA Nexus core.</w:t>
      </w:r>
    </w:p>
    <w:p>
      <w:pPr>
        <w:pStyle w:val="ListParagraph"/>
        <w:numPr>
          <w:ilvl w:val="0"/>
          <w:numId w:val="2"/>
        </w:numPr>
        <w:spacing w:after="90" w:line="270"/>
      </w:pPr>
      <w:r>
        <w:rPr>
          <w:sz w:val="21"/>
          <w:szCs w:val="21"/>
        </w:rPr>
        <w:t xml:space="preserve">Communication source, sender, received time and conversation are preserved.</w:t>
      </w:r>
    </w:p>
    <w:p>
      <w:pPr>
        <w:pStyle w:val="ListParagraph"/>
        <w:numPr>
          <w:ilvl w:val="0"/>
          <w:numId w:val="2"/>
        </w:numPr>
        <w:spacing w:after="90" w:line="270"/>
      </w:pPr>
      <w:r>
        <w:rPr>
          <w:sz w:val="21"/>
          <w:szCs w:val="21"/>
        </w:rPr>
        <w:t xml:space="preserve">Documents can enter OCR, classification and extraction pipelines.</w:t>
      </w:r>
    </w:p>
    <w:p>
      <w:pPr>
        <w:pStyle w:val="ListParagraph"/>
        <w:numPr>
          <w:ilvl w:val="0"/>
          <w:numId w:val="2"/>
        </w:numPr>
        <w:spacing w:after="90" w:line="270"/>
      </w:pPr>
      <w:r>
        <w:rPr>
          <w:sz w:val="21"/>
          <w:szCs w:val="21"/>
        </w:rPr>
        <w:t xml:space="preserve">Processed results can support search and workflows.</w:t>
      </w:r>
    </w:p>
    <w:p>
      <w:pPr>
        <w:pStyle w:val="ListParagraph"/>
        <w:numPr>
          <w:ilvl w:val="0"/>
          <w:numId w:val="2"/>
        </w:numPr>
        <w:spacing w:after="90" w:line="270"/>
      </w:pPr>
      <w:r>
        <w:rPr>
          <w:sz w:val="21"/>
          <w:szCs w:val="21"/>
        </w:rPr>
        <w:t xml:space="preserve">Client and matter profiles display related documents and communications.</w:t>
      </w:r>
    </w:p>
    <w:p>
      <w:pPr>
        <w:pStyle w:val="ListParagraph"/>
        <w:numPr>
          <w:ilvl w:val="0"/>
          <w:numId w:val="2"/>
        </w:numPr>
        <w:spacing w:after="90" w:line="270"/>
      </w:pPr>
      <w:r>
        <w:rPr>
          <w:sz w:val="21"/>
          <w:szCs w:val="21"/>
        </w:rPr>
        <w:t xml:space="preserve">Every inbound attachment is scanned for malware before storage or processing; files that fail the scan are quarantined and flagged, not silently dropped.</w:t>
      </w:r>
    </w:p>
    <w:p>
      <w:pPr>
        <w:pStyle w:val="ListParagraph"/>
        <w:numPr>
          <w:ilvl w:val="0"/>
          <w:numId w:val="2"/>
        </w:numPr>
        <w:spacing w:after="90" w:line="270"/>
      </w:pPr>
      <w:r>
        <w:rPr>
          <w:sz w:val="21"/>
          <w:szCs w:val="21"/>
        </w:rPr>
        <w:t xml:space="preserve">Re-uploaded or corrected documents are versioned, not overwritten; prior versions remain retrievable.</w:t>
      </w:r>
    </w:p>
    <w:p>
      <w:pPr>
        <w:pStyle w:val="ListParagraph"/>
        <w:numPr>
          <w:ilvl w:val="0"/>
          <w:numId w:val="2"/>
        </w:numPr>
        <w:spacing w:after="90" w:line="270"/>
      </w:pPr>
      <w:r>
        <w:rPr>
          <w:sz w:val="21"/>
          <w:szCs w:val="21"/>
        </w:rPr>
        <w:t xml:space="preserve">Configurable retention policy per document type, aligned to statutory record-keeping requirements.</w:t>
      </w:r>
    </w:p>
    <w:p>
      <w:pPr>
        <w:pStyle w:val="Heading1"/>
        <w:pBdr>
          <w:bottom w:val="single" w:color="1F3864" w:sz="6" w:space="4"/>
        </w:pBdr>
        <w:spacing w:after="160" w:before="380"/>
      </w:pPr>
      <w:r>
        <w:rPr>
          <w:b/>
          <w:bCs/>
          <w:color w:val="1F3864"/>
          <w:sz w:val="27"/>
          <w:szCs w:val="27"/>
        </w:rPr>
        <w:t xml:space="preserve">6.  Daily CA Operations Included</w:t>
      </w:r>
    </w:p>
    <w:p>
      <w:pPr>
        <w:pStyle w:val="ListParagraph"/>
        <w:numPr>
          <w:ilvl w:val="0"/>
          <w:numId w:val="2"/>
        </w:numPr>
        <w:spacing w:after="90" w:line="270"/>
      </w:pPr>
      <w:r>
        <w:rPr>
          <w:sz w:val="21"/>
          <w:szCs w:val="21"/>
        </w:rPr>
        <w:t xml:space="preserve">Practice and firm management.</w:t>
      </w:r>
    </w:p>
    <w:p>
      <w:pPr>
        <w:pStyle w:val="ListParagraph"/>
        <w:numPr>
          <w:ilvl w:val="0"/>
          <w:numId w:val="2"/>
        </w:numPr>
        <w:spacing w:after="90" w:line="270"/>
      </w:pPr>
      <w:r>
        <w:rPr>
          <w:sz w:val="21"/>
          <w:szCs w:val="21"/>
        </w:rPr>
        <w:t xml:space="preserve">Client onboarding and service configuration.</w:t>
      </w:r>
    </w:p>
    <w:p>
      <w:pPr>
        <w:pStyle w:val="ListParagraph"/>
        <w:numPr>
          <w:ilvl w:val="0"/>
          <w:numId w:val="2"/>
        </w:numPr>
        <w:spacing w:after="90" w:line="270"/>
      </w:pPr>
      <w:r>
        <w:rPr>
          <w:sz w:val="21"/>
          <w:szCs w:val="21"/>
        </w:rPr>
        <w:t xml:space="preserve">Matter and engagement management.</w:t>
      </w:r>
    </w:p>
    <w:p>
      <w:pPr>
        <w:pStyle w:val="ListParagraph"/>
        <w:numPr>
          <w:ilvl w:val="0"/>
          <w:numId w:val="2"/>
        </w:numPr>
        <w:spacing w:after="90" w:line="270"/>
      </w:pPr>
      <w:r>
        <w:rPr>
          <w:sz w:val="21"/>
          <w:szCs w:val="21"/>
        </w:rPr>
        <w:t xml:space="preserve">Task, checklist and recurring workflow management.</w:t>
      </w:r>
    </w:p>
    <w:p>
      <w:pPr>
        <w:pStyle w:val="ListParagraph"/>
        <w:numPr>
          <w:ilvl w:val="0"/>
          <w:numId w:val="2"/>
        </w:numPr>
        <w:spacing w:after="90" w:line="270"/>
      </w:pPr>
      <w:r>
        <w:rPr>
          <w:sz w:val="21"/>
          <w:szCs w:val="21"/>
        </w:rPr>
        <w:t xml:space="preserve">Work allocation, workload and capacity management.</w:t>
      </w:r>
    </w:p>
    <w:p>
      <w:pPr>
        <w:pStyle w:val="ListParagraph"/>
        <w:numPr>
          <w:ilvl w:val="0"/>
          <w:numId w:val="2"/>
        </w:numPr>
        <w:spacing w:after="90" w:line="270"/>
      </w:pPr>
      <w:r>
        <w:rPr>
          <w:sz w:val="21"/>
          <w:szCs w:val="21"/>
        </w:rPr>
        <w:t xml:space="preserve">Review, approval and rework workflows.</w:t>
      </w:r>
    </w:p>
    <w:p>
      <w:pPr>
        <w:pStyle w:val="ListParagraph"/>
        <w:numPr>
          <w:ilvl w:val="0"/>
          <w:numId w:val="2"/>
        </w:numPr>
        <w:spacing w:after="90" w:line="270"/>
      </w:pPr>
      <w:r>
        <w:rPr>
          <w:sz w:val="21"/>
          <w:szCs w:val="21"/>
        </w:rPr>
        <w:t xml:space="preserve">Notice and deadline management.</w:t>
      </w:r>
    </w:p>
    <w:p>
      <w:pPr>
        <w:pStyle w:val="ListParagraph"/>
        <w:numPr>
          <w:ilvl w:val="0"/>
          <w:numId w:val="2"/>
        </w:numPr>
        <w:spacing w:after="90" w:line="270"/>
      </w:pPr>
      <w:r>
        <w:rPr>
          <w:sz w:val="21"/>
          <w:szCs w:val="21"/>
        </w:rPr>
        <w:t xml:space="preserve">Time tracking and billing.</w:t>
      </w:r>
    </w:p>
    <w:p>
      <w:pPr>
        <w:pStyle w:val="ListParagraph"/>
        <w:numPr>
          <w:ilvl w:val="0"/>
          <w:numId w:val="2"/>
        </w:numPr>
        <w:spacing w:after="90" w:line="270"/>
      </w:pPr>
      <w:r>
        <w:rPr>
          <w:sz w:val="21"/>
          <w:szCs w:val="21"/>
        </w:rPr>
        <w:t xml:space="preserve">Invoices, payments and expenses.</w:t>
      </w:r>
    </w:p>
    <w:p>
      <w:pPr>
        <w:pStyle w:val="ListParagraph"/>
        <w:numPr>
          <w:ilvl w:val="0"/>
          <w:numId w:val="2"/>
        </w:numPr>
        <w:spacing w:after="90" w:line="270"/>
      </w:pPr>
      <w:r>
        <w:rPr>
          <w:sz w:val="21"/>
          <w:szCs w:val="21"/>
        </w:rPr>
        <w:t xml:space="preserve">Audit engagements and workpapers.</w:t>
      </w:r>
    </w:p>
    <w:p>
      <w:pPr>
        <w:pStyle w:val="ListParagraph"/>
        <w:numPr>
          <w:ilvl w:val="0"/>
          <w:numId w:val="2"/>
        </w:numPr>
        <w:spacing w:after="90" w:line="270"/>
      </w:pPr>
      <w:r>
        <w:rPr>
          <w:sz w:val="21"/>
          <w:szCs w:val="21"/>
        </w:rPr>
        <w:t xml:space="preserve">Attendance and leave.</w:t>
      </w:r>
    </w:p>
    <w:p>
      <w:pPr>
        <w:pStyle w:val="ListParagraph"/>
        <w:numPr>
          <w:ilvl w:val="0"/>
          <w:numId w:val="2"/>
        </w:numPr>
        <w:spacing w:after="90" w:line="270"/>
      </w:pPr>
      <w:r>
        <w:rPr>
          <w:sz w:val="21"/>
          <w:szCs w:val="21"/>
        </w:rPr>
        <w:t xml:space="preserve">DSC, UDIN, registration and renewal tracking.</w:t>
      </w:r>
    </w:p>
    <w:p>
      <w:pPr>
        <w:pStyle w:val="ListParagraph"/>
        <w:numPr>
          <w:ilvl w:val="0"/>
          <w:numId w:val="2"/>
        </w:numPr>
        <w:spacing w:after="90" w:line="270"/>
      </w:pPr>
      <w:r>
        <w:rPr>
          <w:sz w:val="21"/>
          <w:szCs w:val="21"/>
        </w:rPr>
        <w:t xml:space="preserve">Centralized documents.</w:t>
      </w:r>
    </w:p>
    <w:p>
      <w:pPr>
        <w:pStyle w:val="ListParagraph"/>
        <w:numPr>
          <w:ilvl w:val="0"/>
          <w:numId w:val="2"/>
        </w:numPr>
        <w:spacing w:after="90" w:line="270"/>
      </w:pPr>
      <w:r>
        <w:rPr>
          <w:sz w:val="21"/>
          <w:szCs w:val="21"/>
        </w:rPr>
        <w:t xml:space="preserve">Client communication and document collection.</w:t>
      </w:r>
    </w:p>
    <w:p>
      <w:pPr>
        <w:pStyle w:val="ListParagraph"/>
        <w:numPr>
          <w:ilvl w:val="0"/>
          <w:numId w:val="2"/>
        </w:numPr>
        <w:spacing w:after="90" w:line="270"/>
      </w:pPr>
      <w:r>
        <w:rPr>
          <w:sz w:val="21"/>
          <w:szCs w:val="21"/>
        </w:rPr>
        <w:t xml:space="preserve">Compliance calendar and reminders.</w:t>
      </w:r>
    </w:p>
    <w:p>
      <w:pPr>
        <w:pStyle w:val="ListParagraph"/>
        <w:numPr>
          <w:ilvl w:val="0"/>
          <w:numId w:val="2"/>
        </w:numPr>
        <w:spacing w:after="90" w:line="270"/>
      </w:pPr>
      <w:r>
        <w:rPr>
          <w:sz w:val="21"/>
          <w:szCs w:val="21"/>
        </w:rPr>
        <w:t xml:space="preserve">Bulk compliance due-date revision following government notifications.</w:t>
      </w:r>
    </w:p>
    <w:p>
      <w:pPr>
        <w:pStyle w:val="ListParagraph"/>
        <w:numPr>
          <w:ilvl w:val="0"/>
          <w:numId w:val="2"/>
        </w:numPr>
        <w:spacing w:after="90" w:line="270"/>
      </w:pPr>
      <w:r>
        <w:rPr>
          <w:sz w:val="21"/>
          <w:szCs w:val="21"/>
        </w:rPr>
        <w:t xml:space="preserve">Practice productivity and profitability reporting.</w:t>
      </w:r>
    </w:p>
    <w:p>
      <w:pPr>
        <w:pStyle w:val="Heading1"/>
        <w:pBdr>
          <w:bottom w:val="single" w:color="1F3864" w:sz="6" w:space="4"/>
        </w:pBdr>
        <w:spacing w:after="160" w:before="380"/>
      </w:pPr>
      <w:r>
        <w:rPr>
          <w:b/>
          <w:bCs/>
          <w:color w:val="1F3864"/>
          <w:sz w:val="27"/>
          <w:szCs w:val="27"/>
        </w:rPr>
        <w:t xml:space="preserve">7.  Unified Workspace</w:t>
      </w:r>
    </w:p>
    <w:p>
      <w:pPr>
        <w:pStyle w:val="ListParagraph"/>
        <w:numPr>
          <w:ilvl w:val="0"/>
          <w:numId w:val="2"/>
        </w:numPr>
        <w:spacing w:after="90" w:line="270"/>
      </w:pPr>
      <w:r>
        <w:rPr>
          <w:sz w:val="21"/>
          <w:szCs w:val="21"/>
        </w:rPr>
        <w:t xml:space="preserve">Dashboard: deadlines, task inbox, pending ITR/GST, missing documents, notices, follow-ups and practice snapshot.</w:t>
      </w:r>
    </w:p>
    <w:p>
      <w:pPr>
        <w:pStyle w:val="ListParagraph"/>
        <w:numPr>
          <w:ilvl w:val="0"/>
          <w:numId w:val="2"/>
        </w:numPr>
        <w:spacing w:after="90" w:line="270"/>
      </w:pPr>
      <w:r>
        <w:rPr>
          <w:sz w:val="21"/>
          <w:szCs w:val="21"/>
        </w:rPr>
        <w:t xml:space="preserve">Client Profile: profile, contacts, services, matters, compliance history, documents, communication timeline, invoices and pending information.</w:t>
      </w:r>
    </w:p>
    <w:p>
      <w:pPr>
        <w:pStyle w:val="ListParagraph"/>
        <w:numPr>
          <w:ilvl w:val="0"/>
          <w:numId w:val="2"/>
        </w:numPr>
        <w:spacing w:after="90" w:line="270"/>
      </w:pPr>
      <w:r>
        <w:rPr>
          <w:sz w:val="21"/>
          <w:szCs w:val="21"/>
        </w:rPr>
        <w:t xml:space="preserve">Matter Workspace: overview, checklist, staff, review, time, documents, communications and notes.</w:t>
      </w:r>
    </w:p>
    <w:p>
      <w:pPr>
        <w:pStyle w:val="ListParagraph"/>
        <w:numPr>
          <w:ilvl w:val="0"/>
          <w:numId w:val="2"/>
        </w:numPr>
        <w:spacing w:after="90" w:line="270"/>
      </w:pPr>
      <w:r>
        <w:rPr>
          <w:sz w:val="21"/>
          <w:szCs w:val="21"/>
        </w:rPr>
        <w:t xml:space="preserve">Calendar: unified compliance and operational deadlines.</w:t>
      </w:r>
    </w:p>
    <w:p>
      <w:pPr>
        <w:pStyle w:val="ListParagraph"/>
        <w:numPr>
          <w:ilvl w:val="0"/>
          <w:numId w:val="2"/>
        </w:numPr>
        <w:spacing w:after="90" w:line="270"/>
      </w:pPr>
      <w:r>
        <w:rPr>
          <w:sz w:val="21"/>
          <w:szCs w:val="21"/>
        </w:rPr>
        <w:t xml:space="preserve">Documents: global repository with client/matter/type/date filtering and OCR-based search.</w:t>
      </w:r>
    </w:p>
    <w:p>
      <w:pPr>
        <w:pStyle w:val="ListParagraph"/>
        <w:numPr>
          <w:ilvl w:val="0"/>
          <w:numId w:val="2"/>
        </w:numPr>
        <w:spacing w:after="90" w:line="270"/>
      </w:pPr>
      <w:r>
        <w:rPr>
          <w:sz w:val="21"/>
          <w:szCs w:val="21"/>
        </w:rPr>
        <w:t xml:space="preserve">Reports: practice health, productivity, profitability and compliance reporting.</w:t>
      </w:r>
    </w:p>
    <w:p>
      <w:pPr>
        <w:pStyle w:val="Heading1"/>
        <w:pBdr>
          <w:bottom w:val="single" w:color="1F3864" w:sz="6" w:space="4"/>
        </w:pBdr>
        <w:spacing w:after="160" w:before="380"/>
      </w:pPr>
      <w:r>
        <w:rPr>
          <w:b/>
          <w:bCs/>
          <w:color w:val="1F3864"/>
          <w:sz w:val="27"/>
          <w:szCs w:val="27"/>
        </w:rPr>
        <w:t xml:space="preserve">8.  Hybrid High-Performance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BFBFBF" w:sz="2"/>
              <w:left w:val="single" w:color="BFBFBF" w:sz="2"/>
              <w:bottom w:val="single" w:color="BFBFBF" w:sz="2"/>
              <w:right w:val="single" w:color="BFBFBF" w:sz="2"/>
            </w:tcBorders>
            <w:shd w:fill="EEF1F6" w:val="clear"/>
            <w:tcMar>
              <w:top w:type="dxa" w:w="160"/>
              <w:left w:type="dxa" w:w="220"/>
              <w:bottom w:type="dxa" w:w="160"/>
              <w:right w:type="dxa" w:w="220"/>
            </w:tcMar>
          </w:tcPr>
          <w:p>
            <w:r>
              <w:t>CLIENT APPS</w:t>
              <w:br/>
              <w:t>Next.js Web App | Future Mobile App | Client Portal</w:t>
              <w:br/>
              <w:t>|</w:t>
              <w:br/>
              <w:t>v</w:t>
              <w:br/>
              <w:t>API Gateway / Routing Layer (rate limiting, WAF, request tracing)</w:t>
              <w:br/>
              <w:t>|</w:t>
              <w:br/>
              <w:t>v</w:t>
              <w:br/>
              <w:t>FASTAPI MODULAR CORE</w:t>
              <w:br/>
              <w:t>Transactional APIs | Business Rules | Workflows | Authorization | Multi-Tenancy</w:t>
              <w:br/>
              <w:t>|</w:t>
              <w:br/>
              <w:t>+----------------------+----------------------+</w:t>
              <w:br/>
              <w:t>v                      v</w:t>
              <w:br/>
              <w:t>Core API Services       Independent Workers / Processing Services</w:t>
              <w:br/>
              <w:t>Transactional &amp; Domain  OCR | AI | Documents | Integrations | Reporting</w:t>
              <w:br/>
              <w:t>|</w:t>
              <w:br/>
              <w:t>v</w:t>
              <w:br/>
              <w:t>Async Event / Queue Layer</w:t>
              <w:br/>
              <w:t>(Celery + Redis for task queues; Azure Service Bus for</w:t>
              <w:br/>
              <w:t>multi-consumer events)</w:t>
              <w:br/>
              <w:t>|</w:t>
              <w:br/>
              <w:t>+------+------+------+------+</w:t>
              <w:br/>
              <w:t>v      v      v      v</w:t>
              <w:br/>
              <w:t>PostgreSQL Redis MongoDB OpenSearch</w:t>
              <w:br/>
              <w:t>|</w:t>
              <w:br/>
              <w:t>Azure Blob Storage for files</w:t>
              <w:br/>
              <w:br/>
              <w:t>Observability (Azure Application Insights / centralized</w:t>
              <w:br/>
              <w:t>logging &amp; alerting) instruments every layer above.</w:t>
            </w:r>
          </w:p>
        </w:tc>
      </w:tr>
    </w:tbl>
    <w:p>
      <w:pPr>
        <w:spacing w:after="160"/>
      </w:pPr>
    </w:p>
    <w:p>
      <w:pPr>
        <w:spacing w:after="140" w:line="276"/>
        <w:jc w:val="both"/>
      </w:pPr>
      <w:r>
        <w:rPr>
          <w:sz w:val="21"/>
          <w:szCs w:val="21"/>
        </w:rPr>
        <w:t xml:space="preserve">The API Gateway layer applies rate limiting and a Web Application Firewall to all inbound traffic, and every service emits traces and logs to a shared observability stack so request paths, slow queries and background-job failures are all visible from one place.</w:t>
      </w:r>
    </w:p>
    <w:p>
      <w:pPr>
        <w:pStyle w:val="Heading1"/>
        <w:pBdr>
          <w:bottom w:val="single" w:color="1F3864" w:sz="6" w:space="4"/>
        </w:pBdr>
        <w:spacing w:after="160" w:before="380"/>
      </w:pPr>
      <w:r>
        <w:t>9. FastAPI Core Responsibilities</w:t>
      </w:r>
    </w:p>
    <w:p>
      <w:pPr>
        <w:spacing w:after="140" w:line="276"/>
        <w:jc w:val="both"/>
      </w:pPr>
      <w:r>
        <w:t>FastAPI is the transactional and business-domain core and owns the primary business rules and source-of-truth operational model. FastAPI enforces per-firm data isolation through trusted tenant context, application-level authorization, and PostgreSQL Row-Level Security as a defense-in-depth layer, so a missing tenant filter in application code cannot expose one firm's data to another.</w:t>
      </w:r>
    </w:p>
    <w:p>
      <w:pPr>
        <w:pStyle w:val="ListParagraph"/>
        <w:numPr>
          <w:ilvl w:val="0"/>
          <w:numId w:val="2"/>
        </w:numPr>
        <w:spacing w:after="90" w:line="270"/>
      </w:pPr>
      <w:r>
        <w:rPr>
          <w:sz w:val="21"/>
          <w:szCs w:val="21"/>
        </w:rPr>
        <w:t xml:space="preserve">Firm, branch, department and team management.</w:t>
      </w:r>
    </w:p>
    <w:p>
      <w:pPr>
        <w:pStyle w:val="ListParagraph"/>
        <w:numPr>
          <w:ilvl w:val="0"/>
          <w:numId w:val="2"/>
        </w:numPr>
        <w:spacing w:after="90" w:line="270"/>
      </w:pPr>
      <w:r>
        <w:rPr>
          <w:sz w:val="21"/>
          <w:szCs w:val="21"/>
        </w:rPr>
        <w:t xml:space="preserve">Users, roles, permissions and tenant-aware authorization.</w:t>
      </w:r>
    </w:p>
    <w:p>
      <w:pPr>
        <w:pStyle w:val="ListParagraph"/>
        <w:numPr>
          <w:ilvl w:val="0"/>
          <w:numId w:val="2"/>
        </w:numPr>
        <w:spacing w:after="90" w:line="270"/>
      </w:pPr>
      <w:r>
        <w:rPr>
          <w:sz w:val="21"/>
          <w:szCs w:val="21"/>
        </w:rPr>
        <w:t xml:space="preserve">Multi-tenant data isolation enforcement (tenant_id + Row-Level Security).</w:t>
      </w:r>
    </w:p>
    <w:p>
      <w:pPr>
        <w:pStyle w:val="ListParagraph"/>
        <w:numPr>
          <w:ilvl w:val="0"/>
          <w:numId w:val="2"/>
        </w:numPr>
        <w:spacing w:after="90" w:line="270"/>
      </w:pPr>
      <w:r>
        <w:rPr>
          <w:sz w:val="21"/>
          <w:szCs w:val="21"/>
        </w:rPr>
        <w:t xml:space="preserve">Clients and contacts.</w:t>
      </w:r>
    </w:p>
    <w:p>
      <w:pPr>
        <w:pStyle w:val="ListParagraph"/>
        <w:numPr>
          <w:ilvl w:val="0"/>
          <w:numId w:val="2"/>
        </w:numPr>
        <w:spacing w:after="90" w:line="270"/>
      </w:pPr>
      <w:r>
        <w:rPr>
          <w:sz w:val="21"/>
          <w:szCs w:val="21"/>
        </w:rPr>
        <w:t xml:space="preserve">Matters and engagements.</w:t>
      </w:r>
    </w:p>
    <w:p>
      <w:pPr>
        <w:pStyle w:val="ListParagraph"/>
        <w:numPr>
          <w:ilvl w:val="0"/>
          <w:numId w:val="2"/>
        </w:numPr>
        <w:spacing w:after="90" w:line="270"/>
      </w:pPr>
      <w:r>
        <w:rPr>
          <w:sz w:val="21"/>
          <w:szCs w:val="21"/>
        </w:rPr>
        <w:t xml:space="preserve">Service configuration.</w:t>
      </w:r>
    </w:p>
    <w:p>
      <w:pPr>
        <w:pStyle w:val="ListParagraph"/>
        <w:numPr>
          <w:ilvl w:val="0"/>
          <w:numId w:val="2"/>
        </w:numPr>
        <w:spacing w:after="90" w:line="270"/>
      </w:pPr>
      <w:r>
        <w:rPr>
          <w:sz w:val="21"/>
          <w:szCs w:val="21"/>
        </w:rPr>
        <w:t xml:space="preserve">ITR, GST, TDS and MCA/ROC compliance domain logic.</w:t>
      </w:r>
    </w:p>
    <w:p>
      <w:pPr>
        <w:pStyle w:val="ListParagraph"/>
        <w:numPr>
          <w:ilvl w:val="0"/>
          <w:numId w:val="2"/>
        </w:numPr>
        <w:spacing w:after="90" w:line="270"/>
      </w:pPr>
      <w:r>
        <w:rPr>
          <w:sz w:val="21"/>
          <w:szCs w:val="21"/>
        </w:rPr>
        <w:t xml:space="preserve">Compliance applicability, periods, filing status and workflow states.</w:t>
      </w:r>
    </w:p>
    <w:p>
      <w:pPr>
        <w:pStyle w:val="ListParagraph"/>
        <w:numPr>
          <w:ilvl w:val="0"/>
          <w:numId w:val="2"/>
        </w:numPr>
        <w:spacing w:after="90" w:line="270"/>
      </w:pPr>
      <w:r>
        <w:rPr>
          <w:sz w:val="21"/>
          <w:szCs w:val="21"/>
        </w:rPr>
        <w:t xml:space="preserve">Tasks, checklists, recurring tasks and dependencies.</w:t>
      </w:r>
    </w:p>
    <w:p>
      <w:pPr>
        <w:pStyle w:val="ListParagraph"/>
        <w:numPr>
          <w:ilvl w:val="0"/>
          <w:numId w:val="2"/>
        </w:numPr>
        <w:spacing w:after="90" w:line="270"/>
      </w:pPr>
      <w:r>
        <w:rPr>
          <w:sz w:val="21"/>
          <w:szCs w:val="21"/>
        </w:rPr>
        <w:t xml:space="preserve">Review, approval and rework flows.</w:t>
      </w:r>
    </w:p>
    <w:p>
      <w:pPr>
        <w:pStyle w:val="ListParagraph"/>
        <w:numPr>
          <w:ilvl w:val="0"/>
          <w:numId w:val="2"/>
        </w:numPr>
        <w:spacing w:after="90" w:line="270"/>
      </w:pPr>
      <w:r>
        <w:rPr>
          <w:sz w:val="21"/>
          <w:szCs w:val="21"/>
        </w:rPr>
        <w:t xml:space="preserve">Notices and hearings.</w:t>
      </w:r>
    </w:p>
    <w:p>
      <w:pPr>
        <w:pStyle w:val="ListParagraph"/>
        <w:numPr>
          <w:ilvl w:val="0"/>
          <w:numId w:val="2"/>
        </w:numPr>
        <w:spacing w:after="90" w:line="270"/>
      </w:pPr>
      <w:r>
        <w:rPr>
          <w:sz w:val="21"/>
          <w:szCs w:val="21"/>
        </w:rPr>
        <w:t xml:space="preserve">Billing, invoices, payments and expenses.</w:t>
      </w:r>
    </w:p>
    <w:p>
      <w:pPr>
        <w:pStyle w:val="ListParagraph"/>
        <w:numPr>
          <w:ilvl w:val="0"/>
          <w:numId w:val="2"/>
        </w:numPr>
        <w:spacing w:after="90" w:line="270"/>
      </w:pPr>
      <w:r>
        <w:rPr>
          <w:sz w:val="21"/>
          <w:szCs w:val="21"/>
        </w:rPr>
        <w:t xml:space="preserve">Audit engagement structure and workpaper metadata.</w:t>
      </w:r>
    </w:p>
    <w:p>
      <w:pPr>
        <w:pStyle w:val="ListParagraph"/>
        <w:numPr>
          <w:ilvl w:val="0"/>
          <w:numId w:val="2"/>
        </w:numPr>
        <w:spacing w:after="90" w:line="270"/>
      </w:pPr>
      <w:r>
        <w:rPr>
          <w:sz w:val="21"/>
          <w:szCs w:val="21"/>
        </w:rPr>
        <w:t xml:space="preserve">Attendance, leave, workload and capacity.</w:t>
      </w:r>
    </w:p>
    <w:p>
      <w:pPr>
        <w:pStyle w:val="ListParagraph"/>
        <w:numPr>
          <w:ilvl w:val="0"/>
          <w:numId w:val="2"/>
        </w:numPr>
        <w:spacing w:after="90" w:line="270"/>
      </w:pPr>
      <w:r>
        <w:rPr>
          <w:sz w:val="21"/>
          <w:szCs w:val="21"/>
        </w:rPr>
        <w:t xml:space="preserve">Document metadata and business relationships.</w:t>
      </w:r>
    </w:p>
    <w:p>
      <w:pPr>
        <w:pStyle w:val="ListParagraph"/>
        <w:numPr>
          <w:ilvl w:val="0"/>
          <w:numId w:val="2"/>
        </w:numPr>
        <w:spacing w:after="90" w:line="270"/>
      </w:pPr>
      <w:r>
        <w:rPr>
          <w:sz w:val="21"/>
          <w:szCs w:val="21"/>
        </w:rPr>
        <w:t xml:space="preserve">Communication business records and associations.</w:t>
      </w:r>
    </w:p>
    <w:p>
      <w:pPr>
        <w:pStyle w:val="ListParagraph"/>
        <w:numPr>
          <w:ilvl w:val="0"/>
          <w:numId w:val="2"/>
        </w:numPr>
        <w:spacing w:after="90" w:line="270"/>
      </w:pPr>
      <w:r>
        <w:rPr>
          <w:sz w:val="21"/>
          <w:szCs w:val="21"/>
        </w:rPr>
        <w:t xml:space="preserve">Calendar and deadline records.</w:t>
      </w:r>
    </w:p>
    <w:p>
      <w:pPr>
        <w:pStyle w:val="ListParagraph"/>
        <w:numPr>
          <w:ilvl w:val="0"/>
          <w:numId w:val="2"/>
        </w:numPr>
        <w:spacing w:after="90" w:line="270"/>
      </w:pPr>
      <w:r>
        <w:rPr>
          <w:sz w:val="21"/>
          <w:szCs w:val="21"/>
        </w:rPr>
        <w:t xml:space="preserve">Registers, DSC metadata, UDIN and renewals.</w:t>
      </w:r>
    </w:p>
    <w:p>
      <w:pPr>
        <w:pStyle w:val="ListParagraph"/>
        <w:numPr>
          <w:ilvl w:val="0"/>
          <w:numId w:val="2"/>
        </w:numPr>
        <w:spacing w:after="90" w:line="270"/>
      </w:pPr>
      <w:r>
        <w:rPr>
          <w:sz w:val="21"/>
          <w:szCs w:val="21"/>
        </w:rPr>
        <w:t xml:space="preserve">Append-only audit log of data access and changes across all business-domain tables.</w:t>
      </w:r>
    </w:p>
    <w:p>
      <w:pPr>
        <w:pStyle w:val="ListParagraph"/>
        <w:numPr>
          <w:ilvl w:val="0"/>
          <w:numId w:val="2"/>
        </w:numPr>
        <w:spacing w:after="90" w:line="270"/>
      </w:pPr>
      <w:r>
        <w:rPr>
          <w:sz w:val="21"/>
          <w:szCs w:val="21"/>
        </w:rPr>
        <w:t xml:space="preserve">Core REST APIs.</w:t>
      </w:r>
    </w:p>
    <w:p>
      <w:pPr>
        <w:pStyle w:val="Heading1"/>
        <w:pBdr>
          <w:bottom w:val="single" w:color="1F3864" w:sz="6" w:space="4"/>
        </w:pBdr>
        <w:spacing w:after="160" w:before="380"/>
      </w:pPr>
      <w:r>
        <w:rPr>
          <w:b/>
          <w:bCs/>
          <w:color w:val="1F3864"/>
          <w:sz w:val="27"/>
          <w:szCs w:val="27"/>
        </w:rPr>
        <w:t xml:space="preserve">10.  FastAPI Processing Service</w:t>
      </w:r>
    </w:p>
    <w:p>
      <w:pPr>
        <w:pStyle w:val="ListParagraph"/>
        <w:numPr>
          <w:ilvl w:val="0"/>
          <w:numId w:val="2"/>
        </w:numPr>
        <w:spacing w:after="90" w:line="270"/>
      </w:pPr>
      <w:r>
        <w:rPr>
          <w:sz w:val="21"/>
          <w:szCs w:val="21"/>
        </w:rPr>
        <w:t xml:space="preserve">OCR and document extraction.</w:t>
      </w:r>
    </w:p>
    <w:p>
      <w:pPr>
        <w:pStyle w:val="ListParagraph"/>
        <w:numPr>
          <w:ilvl w:val="0"/>
          <w:numId w:val="2"/>
        </w:numPr>
        <w:spacing w:after="90" w:line="270"/>
      </w:pPr>
      <w:r>
        <w:rPr>
          <w:sz w:val="21"/>
          <w:szCs w:val="21"/>
        </w:rPr>
        <w:t xml:space="preserve">AI document classification.</w:t>
      </w:r>
    </w:p>
    <w:p>
      <w:pPr>
        <w:pStyle w:val="ListParagraph"/>
        <w:numPr>
          <w:ilvl w:val="0"/>
          <w:numId w:val="2"/>
        </w:numPr>
        <w:spacing w:after="90" w:line="270"/>
      </w:pPr>
      <w:r>
        <w:rPr>
          <w:sz w:val="21"/>
          <w:szCs w:val="21"/>
        </w:rPr>
        <w:t xml:space="preserve">Structured extraction from variable document types.</w:t>
      </w:r>
    </w:p>
    <w:p>
      <w:pPr>
        <w:pStyle w:val="ListParagraph"/>
        <w:numPr>
          <w:ilvl w:val="0"/>
          <w:numId w:val="2"/>
        </w:numPr>
        <w:spacing w:after="90" w:line="270"/>
      </w:pPr>
      <w:r>
        <w:rPr>
          <w:sz w:val="21"/>
          <w:szCs w:val="21"/>
        </w:rPr>
        <w:t xml:space="preserve">Document summarization and AI-assisted analysis.</w:t>
      </w:r>
    </w:p>
    <w:p>
      <w:pPr>
        <w:pStyle w:val="ListParagraph"/>
        <w:numPr>
          <w:ilvl w:val="0"/>
          <w:numId w:val="2"/>
        </w:numPr>
        <w:spacing w:after="90" w:line="270"/>
      </w:pPr>
      <w:r>
        <w:rPr>
          <w:sz w:val="21"/>
          <w:szCs w:val="21"/>
        </w:rPr>
        <w:t xml:space="preserve">PDF, image and spreadsheet processing.</w:t>
      </w:r>
    </w:p>
    <w:p>
      <w:pPr>
        <w:pStyle w:val="ListParagraph"/>
        <w:numPr>
          <w:ilvl w:val="0"/>
          <w:numId w:val="2"/>
        </w:numPr>
        <w:spacing w:after="90" w:line="270"/>
      </w:pPr>
      <w:r>
        <w:rPr>
          <w:sz w:val="21"/>
          <w:szCs w:val="21"/>
        </w:rPr>
        <w:t xml:space="preserve">Large data transformation.</w:t>
      </w:r>
    </w:p>
    <w:p>
      <w:pPr>
        <w:pStyle w:val="ListParagraph"/>
        <w:numPr>
          <w:ilvl w:val="0"/>
          <w:numId w:val="2"/>
        </w:numPr>
        <w:spacing w:after="90" w:line="270"/>
      </w:pPr>
      <w:r>
        <w:rPr>
          <w:sz w:val="21"/>
          <w:szCs w:val="21"/>
        </w:rPr>
        <w:t xml:space="preserve">Bulk import processing.</w:t>
      </w:r>
    </w:p>
    <w:p>
      <w:pPr>
        <w:pStyle w:val="ListParagraph"/>
        <w:numPr>
          <w:ilvl w:val="0"/>
          <w:numId w:val="2"/>
        </w:numPr>
        <w:spacing w:after="90" w:line="270"/>
      </w:pPr>
      <w:r>
        <w:rPr>
          <w:sz w:val="21"/>
          <w:szCs w:val="21"/>
        </w:rPr>
        <w:t xml:space="preserve">Future AI and agent services.</w:t>
      </w:r>
    </w:p>
    <w:p>
      <w:pPr>
        <w:pStyle w:val="Heading1"/>
        <w:pBdr>
          <w:bottom w:val="single" w:color="1F3864" w:sz="6" w:space="4"/>
        </w:pBdr>
        <w:spacing w:after="160" w:before="380"/>
      </w:pPr>
      <w:r>
        <w:rPr>
          <w:b/>
          <w:bCs/>
          <w:color w:val="1F3864"/>
          <w:sz w:val="27"/>
          <w:szCs w:val="27"/>
        </w:rPr>
        <w:t xml:space="preserve">11.  FastAPI Integration Service</w:t>
      </w:r>
    </w:p>
    <w:p>
      <w:pPr>
        <w:pStyle w:val="ListParagraph"/>
        <w:numPr>
          <w:ilvl w:val="0"/>
          <w:numId w:val="2"/>
        </w:numPr>
        <w:spacing w:after="90" w:line="270"/>
      </w:pPr>
      <w:r>
        <w:rPr>
          <w:sz w:val="21"/>
          <w:szCs w:val="21"/>
        </w:rPr>
        <w:t xml:space="preserve">WhatsApp webhooks.</w:t>
      </w:r>
    </w:p>
    <w:p>
      <w:pPr>
        <w:pStyle w:val="ListParagraph"/>
        <w:numPr>
          <w:ilvl w:val="0"/>
          <w:numId w:val="2"/>
        </w:numPr>
        <w:spacing w:after="90" w:line="270"/>
      </w:pPr>
      <w:r>
        <w:rPr>
          <w:sz w:val="21"/>
          <w:szCs w:val="21"/>
        </w:rPr>
        <w:t xml:space="preserve">Email webhooks.</w:t>
      </w:r>
    </w:p>
    <w:p>
      <w:pPr>
        <w:pStyle w:val="ListParagraph"/>
        <w:numPr>
          <w:ilvl w:val="0"/>
          <w:numId w:val="2"/>
        </w:numPr>
        <w:spacing w:after="90" w:line="270"/>
      </w:pPr>
      <w:r>
        <w:rPr>
          <w:sz w:val="21"/>
          <w:szCs w:val="21"/>
        </w:rPr>
        <w:t xml:space="preserve">SMS callbacks.</w:t>
      </w:r>
    </w:p>
    <w:p>
      <w:pPr>
        <w:pStyle w:val="ListParagraph"/>
        <w:numPr>
          <w:ilvl w:val="0"/>
          <w:numId w:val="2"/>
        </w:numPr>
        <w:spacing w:after="90" w:line="270"/>
      </w:pPr>
      <w:r>
        <w:rPr>
          <w:sz w:val="21"/>
          <w:szCs w:val="21"/>
        </w:rPr>
        <w:t xml:space="preserve">Payment and e-signature callbacks.</w:t>
      </w:r>
    </w:p>
    <w:p>
      <w:pPr>
        <w:pStyle w:val="ListParagraph"/>
        <w:numPr>
          <w:ilvl w:val="0"/>
          <w:numId w:val="2"/>
        </w:numPr>
        <w:spacing w:after="90" w:line="270"/>
      </w:pPr>
      <w:r>
        <w:rPr>
          <w:sz w:val="21"/>
          <w:szCs w:val="21"/>
        </w:rPr>
        <w:t xml:space="preserve">Accounting and external system integrations.</w:t>
      </w:r>
    </w:p>
    <w:p>
      <w:pPr>
        <w:pStyle w:val="ListParagraph"/>
        <w:numPr>
          <w:ilvl w:val="0"/>
          <w:numId w:val="2"/>
        </w:numPr>
        <w:spacing w:after="90" w:line="270"/>
      </w:pPr>
      <w:r>
        <w:rPr>
          <w:sz w:val="21"/>
          <w:szCs w:val="21"/>
        </w:rPr>
        <w:t xml:space="preserve">Government-authorized/future third-party integrations where available.</w:t>
      </w:r>
    </w:p>
    <w:p>
      <w:pPr>
        <w:pStyle w:val="ListParagraph"/>
        <w:numPr>
          <w:ilvl w:val="0"/>
          <w:numId w:val="2"/>
        </w:numPr>
        <w:spacing w:after="90" w:line="270"/>
      </w:pPr>
      <w:r>
        <w:rPr>
          <w:sz w:val="21"/>
          <w:szCs w:val="21"/>
        </w:rPr>
        <w:t xml:space="preserve">Rapid validation and acknowledgement.</w:t>
      </w:r>
    </w:p>
    <w:p>
      <w:pPr>
        <w:pStyle w:val="ListParagraph"/>
        <w:numPr>
          <w:ilvl w:val="0"/>
          <w:numId w:val="2"/>
        </w:numPr>
        <w:spacing w:after="90" w:line="270"/>
      </w:pPr>
      <w:r>
        <w:rPr>
          <w:sz w:val="21"/>
          <w:szCs w:val="21"/>
        </w:rPr>
        <w:t xml:space="preserve">Retry-aware integration processing.</w:t>
      </w:r>
    </w:p>
    <w:p>
      <w:pPr>
        <w:pStyle w:val="ListParagraph"/>
        <w:numPr>
          <w:ilvl w:val="0"/>
          <w:numId w:val="2"/>
        </w:numPr>
        <w:spacing w:after="90" w:line="270"/>
      </w:pPr>
      <w:r>
        <w:rPr>
          <w:sz w:val="21"/>
          <w:szCs w:val="21"/>
        </w:rPr>
        <w:t xml:space="preserve">Idempotency-key handling on every inbound webhook (WhatsApp, email, SMS, payment, e-signature), so retried provider callbacks are detected and discarded rather than processed twice.</w:t>
      </w:r>
    </w:p>
    <w:p>
      <w:pPr>
        <w:pStyle w:val="Heading1"/>
        <w:pBdr>
          <w:bottom w:val="single" w:color="1F3864" w:sz="6" w:space="4"/>
        </w:pBdr>
        <w:spacing w:after="160" w:before="380"/>
      </w:pPr>
      <w:r>
        <w:rPr>
          <w:b/>
          <w:bCs/>
          <w:color w:val="1F3864"/>
          <w:sz w:val="27"/>
          <w:szCs w:val="27"/>
        </w:rPr>
        <w:t xml:space="preserve">12.  Background Workers</w:t>
      </w:r>
    </w:p>
    <w:p>
      <w:pPr>
        <w:spacing w:after="140" w:line="276"/>
        <w:jc w:val="both"/>
      </w:pPr>
      <w:r>
        <w:t>Heavy processing must not run synchronously inside FastAPI requests.</w:t>
      </w:r>
    </w:p>
    <w:p>
      <w:pPr>
        <w:pStyle w:val="ListParagraph"/>
        <w:numPr>
          <w:ilvl w:val="0"/>
          <w:numId w:val="2"/>
        </w:numPr>
        <w:spacing w:after="90" w:line="270"/>
      </w:pPr>
      <w:r>
        <w:rPr>
          <w:sz w:val="21"/>
          <w:szCs w:val="21"/>
        </w:rPr>
        <w:t xml:space="preserve">Bulk Email, WhatsApp and SMS.</w:t>
      </w:r>
    </w:p>
    <w:p>
      <w:pPr>
        <w:pStyle w:val="ListParagraph"/>
        <w:numPr>
          <w:ilvl w:val="0"/>
          <w:numId w:val="2"/>
        </w:numPr>
        <w:spacing w:after="90" w:line="270"/>
      </w:pPr>
      <w:r>
        <w:rPr>
          <w:sz w:val="21"/>
          <w:szCs w:val="21"/>
        </w:rPr>
        <w:t xml:space="preserve">ITR and GST campaigns.</w:t>
      </w:r>
    </w:p>
    <w:p>
      <w:pPr>
        <w:pStyle w:val="ListParagraph"/>
        <w:numPr>
          <w:ilvl w:val="0"/>
          <w:numId w:val="2"/>
        </w:numPr>
        <w:spacing w:after="90" w:line="270"/>
      </w:pPr>
      <w:r>
        <w:rPr>
          <w:sz w:val="21"/>
          <w:szCs w:val="21"/>
        </w:rPr>
        <w:t xml:space="preserve">Large document batches.</w:t>
      </w:r>
    </w:p>
    <w:p>
      <w:pPr>
        <w:pStyle w:val="ListParagraph"/>
        <w:numPr>
          <w:ilvl w:val="0"/>
          <w:numId w:val="2"/>
        </w:numPr>
        <w:spacing w:after="90" w:line="270"/>
      </w:pPr>
      <w:r>
        <w:rPr>
          <w:sz w:val="21"/>
          <w:szCs w:val="21"/>
        </w:rPr>
        <w:t xml:space="preserve">OCR and AI jobs.</w:t>
      </w:r>
    </w:p>
    <w:p>
      <w:pPr>
        <w:pStyle w:val="ListParagraph"/>
        <w:numPr>
          <w:ilvl w:val="0"/>
          <w:numId w:val="2"/>
        </w:numPr>
        <w:spacing w:after="90" w:line="270"/>
      </w:pPr>
      <w:r>
        <w:rPr>
          <w:sz w:val="21"/>
          <w:szCs w:val="21"/>
        </w:rPr>
        <w:t xml:space="preserve">Large imports.</w:t>
      </w:r>
    </w:p>
    <w:p>
      <w:pPr>
        <w:pStyle w:val="ListParagraph"/>
        <w:numPr>
          <w:ilvl w:val="0"/>
          <w:numId w:val="2"/>
        </w:numPr>
        <w:spacing w:after="90" w:line="270"/>
      </w:pPr>
      <w:r>
        <w:rPr>
          <w:sz w:val="21"/>
          <w:szCs w:val="21"/>
        </w:rPr>
        <w:t xml:space="preserve">Report generation.</w:t>
      </w:r>
    </w:p>
    <w:p>
      <w:pPr>
        <w:pStyle w:val="ListParagraph"/>
        <w:numPr>
          <w:ilvl w:val="0"/>
          <w:numId w:val="2"/>
        </w:numPr>
        <w:spacing w:after="90" w:line="270"/>
      </w:pPr>
      <w:r>
        <w:rPr>
          <w:sz w:val="21"/>
          <w:szCs w:val="21"/>
        </w:rPr>
        <w:t xml:space="preserve">Search indexing.</w:t>
      </w:r>
    </w:p>
    <w:p>
      <w:pPr>
        <w:pStyle w:val="ListParagraph"/>
        <w:numPr>
          <w:ilvl w:val="0"/>
          <w:numId w:val="2"/>
        </w:numPr>
        <w:spacing w:after="90" w:line="270"/>
      </w:pPr>
      <w:r>
        <w:rPr>
          <w:sz w:val="21"/>
          <w:szCs w:val="21"/>
        </w:rPr>
        <w:t xml:space="preserve">Scheduled reminders.</w:t>
      </w:r>
    </w:p>
    <w:p>
      <w:pPr>
        <w:pStyle w:val="ListParagraph"/>
        <w:numPr>
          <w:ilvl w:val="0"/>
          <w:numId w:val="2"/>
        </w:numPr>
        <w:spacing w:after="90" w:line="270"/>
      </w:pPr>
      <w:r>
        <w:rPr>
          <w:sz w:val="21"/>
          <w:szCs w:val="21"/>
        </w:rPr>
        <w:t xml:space="preserve">Automation and synchronization retries.</w:t>
      </w:r>
    </w:p>
    <w:p>
      <w:pPr>
        <w:pStyle w:val="ListParagraph"/>
        <w:numPr>
          <w:ilvl w:val="0"/>
          <w:numId w:val="2"/>
        </w:numPr>
        <w:spacing w:after="90" w:line="270"/>
      </w:pPr>
      <w:r>
        <w:rPr>
          <w:sz w:val="21"/>
          <w:szCs w:val="21"/>
        </w:rPr>
        <w:t xml:space="preserve">Idempotent job processing backed by a dedup table or short-TTL Redis lock, so retried jobs don't double-execute.</w:t>
      </w:r>
    </w:p>
    <w:p>
      <w:pPr>
        <w:pStyle w:val="ListParagraph"/>
        <w:numPr>
          <w:ilvl w:val="0"/>
          <w:numId w:val="2"/>
        </w:numPr>
        <w:spacing w:after="90" w:line="270"/>
      </w:pPr>
      <w:r>
        <w:rPr>
          <w:sz w:val="21"/>
          <w:szCs w:val="21"/>
        </w:rPr>
        <w:t xml:space="preserve">Dead-letter queue for jobs that fail repeatedly, with alerting so failures are visible rather than silently dropped.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BFBFBF" w:sz="2"/>
              <w:left w:val="single" w:color="BFBFBF" w:sz="2"/>
              <w:bottom w:val="single" w:color="BFBFBF" w:sz="2"/>
              <w:right w:val="single" w:color="BFBFBF" w:sz="2"/>
            </w:tcBorders>
            <w:shd w:fill="EEF1F6" w:val="clear"/>
            <w:tcMar>
              <w:top w:type="dxa" w:w="160"/>
              <w:left w:type="dxa" w:w="220"/>
              <w:bottom w:type="dxa" w:w="160"/>
              <w:right w:type="dxa" w:w="220"/>
            </w:tcMar>
          </w:tcPr>
          <w:p>
            <w:r>
              <w:t>Request</w:t>
              <w:br/>
              <w:t>|</w:t>
              <w:br/>
              <w:t>v</w:t>
              <w:br/>
              <w:t>FastAPI Router / Domain Service</w:t>
              <w:br/>
              <w:t>|</w:t>
              <w:br/>
              <w:t>v</w:t>
              <w:br/>
              <w:t>Queue / Event</w:t>
              <w:br/>
              <w:t>|</w:t>
              <w:br/>
              <w:t>v</w:t>
              <w:br/>
              <w:t>Scalable Workers (idempotent)</w:t>
              <w:br/>
              <w:t>|</w:t>
              <w:br/>
              <w:t>v</w:t>
              <w:br/>
              <w:t>Result Event / Status Update  --(on repeated failure)--&gt;  Dead-Letter Queue + Alert</w:t>
              <w:br/>
              <w:t>|</w:t>
              <w:br/>
              <w:t>v</w:t>
              <w:br/>
              <w:t>FastAPI domain service updates business state</w:t>
            </w:r>
          </w:p>
        </w:tc>
      </w:tr>
    </w:tbl>
    <w:p>
      <w:pPr>
        <w:pStyle w:val="Heading1"/>
        <w:pBdr>
          <w:bottom w:val="single" w:color="1F3864" w:sz="6" w:space="4"/>
        </w:pBdr>
        <w:spacing w:after="160" w:before="380"/>
      </w:pPr>
      <w:r>
        <w:rPr>
          <w:b/>
          <w:bCs/>
          <w:color w:val="1F3864"/>
          <w:sz w:val="27"/>
          <w:szCs w:val="27"/>
        </w:rPr>
        <w:t xml:space="preserve">13.  Data Layer Responsibilities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48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19"/>
                <w:szCs w:val="19"/>
              </w:rPr>
              <w:t xml:space="preserve">Technology</w:t>
            </w:r>
          </w:p>
        </w:tc>
        <w:tc>
          <w:tcPr>
            <w:tcW w:type="dxa" w:w="748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19"/>
                <w:szCs w:val="19"/>
              </w:rPr>
              <w:t xml:space="preserve">Responsibility</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PostgreSQL</w:t>
            </w:r>
          </w:p>
        </w:tc>
        <w:tc>
          <w:tcPr>
            <w:tcW w:type="dxa" w:w="74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Primary source of truth for relational and transactional CA Nexus business data.</w:t>
            </w:r>
          </w:p>
        </w:tc>
      </w:tr>
      <w:tr>
        <w:tc>
          <w:tcPr>
            <w:tcW w:type="dxa" w:w="26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Redis</w:t>
            </w:r>
          </w:p>
        </w:tc>
        <w:tc>
          <w:tcPr>
            <w:tcW w:type="dxa" w:w="74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Ultra-fast cache, precomputed read models, queue support, temporary state and rate limiting.</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MongoDB</w:t>
            </w:r>
          </w:p>
        </w:tc>
        <w:tc>
          <w:tcPr>
            <w:tcW w:type="dxa" w:w="74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Raw/flexible payload archives, OCR output, AI extraction output, variable integration responses and processing archives.</w:t>
            </w:r>
          </w:p>
        </w:tc>
      </w:tr>
      <w:tr>
        <w:tc>
          <w:tcPr>
            <w:tcW w:type="dxa" w:w="26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OpenSearch</w:t>
            </w:r>
          </w:p>
        </w:tc>
        <w:tc>
          <w:tcPr>
            <w:tcW w:type="dxa" w:w="74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Fast global search across indexed clients, matters, tasks, documents, communications and notices.</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Azure Blob Storage</w:t>
            </w:r>
          </w:p>
        </w:tc>
        <w:tc>
          <w:tcPr>
            <w:tcW w:type="dxa" w:w="74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File/object storage for documents, PDFs, images and attachments.</w:t>
            </w:r>
          </w:p>
        </w:tc>
      </w:tr>
    </w:tbl>
    <w:p>
      <w:pPr>
        <w:spacing w:after="80"/>
      </w:pPr>
    </w:p>
    <w:p>
      <w:pPr>
        <w:spacing w:after="140" w:line="276"/>
        <w:jc w:val="both"/>
      </w:pPr>
      <w:r>
        <w:rPr>
          <w:sz w:val="21"/>
          <w:szCs w:val="21"/>
        </w:rPr>
        <w:t xml:space="preserve">Backup &amp; Disaster Recovery: PostgreSQL is backed up continuously via WAL archiving with a target Recovery Point Objective (RPO) of 15 minutes and a target Recovery Time Objective (RTO) of 1 hour, using Azure Database for PostgreSQL's managed backup/geo-restore capability. Redis, MongoDB and OpenSearch are treated as rebuildable/cache-tier stores; PostgreSQL is the only store with a firm recovery commitment.</w:t>
      </w:r>
    </w:p>
    <w:p>
      <w:pPr>
        <w:pStyle w:val="Heading1"/>
        <w:pBdr>
          <w:bottom w:val="single" w:color="1F3864" w:sz="6" w:space="4"/>
        </w:pBdr>
        <w:spacing w:after="160" w:before="380"/>
      </w:pPr>
      <w:r>
        <w:rPr>
          <w:b/>
          <w:bCs/>
          <w:color w:val="1F3864"/>
          <w:sz w:val="27"/>
          <w:szCs w:val="27"/>
        </w:rPr>
        <w:t xml:space="preserve">14.  Data Ownership Rules</w:t>
      </w:r>
    </w:p>
    <w:p>
      <w:pPr>
        <w:pStyle w:val="ListParagraph"/>
        <w:numPr>
          <w:ilvl w:val="0"/>
          <w:numId w:val="2"/>
        </w:numPr>
        <w:spacing w:after="90" w:line="270"/>
      </w:pPr>
      <w:r>
        <w:t>FastAPI owns core business rules and the primary PostgreSQL domain model.</w:t>
      </w:r>
    </w:p>
    <w:p>
      <w:pPr>
        <w:pStyle w:val="ListParagraph"/>
        <w:numPr>
          <w:ilvl w:val="0"/>
          <w:numId w:val="2"/>
        </w:numPr>
        <w:spacing w:after="90" w:line="270"/>
      </w:pPr>
      <w:r>
        <w:rPr>
          <w:sz w:val="21"/>
          <w:szCs w:val="21"/>
        </w:rPr>
        <w:t xml:space="preserve">FastAPI must not duplicate core business rules.</w:t>
      </w:r>
    </w:p>
    <w:p>
      <w:pPr>
        <w:pStyle w:val="ListParagraph"/>
        <w:numPr>
          <w:ilvl w:val="0"/>
          <w:numId w:val="2"/>
        </w:numPr>
        <w:spacing w:after="90" w:line="270"/>
      </w:pPr>
      <w:r>
        <w:t>FastAPI domain services and workers communicate through controlled internal contracts, domain events, queues, and asynchronous processing rather than a split backend framework boundary.</w:t>
      </w:r>
    </w:p>
    <w:p>
      <w:pPr>
        <w:pStyle w:val="ListParagraph"/>
        <w:numPr>
          <w:ilvl w:val="0"/>
          <w:numId w:val="2"/>
        </w:numPr>
        <w:spacing w:after="90" w:line="270"/>
      </w:pPr>
      <w:r>
        <w:rPr>
          <w:sz w:val="21"/>
          <w:szCs w:val="21"/>
        </w:rPr>
        <w:t xml:space="preserve">MongoDB is not the primary source of truth for client, compliance or billing state.</w:t>
      </w:r>
    </w:p>
    <w:p>
      <w:pPr>
        <w:pStyle w:val="ListParagraph"/>
        <w:numPr>
          <w:ilvl w:val="0"/>
          <w:numId w:val="2"/>
        </w:numPr>
        <w:spacing w:after="90" w:line="270"/>
      </w:pPr>
      <w:r>
        <w:rPr>
          <w:sz w:val="21"/>
          <w:szCs w:val="21"/>
        </w:rPr>
        <w:t xml:space="preserve">Redis accelerates access but is not the only persistent source for critical records.</w:t>
      </w:r>
    </w:p>
    <w:p>
      <w:pPr>
        <w:pStyle w:val="ListParagraph"/>
        <w:numPr>
          <w:ilvl w:val="0"/>
          <w:numId w:val="2"/>
        </w:numPr>
        <w:spacing w:after="90" w:line="270"/>
      </w:pPr>
      <w:r>
        <w:rPr>
          <w:sz w:val="21"/>
          <w:szCs w:val="21"/>
        </w:rPr>
        <w:t xml:space="preserve">OpenSearch is an index, not the transactional source of truth.</w:t>
      </w:r>
    </w:p>
    <w:p>
      <w:pPr>
        <w:pStyle w:val="ListParagraph"/>
        <w:numPr>
          <w:ilvl w:val="0"/>
          <w:numId w:val="2"/>
        </w:numPr>
        <w:spacing w:after="90" w:line="270"/>
      </w:pPr>
      <w:r>
        <w:t>Blob Storage stores binaries while FastAPI owns business metadata and relationships in PostgreSQL.</w:t>
      </w:r>
    </w:p>
    <w:p>
      <w:pPr>
        <w:pStyle w:val="Heading1"/>
        <w:pBdr>
          <w:bottom w:val="single" w:color="1F3864" w:sz="6" w:space="4"/>
        </w:pBdr>
        <w:spacing w:after="160" w:before="380"/>
      </w:pPr>
      <w:r>
        <w:rPr>
          <w:b/>
          <w:bCs/>
          <w:color w:val="1F3864"/>
          <w:sz w:val="27"/>
          <w:szCs w:val="27"/>
        </w:rPr>
        <w:t xml:space="preserve">15.  Event-Driven Communication</w:t>
      </w:r>
    </w:p>
    <w:p>
      <w:pPr>
        <w:spacing w:after="140" w:line="276"/>
        <w:jc w:val="both"/>
      </w:pPr>
      <w:r>
        <w:t>FastAPI domain services, workers, and processing components should not constantly depend on synchronous service-to-service calls. Most heavy workflows should be event-driven. Two mechanisms carry events, chosen by fan-out need: Celery task queues (backed by Redis) for single-consumer background work, and Azure Service Bus topics for events with multiple independent consumers — for example, document.processed, which must simultaneously update search indexing, dashboard projections and client notifications. All event consumers are idempotent, keyed on the provider or event ID, so a redelivered event is detected and skipped rather than reprocessed.</w:t>
      </w:r>
    </w:p>
    <w:p>
      <w:pPr>
        <w:pStyle w:val="ListParagraph"/>
        <w:numPr>
          <w:ilvl w:val="0"/>
          <w:numId w:val="2"/>
        </w:numPr>
        <w:spacing w:after="90" w:line="270"/>
      </w:pPr>
      <w:r>
        <w:rPr>
          <w:sz w:val="21"/>
          <w:szCs w:val="21"/>
        </w:rPr>
        <w:t xml:space="preserve">document.uploaded</w:t>
      </w:r>
    </w:p>
    <w:p>
      <w:pPr>
        <w:pStyle w:val="ListParagraph"/>
        <w:numPr>
          <w:ilvl w:val="0"/>
          <w:numId w:val="2"/>
        </w:numPr>
        <w:spacing w:after="90" w:line="270"/>
      </w:pPr>
      <w:r>
        <w:rPr>
          <w:sz w:val="21"/>
          <w:szCs w:val="21"/>
        </w:rPr>
        <w:t xml:space="preserve">document.processing_requested</w:t>
      </w:r>
    </w:p>
    <w:p>
      <w:pPr>
        <w:pStyle w:val="ListParagraph"/>
        <w:numPr>
          <w:ilvl w:val="0"/>
          <w:numId w:val="2"/>
        </w:numPr>
        <w:spacing w:after="90" w:line="270"/>
      </w:pPr>
      <w:r>
        <w:rPr>
          <w:sz w:val="21"/>
          <w:szCs w:val="21"/>
        </w:rPr>
        <w:t xml:space="preserve">document.processed</w:t>
      </w:r>
    </w:p>
    <w:p>
      <w:pPr>
        <w:pStyle w:val="ListParagraph"/>
        <w:numPr>
          <w:ilvl w:val="0"/>
          <w:numId w:val="2"/>
        </w:numPr>
        <w:spacing w:after="90" w:line="270"/>
      </w:pPr>
      <w:r>
        <w:rPr>
          <w:sz w:val="21"/>
          <w:szCs w:val="21"/>
        </w:rPr>
        <w:t xml:space="preserve">communication.received</w:t>
      </w:r>
    </w:p>
    <w:p>
      <w:pPr>
        <w:pStyle w:val="ListParagraph"/>
        <w:numPr>
          <w:ilvl w:val="0"/>
          <w:numId w:val="2"/>
        </w:numPr>
        <w:spacing w:after="90" w:line="270"/>
      </w:pPr>
      <w:r>
        <w:rPr>
          <w:sz w:val="21"/>
          <w:szCs w:val="21"/>
        </w:rPr>
        <w:t xml:space="preserve">communication.sent</w:t>
      </w:r>
    </w:p>
    <w:p>
      <w:pPr>
        <w:pStyle w:val="ListParagraph"/>
        <w:numPr>
          <w:ilvl w:val="0"/>
          <w:numId w:val="2"/>
        </w:numPr>
        <w:spacing w:after="90" w:line="270"/>
      </w:pPr>
      <w:r>
        <w:rPr>
          <w:sz w:val="21"/>
          <w:szCs w:val="21"/>
        </w:rPr>
        <w:t xml:space="preserve">communication.delivered</w:t>
      </w:r>
    </w:p>
    <w:p>
      <w:pPr>
        <w:pStyle w:val="ListParagraph"/>
        <w:numPr>
          <w:ilvl w:val="0"/>
          <w:numId w:val="2"/>
        </w:numPr>
        <w:spacing w:after="90" w:line="270"/>
      </w:pPr>
      <w:r>
        <w:rPr>
          <w:sz w:val="21"/>
          <w:szCs w:val="21"/>
        </w:rPr>
        <w:t xml:space="preserve">communication.failed</w:t>
      </w:r>
    </w:p>
    <w:p>
      <w:pPr>
        <w:pStyle w:val="ListParagraph"/>
        <w:numPr>
          <w:ilvl w:val="0"/>
          <w:numId w:val="2"/>
        </w:numPr>
        <w:spacing w:after="90" w:line="270"/>
      </w:pPr>
      <w:r>
        <w:rPr>
          <w:sz w:val="21"/>
          <w:szCs w:val="21"/>
        </w:rPr>
        <w:t xml:space="preserve">campaign.created</w:t>
      </w:r>
    </w:p>
    <w:p>
      <w:pPr>
        <w:pStyle w:val="ListParagraph"/>
        <w:numPr>
          <w:ilvl w:val="0"/>
          <w:numId w:val="2"/>
        </w:numPr>
        <w:spacing w:after="90" w:line="270"/>
      </w:pPr>
      <w:r>
        <w:rPr>
          <w:sz w:val="21"/>
          <w:szCs w:val="21"/>
        </w:rPr>
        <w:t xml:space="preserve">campaign.completed</w:t>
      </w:r>
    </w:p>
    <w:p>
      <w:pPr>
        <w:pStyle w:val="ListParagraph"/>
        <w:numPr>
          <w:ilvl w:val="0"/>
          <w:numId w:val="2"/>
        </w:numPr>
        <w:spacing w:after="90" w:line="270"/>
      </w:pPr>
      <w:r>
        <w:rPr>
          <w:sz w:val="21"/>
          <w:szCs w:val="21"/>
        </w:rPr>
        <w:t xml:space="preserve">compliance.status_changed</w:t>
      </w:r>
    </w:p>
    <w:p>
      <w:pPr>
        <w:pStyle w:val="ListParagraph"/>
        <w:numPr>
          <w:ilvl w:val="0"/>
          <w:numId w:val="2"/>
        </w:numPr>
        <w:spacing w:after="90" w:line="270"/>
      </w:pPr>
      <w:r>
        <w:rPr>
          <w:sz w:val="21"/>
          <w:szCs w:val="21"/>
        </w:rPr>
        <w:t xml:space="preserve">search.index_requested</w:t>
      </w:r>
    </w:p>
    <w:p>
      <w:pPr>
        <w:pStyle w:val="Heading1"/>
        <w:pBdr>
          <w:bottom w:val="single" w:color="1F3864" w:sz="6" w:space="4"/>
        </w:pBdr>
        <w:spacing w:after="160" w:before="380"/>
      </w:pPr>
      <w:r>
        <w:rPr>
          <w:b/>
          <w:bCs/>
          <w:color w:val="1F3864"/>
          <w:sz w:val="27"/>
          <w:szCs w:val="27"/>
        </w:rPr>
        <w:t xml:space="preserve">16.  Communication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BFBFBF" w:sz="2"/>
              <w:left w:val="single" w:color="BFBFBF" w:sz="2"/>
              <w:bottom w:val="single" w:color="BFBFBF" w:sz="2"/>
              <w:right w:val="single" w:color="BFBFBF" w:sz="2"/>
            </w:tcBorders>
            <w:shd w:fill="EEF1F6" w:val="clear"/>
            <w:tcMar>
              <w:top w:type="dxa" w:w="160"/>
              <w:left w:type="dxa" w:w="220"/>
              <w:bottom w:type="dxa" w:w="160"/>
              <w:right w:type="dxa" w:w="220"/>
            </w:tcMar>
          </w:tcPr>
          <w:p>
            <w:r>
              <w:t>OUTBOUND</w:t>
              <w:br/>
              <w:t>FastAPI Domain Core -&gt; Consent/Suppression Check -&gt; Campaign/Message -&gt; Queue -&gt; Workers</w:t>
              <w:br/>
              <w:t xml:space="preserve">  +-&gt; Email</w:t>
              <w:br/>
              <w:t xml:space="preserve">  +-&gt; WhatsApp (approved templates only)</w:t>
              <w:br/>
              <w:t xml:space="preserve">  +-&gt; SMS (DND-registry filtered)</w:t>
              <w:br/>
              <w:br/>
              <w:t>INBOUND</w:t>
              <w:br/>
              <w:t>Provider -&gt; FastAPI Integration -&gt; Idempotency Check -&gt; Validate/Acknowledge</w:t>
              <w:br/>
              <w:t xml:space="preserve">  -&gt; Raw Payload Archive + Queue -&gt; Worker Processing</w:t>
              <w:br/>
              <w:t xml:space="preserve">  -&gt; FastAPI Domain Core -&gt; Client/Matter/Conversation/Document</w:t>
            </w:r>
          </w:p>
        </w:tc>
      </w:tr>
    </w:tbl>
    <w:p>
      <w:pPr>
        <w:pStyle w:val="Heading1"/>
        <w:pBdr>
          <w:bottom w:val="single" w:color="1F3864" w:sz="6" w:space="4"/>
        </w:pBdr>
        <w:spacing w:after="160" w:before="380"/>
      </w:pPr>
      <w:r>
        <w:rPr>
          <w:b/>
          <w:bCs/>
          <w:color w:val="1F3864"/>
          <w:sz w:val="27"/>
          <w:szCs w:val="27"/>
        </w:rPr>
        <w:t xml:space="preserve">17.  Document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BFBFBF" w:sz="2"/>
              <w:left w:val="single" w:color="BFBFBF" w:sz="2"/>
              <w:bottom w:val="single" w:color="BFBFBF" w:sz="2"/>
              <w:right w:val="single" w:color="BFBFBF" w:sz="2"/>
            </w:tcBorders>
            <w:shd w:fill="EEF1F6" w:val="clear"/>
            <w:tcMar>
              <w:top w:type="dxa" w:w="160"/>
              <w:left w:type="dxa" w:w="220"/>
              <w:bottom w:type="dxa" w:w="160"/>
              <w:right w:type="dxa" w:w="220"/>
            </w:tcMar>
          </w:tcPr>
          <w:p>
            <w:r>
              <w:t>User or Client Upload</w:t>
              <w:br/>
              <w:t>|</w:t>
              <w:br/>
              <w:t>v</w:t>
              <w:br/>
              <w:t>Malware / Antivirus Scan --(fail)--&gt; Quarantine + Flag</w:t>
              <w:br/>
              <w:t>|</w:t>
              <w:br/>
              <w:t>v</w:t>
              <w:br/>
              <w:t>Azure Blob Storage (versioned)</w:t>
              <w:br/>
              <w:t>|</w:t>
              <w:br/>
              <w:t>+--&gt; FastAPI: metadata + client/matter relationship + version history</w:t>
              <w:br/>
              <w:t>|</w:t>
              <w:br/>
              <w:t>v</w:t>
              <w:br/>
              <w:t>Queue -&gt; FastAPI Processing / Workers</w:t>
              <w:br/>
              <w:t xml:space="preserve">  +-&gt; OCR</w:t>
              <w:br/>
              <w:t xml:space="preserve">  +-&gt; Classification</w:t>
              <w:br/>
              <w:t xml:space="preserve">  +-&gt; Extraction</w:t>
              <w:br/>
              <w:t xml:space="preserve">  +-&gt; AI Analysis</w:t>
              <w:br/>
              <w:t>|</w:t>
              <w:br/>
              <w:t>+-&gt; MongoDB raw/flexible results where needed</w:t>
              <w:br/>
              <w:t>|</w:t>
              <w:br/>
              <w:t>v</w:t>
              <w:br/>
              <w:t>Result Event -&gt; FastAPI Domain Core -&gt; OpenSearch indexing when required</w:t>
              <w:br/>
              <w:t xml:space="preserve">  (low-confidence extractions route to a manual-review queue</w:t>
              <w:br/>
              <w:t xml:space="preserve">   instead of being auto-accepted)</w:t>
            </w:r>
          </w:p>
        </w:tc>
      </w:tr>
    </w:tbl>
    <w:p>
      <w:pPr>
        <w:pStyle w:val="Heading1"/>
        <w:pBdr>
          <w:bottom w:val="single" w:color="1F3864" w:sz="6" w:space="4"/>
        </w:pBdr>
        <w:spacing w:after="160" w:before="380"/>
      </w:pPr>
      <w:r>
        <w:rPr>
          <w:b/>
          <w:bCs/>
          <w:color w:val="1F3864"/>
          <w:sz w:val="27"/>
          <w:szCs w:val="27"/>
        </w:rPr>
        <w:t xml:space="preserve">18.  High-Speed Read &amp; Search Architecture</w:t>
      </w:r>
    </w:p>
    <w:p>
      <w:pPr>
        <w:pStyle w:val="ListParagraph"/>
        <w:numPr>
          <w:ilvl w:val="0"/>
          <w:numId w:val="2"/>
        </w:numPr>
        <w:spacing w:after="90" w:line="270"/>
      </w:pPr>
      <w:r>
        <w:rPr>
          <w:sz w:val="21"/>
          <w:szCs w:val="21"/>
        </w:rPr>
        <w:t xml:space="preserve">Redis-backed dashboard projections.</w:t>
      </w:r>
    </w:p>
    <w:p>
      <w:pPr>
        <w:pStyle w:val="ListParagraph"/>
        <w:numPr>
          <w:ilvl w:val="0"/>
          <w:numId w:val="2"/>
        </w:numPr>
        <w:spacing w:after="90" w:line="270"/>
      </w:pPr>
      <w:r>
        <w:rPr>
          <w:sz w:val="21"/>
          <w:szCs w:val="21"/>
        </w:rPr>
        <w:t xml:space="preserve">Precomputed pending ITR/GST and overdue-work counts.</w:t>
      </w:r>
    </w:p>
    <w:p>
      <w:pPr>
        <w:pStyle w:val="ListParagraph"/>
        <w:numPr>
          <w:ilvl w:val="0"/>
          <w:numId w:val="2"/>
        </w:numPr>
        <w:spacing w:after="90" w:line="270"/>
      </w:pPr>
      <w:r>
        <w:rPr>
          <w:sz w:val="21"/>
          <w:szCs w:val="21"/>
        </w:rPr>
        <w:t xml:space="preserve">Firm- and user-specific read models where needed.</w:t>
      </w:r>
    </w:p>
    <w:p>
      <w:pPr>
        <w:pStyle w:val="ListParagraph"/>
        <w:numPr>
          <w:ilvl w:val="0"/>
          <w:numId w:val="2"/>
        </w:numPr>
        <w:spacing w:after="90" w:line="270"/>
      </w:pPr>
      <w:r>
        <w:rPr>
          <w:sz w:val="21"/>
          <w:szCs w:val="21"/>
        </w:rPr>
        <w:t xml:space="preserve">Cursor pagination for large lists.</w:t>
      </w:r>
    </w:p>
    <w:p>
      <w:pPr>
        <w:pStyle w:val="ListParagraph"/>
        <w:numPr>
          <w:ilvl w:val="0"/>
          <w:numId w:val="2"/>
        </w:numPr>
        <w:spacing w:after="90" w:line="270"/>
      </w:pPr>
      <w:r>
        <w:rPr>
          <w:sz w:val="21"/>
          <w:szCs w:val="21"/>
        </w:rPr>
        <w:t xml:space="preserve">Server-side filtering and sorting.</w:t>
      </w:r>
    </w:p>
    <w:p>
      <w:pPr>
        <w:pStyle w:val="ListParagraph"/>
        <w:numPr>
          <w:ilvl w:val="0"/>
          <w:numId w:val="2"/>
        </w:numPr>
        <w:spacing w:after="90" w:line="270"/>
      </w:pPr>
      <w:r>
        <w:rPr>
          <w:sz w:val="21"/>
          <w:szCs w:val="21"/>
        </w:rPr>
        <w:t xml:space="preserve">Virtualized frontend tables.</w:t>
      </w:r>
    </w:p>
    <w:p>
      <w:pPr>
        <w:pStyle w:val="ListParagraph"/>
        <w:numPr>
          <w:ilvl w:val="0"/>
          <w:numId w:val="2"/>
        </w:numPr>
        <w:spacing w:after="90" w:line="270"/>
      </w:pPr>
      <w:r>
        <w:rPr>
          <w:sz w:val="21"/>
          <w:szCs w:val="21"/>
        </w:rPr>
        <w:t xml:space="preserve">Indexes based on actual query patterns.</w:t>
      </w:r>
    </w:p>
    <w:p>
      <w:pPr>
        <w:pStyle w:val="ListParagraph"/>
        <w:numPr>
          <w:ilvl w:val="0"/>
          <w:numId w:val="2"/>
        </w:numPr>
        <w:spacing w:after="90" w:line="270"/>
      </w:pPr>
      <w:r>
        <w:rPr>
          <w:sz w:val="21"/>
          <w:szCs w:val="21"/>
        </w:rPr>
        <w:t xml:space="preserve">Connection pooling.</w:t>
      </w:r>
    </w:p>
    <w:p>
      <w:pPr>
        <w:pStyle w:val="ListParagraph"/>
        <w:numPr>
          <w:ilvl w:val="0"/>
          <w:numId w:val="2"/>
        </w:numPr>
        <w:spacing w:after="90" w:line="270"/>
      </w:pPr>
      <w:r>
        <w:rPr>
          <w:sz w:val="21"/>
          <w:szCs w:val="21"/>
        </w:rPr>
        <w:t xml:space="preserve">Read replicas when scale requires them.</w:t>
      </w:r>
    </w:p>
    <w:p>
      <w:pPr>
        <w:pStyle w:val="ListParagraph"/>
        <w:numPr>
          <w:ilvl w:val="0"/>
          <w:numId w:val="2"/>
        </w:numPr>
        <w:spacing w:after="90" w:line="270"/>
      </w:pPr>
      <w:r>
        <w:rPr>
          <w:sz w:val="21"/>
          <w:szCs w:val="21"/>
        </w:rPr>
        <w:t xml:space="preserve">Partitioning of very large historical/event tables.</w:t>
      </w:r>
    </w:p>
    <w:p>
      <w:pPr>
        <w:pStyle w:val="ListParagraph"/>
        <w:numPr>
          <w:ilvl w:val="0"/>
          <w:numId w:val="2"/>
        </w:numPr>
        <w:spacing w:after="90" w:line="270"/>
      </w:pPr>
      <w:r>
        <w:rPr>
          <w:sz w:val="21"/>
          <w:szCs w:val="21"/>
        </w:rPr>
        <w:t xml:space="preserve">OpenSearch for global and OCR-indexed document search.</w:t>
      </w:r>
    </w:p>
    <w:p>
      <w:pPr>
        <w:pStyle w:val="ListParagraph"/>
        <w:numPr>
          <w:ilvl w:val="0"/>
          <w:numId w:val="2"/>
        </w:numPr>
        <w:spacing w:after="90" w:line="270"/>
      </w:pPr>
      <w:r>
        <w:rPr>
          <w:sz w:val="21"/>
          <w:szCs w:val="21"/>
        </w:rPr>
        <w:t xml:space="preserve">Query performance monitored continuously via the observability stack (Section 8), so indexing and read-replica decisions are based on measured patterns rather than estimates.</w:t>
      </w:r>
    </w:p>
    <w:p>
      <w:pPr>
        <w:pStyle w:val="Heading1"/>
        <w:pBdr>
          <w:bottom w:val="single" w:color="1F3864" w:sz="6" w:space="4"/>
        </w:pBdr>
        <w:spacing w:after="160" w:before="380"/>
      </w:pPr>
      <w:r>
        <w:rPr>
          <w:b/>
          <w:bCs/>
          <w:color w:val="1F3864"/>
          <w:sz w:val="27"/>
          <w:szCs w:val="27"/>
        </w:rPr>
        <w:t xml:space="preserve">19.  Authentication &amp; Authorization</w:t>
      </w:r>
    </w:p>
    <w:p>
      <w:pPr>
        <w:pStyle w:val="ListParagraph"/>
        <w:numPr>
          <w:ilvl w:val="0"/>
          <w:numId w:val="2"/>
        </w:numPr>
        <w:spacing w:after="90" w:line="270"/>
      </w:pPr>
      <w:r>
        <w:t>One identity architecture across the entire FastAPI platform.</w:t>
      </w:r>
    </w:p>
    <w:p>
      <w:pPr>
        <w:pStyle w:val="ListParagraph"/>
        <w:numPr>
          <w:ilvl w:val="0"/>
          <w:numId w:val="2"/>
        </w:numPr>
        <w:spacing w:after="90" w:line="270"/>
      </w:pPr>
      <w:r>
        <w:rPr>
          <w:sz w:val="21"/>
          <w:szCs w:val="21"/>
        </w:rPr>
        <w:t xml:space="preserve">Shared token validation and tenant context.</w:t>
      </w:r>
    </w:p>
    <w:p>
      <w:pPr>
        <w:pStyle w:val="ListParagraph"/>
        <w:numPr>
          <w:ilvl w:val="0"/>
          <w:numId w:val="2"/>
        </w:numPr>
        <w:spacing w:after="90" w:line="270"/>
      </w:pPr>
      <w:r>
        <w:t>FastAPI owns application-level business authorization.</w:t>
      </w:r>
    </w:p>
    <w:p>
      <w:pPr>
        <w:pStyle w:val="ListParagraph"/>
        <w:numPr>
          <w:ilvl w:val="0"/>
          <w:numId w:val="2"/>
        </w:numPr>
        <w:spacing w:after="90" w:line="270"/>
      </w:pPr>
      <w:r>
        <w:rPr>
          <w:sz w:val="21"/>
          <w:szCs w:val="21"/>
        </w:rPr>
        <w:t xml:space="preserve">FastAPI validates the same identity/tenant context.</w:t>
      </w:r>
    </w:p>
    <w:p>
      <w:pPr>
        <w:pStyle w:val="ListParagraph"/>
        <w:numPr>
          <w:ilvl w:val="0"/>
          <w:numId w:val="2"/>
        </w:numPr>
        <w:spacing w:after="90" w:line="270"/>
      </w:pPr>
      <w:r>
        <w:rPr>
          <w:sz w:val="21"/>
          <w:szCs w:val="21"/>
        </w:rPr>
        <w:t xml:space="preserve">No separate user database or conflicting permission logic.</w:t>
      </w:r>
    </w:p>
    <w:p>
      <w:pPr>
        <w:pStyle w:val="ListParagraph"/>
        <w:numPr>
          <w:ilvl w:val="0"/>
          <w:numId w:val="2"/>
        </w:numPr>
        <w:spacing w:after="90" w:line="270"/>
      </w:pPr>
      <w:r>
        <w:rPr>
          <w:sz w:val="21"/>
          <w:szCs w:val="21"/>
        </w:rPr>
        <w:t xml:space="preserve">Secrets and sensitive credential values stored in Azure Key Vault or equivalent.</w:t>
      </w:r>
    </w:p>
    <w:p>
      <w:pPr>
        <w:pStyle w:val="ListParagraph"/>
        <w:numPr>
          <w:ilvl w:val="0"/>
          <w:numId w:val="2"/>
        </w:numPr>
        <w:spacing w:after="90" w:line="270"/>
      </w:pPr>
      <w:r>
        <w:rPr>
          <w:sz w:val="21"/>
          <w:szCs w:val="21"/>
        </w:rPr>
        <w:t xml:space="preserve">Multi-factor authentication required for all admin roles and any DSC-related action.</w:t>
      </w:r>
    </w:p>
    <w:p>
      <w:pPr>
        <w:pStyle w:val="ListParagraph"/>
        <w:numPr>
          <w:ilvl w:val="0"/>
          <w:numId w:val="2"/>
        </w:numPr>
        <w:spacing w:after="90" w:line="270"/>
      </w:pPr>
      <w:r>
        <w:rPr>
          <w:sz w:val="21"/>
          <w:szCs w:val="21"/>
        </w:rPr>
        <w:t xml:space="preserve">PostgreSQL Row-Level Security enforced as a defense-in-depth layer for tenant isolation (see Section 9).</w:t>
      </w:r>
    </w:p>
    <w:p>
      <w:pPr>
        <w:pStyle w:val="ListParagraph"/>
        <w:numPr>
          <w:ilvl w:val="0"/>
          <w:numId w:val="2"/>
        </w:numPr>
        <w:spacing w:after="90" w:line="270"/>
      </w:pPr>
      <w:r>
        <w:rPr>
          <w:sz w:val="21"/>
          <w:szCs w:val="21"/>
        </w:rPr>
        <w:t xml:space="preserve">Append-only audit log of authentication events and permission changes.</w:t>
      </w:r>
    </w:p>
    <w:p>
      <w:pPr>
        <w:pStyle w:val="Heading1"/>
        <w:pBdr>
          <w:bottom w:val="single" w:color="1F3864" w:sz="6" w:space="4"/>
        </w:pBdr>
        <w:spacing w:after="160" w:before="380"/>
      </w:pPr>
      <w:r>
        <w:rPr>
          <w:b/>
          <w:bCs/>
          <w:color w:val="1F3864"/>
          <w:sz w:val="27"/>
          <w:szCs w:val="27"/>
        </w:rPr>
        <w:t xml:space="preserve">20.  Initial Deployment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BFBFBF" w:sz="2"/>
              <w:left w:val="single" w:color="BFBFBF" w:sz="2"/>
              <w:bottom w:val="single" w:color="BFBFBF" w:sz="2"/>
              <w:right w:val="single" w:color="BFBFBF" w:sz="2"/>
            </w:tcBorders>
            <w:shd w:fill="EEF1F6" w:val="clear"/>
            <w:tcMar>
              <w:top w:type="dxa" w:w="160"/>
              <w:left w:type="dxa" w:w="220"/>
              <w:bottom w:type="dxa" w:w="160"/>
              <w:right w:type="dxa" w:w="220"/>
            </w:tcMar>
          </w:tcPr>
          <w:p>
            <w:r>
              <w:t>nexus-frontend/     Next.js + TypeScript</w:t>
              <w:br/>
              <w:t>nexus-api/          FastAPI: Transactional APIs + Domain Core</w:t>
              <w:br/>
              <w:t>nexus-processing/   FastAPI/Workers: AI + OCR + Documents</w:t>
              <w:br/>
              <w:t>nexus-integrations/ FastAPI: Webhooks + Integrations</w:t>
              <w:br/>
              <w:t>nexus-workers/      Background Job Workers</w:t>
              <w:br/>
              <w:br/>
              <w:t>Infrastructure:</w:t>
              <w:br/>
              <w:t>PostgreSQL | Redis | MongoDB | OpenSearch</w:t>
              <w:br/>
              <w:t>Azure Blob Storage | Azure Key Vault | Docker | CI/CD</w:t>
              <w:br/>
              <w:t>Azure Application Insights (APM, logging, alerting)</w:t>
              <w:br/>
              <w:t>Azure Service Bus (multi-consumer event bus)</w:t>
            </w:r>
          </w:p>
        </w:tc>
      </w:tr>
    </w:tbl>
    <w:p>
      <w:pPr>
        <w:pStyle w:val="Heading1"/>
        <w:pBdr>
          <w:bottom w:val="single" w:color="1F3864" w:sz="6" w:space="4"/>
        </w:pBdr>
        <w:spacing w:after="160" w:before="380"/>
      </w:pPr>
      <w:r>
        <w:rPr>
          <w:b/>
          <w:bCs/>
          <w:color w:val="1F3864"/>
          <w:sz w:val="27"/>
          <w:szCs w:val="27"/>
        </w:rPr>
        <w:t xml:space="preserve">21.  Recommended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48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19"/>
                <w:szCs w:val="19"/>
              </w:rPr>
              <w:t xml:space="preserve">Layer</w:t>
            </w:r>
          </w:p>
        </w:tc>
        <w:tc>
          <w:tcPr>
            <w:tcW w:type="dxa" w:w="748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19"/>
                <w:szCs w:val="19"/>
              </w:rPr>
              <w:t xml:space="preserve">Technology</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Frontend</w:t>
            </w:r>
          </w:p>
        </w:tc>
        <w:tc>
          <w:tcPr>
            <w:tcW w:type="dxa" w:w="74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Next.js + TypeScript</w:t>
            </w:r>
          </w:p>
        </w:tc>
      </w:tr>
      <w:tr>
        <w:tc>
          <w:tcPr>
            <w:tcW w:type="dxa" w:w="26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UI</w:t>
            </w:r>
          </w:p>
        </w:tc>
        <w:tc>
          <w:tcPr>
            <w:tcW w:type="dxa" w:w="74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Tailwind CSS + shadcn/ui</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Data Fetching</w:t>
            </w:r>
          </w:p>
        </w:tc>
        <w:tc>
          <w:tcPr>
            <w:tcW w:type="dxa" w:w="74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TanStack Query</w:t>
            </w:r>
          </w:p>
        </w:tc>
      </w:tr>
      <w:tr>
        <w:tc>
          <w:tcPr>
            <w:tcW w:type="dxa" w:w="26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Tables</w:t>
            </w:r>
          </w:p>
        </w:tc>
        <w:tc>
          <w:tcPr>
            <w:tcW w:type="dxa" w:w="74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TanStack Table + TanStack Virtual</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Core Backend</w:t>
            </w:r>
          </w:p>
        </w:tc>
        <w:tc>
          <w:tcPr>
            <w:tcW w:type="dxa" w:w="74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t>FastAPI</w:t>
            </w:r>
          </w:p>
        </w:tc>
      </w:tr>
      <w:tr>
        <w:tc>
          <w:tcPr>
            <w:tcW w:type="dxa" w:w="26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t>Async Processing</w:t>
            </w:r>
          </w:p>
        </w:tc>
        <w:tc>
          <w:tcPr>
            <w:tcW w:type="dxa" w:w="74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t>FastAPI Workers / Processing Services</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t>Integration Layer</w:t>
            </w:r>
          </w:p>
        </w:tc>
        <w:tc>
          <w:tcPr>
            <w:tcW w:type="dxa" w:w="74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t>FastAPI</w:t>
            </w:r>
          </w:p>
        </w:tc>
      </w:tr>
      <w:tr>
        <w:tc>
          <w:tcPr>
            <w:tcW w:type="dxa" w:w="26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Primary Database</w:t>
            </w:r>
          </w:p>
        </w:tc>
        <w:tc>
          <w:tcPr>
            <w:tcW w:type="dxa" w:w="74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PostgreSQL</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Cache / Fast Reads</w:t>
            </w:r>
          </w:p>
        </w:tc>
        <w:tc>
          <w:tcPr>
            <w:tcW w:type="dxa" w:w="74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Redis</w:t>
            </w:r>
          </w:p>
        </w:tc>
      </w:tr>
      <w:tr>
        <w:tc>
          <w:tcPr>
            <w:tcW w:type="dxa" w:w="26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Flexible / Raw Data</w:t>
            </w:r>
          </w:p>
        </w:tc>
        <w:tc>
          <w:tcPr>
            <w:tcW w:type="dxa" w:w="74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MongoDB</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Search</w:t>
            </w:r>
          </w:p>
        </w:tc>
        <w:tc>
          <w:tcPr>
            <w:tcW w:type="dxa" w:w="74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OpenSearch</w:t>
            </w:r>
          </w:p>
        </w:tc>
      </w:tr>
      <w:tr>
        <w:tc>
          <w:tcPr>
            <w:tcW w:type="dxa" w:w="26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Background Processing</w:t>
            </w:r>
          </w:p>
        </w:tc>
        <w:tc>
          <w:tcPr>
            <w:tcW w:type="dxa" w:w="74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Celery + Redis (task queues) and Azure Service Bus (multi-consumer events)</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Documents</w:t>
            </w:r>
          </w:p>
        </w:tc>
        <w:tc>
          <w:tcPr>
            <w:tcW w:type="dxa" w:w="74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Azure Blob Storage (versioned)</w:t>
            </w:r>
          </w:p>
        </w:tc>
      </w:tr>
      <w:tr>
        <w:tc>
          <w:tcPr>
            <w:tcW w:type="dxa" w:w="26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OCR</w:t>
            </w:r>
          </w:p>
        </w:tc>
        <w:tc>
          <w:tcPr>
            <w:tcW w:type="dxa" w:w="74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Azure Document Intelligence or selected OCR provider</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Secrets</w:t>
            </w:r>
          </w:p>
        </w:tc>
        <w:tc>
          <w:tcPr>
            <w:tcW w:type="dxa" w:w="74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Azure Key Vault</w:t>
            </w:r>
          </w:p>
        </w:tc>
      </w:tr>
      <w:tr>
        <w:tc>
          <w:tcPr>
            <w:tcW w:type="dxa" w:w="26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bCs/>
                <w:sz w:val="19"/>
                <w:szCs w:val="19"/>
              </w:rPr>
              <w:t xml:space="preserve">Observability</w:t>
            </w:r>
          </w:p>
        </w:tc>
        <w:tc>
          <w:tcPr>
            <w:tcW w:type="dxa" w:w="74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bCs/>
                <w:sz w:val="19"/>
                <w:szCs w:val="19"/>
              </w:rPr>
              <w:t xml:space="preserve">Azure Application Insights (APM, centralized logging, alerting)</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bCs/>
                <w:sz w:val="19"/>
                <w:szCs w:val="19"/>
              </w:rPr>
              <w:t xml:space="preserve">Malware Scanning</w:t>
            </w:r>
          </w:p>
        </w:tc>
        <w:tc>
          <w:tcPr>
            <w:tcW w:type="dxa" w:w="74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bCs/>
                <w:sz w:val="19"/>
                <w:szCs w:val="19"/>
              </w:rPr>
              <w:t xml:space="preserve">ClamAV or Azure-native equivalent</w:t>
            </w:r>
          </w:p>
        </w:tc>
      </w:tr>
      <w:tr>
        <w:tc>
          <w:tcPr>
            <w:tcW w:type="dxa" w:w="26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bCs/>
                <w:sz w:val="19"/>
                <w:szCs w:val="19"/>
              </w:rPr>
              <w:t xml:space="preserve">Authentication MFA</w:t>
            </w:r>
          </w:p>
        </w:tc>
        <w:tc>
          <w:tcPr>
            <w:tcW w:type="dxa" w:w="74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bCs/>
                <w:sz w:val="19"/>
                <w:szCs w:val="19"/>
              </w:rPr>
              <w:t xml:space="preserve">TOTP-based MFA via Azure AD B2C or equivalent</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bCs/>
                <w:sz w:val="19"/>
                <w:szCs w:val="19"/>
              </w:rPr>
              <w:t xml:space="preserve">Backup &amp; DR</w:t>
            </w:r>
          </w:p>
        </w:tc>
        <w:tc>
          <w:tcPr>
            <w:tcW w:type="dxa" w:w="74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bCs/>
                <w:sz w:val="19"/>
                <w:szCs w:val="19"/>
              </w:rPr>
              <w:t xml:space="preserve">Azure Database for PostgreSQL managed backup + geo-restore</w:t>
            </w:r>
          </w:p>
        </w:tc>
      </w:tr>
      <w:tr>
        <w:tc>
          <w:tcPr>
            <w:tcW w:type="dxa" w:w="26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Containers</w:t>
            </w:r>
          </w:p>
        </w:tc>
        <w:tc>
          <w:tcPr>
            <w:tcW w:type="dxa" w:w="74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Docker</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CI/CD</w:t>
            </w:r>
          </w:p>
        </w:tc>
        <w:tc>
          <w:tcPr>
            <w:tcW w:type="dxa" w:w="74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GitHub Actions</w:t>
            </w:r>
          </w:p>
        </w:tc>
      </w:tr>
      <w:tr>
        <w:tc>
          <w:tcPr>
            <w:tcW w:type="dxa" w:w="26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Cloud Target</w:t>
            </w:r>
          </w:p>
        </w:tc>
        <w:tc>
          <w:tcPr>
            <w:tcW w:type="dxa" w:w="74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Azure</w:t>
            </w:r>
          </w:p>
        </w:tc>
      </w:tr>
    </w:tbl>
    <w:p>
      <w:pPr>
        <w:pStyle w:val="Heading1"/>
        <w:pBdr>
          <w:bottom w:val="single" w:color="1F3864" w:sz="6" w:space="4"/>
        </w:pBdr>
        <w:spacing w:after="160" w:before="380"/>
      </w:pPr>
      <w:r>
        <w:rPr>
          <w:b/>
          <w:bCs/>
          <w:color w:val="1F3864"/>
          <w:sz w:val="27"/>
          <w:szCs w:val="27"/>
        </w:rPr>
        <w:t xml:space="preserve">22.  Final Architecture Decision</w:t>
      </w:r>
    </w:p>
    <w:p>
      <w:pPr>
        <w:spacing w:after="140" w:line="276"/>
        <w:jc w:val="both"/>
      </w:pPr>
      <w:r>
        <w:t>CA Nexus will use a unified FastAPI backend architecture. FastAPI is the transactional, business-domain and API core, while independently scalable workers and processing components handle specialized asynchronous processing and integrations. PostgreSQL remains the primary source of truth, protected by continuous backup with defined recovery targets (Section 13). Redis accelerates high-frequency reads and operational projections. MongoDB stores raw and flexible processing data where genuinely needed. OpenSearch powers global search. Azure Blob Storage stores document binaries, with malware scanning and versioning applied on intake (Section 17). Heavy operations are performed asynchronously through scalable workers, using Celery/Redis for single-consumer jobs and Azure Service Bus for events with multiple consumers. Per-firm data isolation is enforced through FastAPI tenant context and application authorization, backed by PostgreSQL Row-Level Security, with an append-only audit log covering data access and changes.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4880"/>
      </w:tblGrid>
      <w:tr>
        <w:trPr>
          <w:tblHeader/>
        </w:trPr>
        <w:tc>
          <w:tcPr>
            <w:tcW w:type="dxa" w:w="5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19"/>
                <w:szCs w:val="19"/>
              </w:rPr>
              <w:t xml:space="preserve">Area</w:t>
            </w:r>
          </w:p>
        </w:tc>
        <w:tc>
          <w:tcPr>
            <w:tcW w:type="dxa" w:w="488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19"/>
                <w:szCs w:val="19"/>
              </w:rPr>
              <w:t xml:space="preserve">Primary Owner</w:t>
            </w:r>
          </w:p>
        </w:tc>
      </w:tr>
      <w:tr>
        <w:tc>
          <w:tcPr>
            <w:tcW w:type="dxa" w:w="5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Clients, Matters, Compliance, Tasks, Workflows</w:t>
            </w:r>
          </w:p>
        </w:tc>
        <w:tc>
          <w:tcPr>
            <w:tcW w:type="dxa" w:w="48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t>FastAPI</w:t>
            </w:r>
          </w:p>
        </w:tc>
      </w:tr>
      <w:tr>
        <w:tc>
          <w:tcPr>
            <w:tcW w:type="dxa" w:w="52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RBAC and Core Business Authorization</w:t>
            </w:r>
          </w:p>
        </w:tc>
        <w:tc>
          <w:tcPr>
            <w:tcW w:type="dxa" w:w="48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t>FastAPI</w:t>
            </w:r>
          </w:p>
        </w:tc>
      </w:tr>
      <w:tr>
        <w:tc>
          <w:tcPr>
            <w:tcW w:type="dxa" w:w="5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Billing, Notices, Audit Metadata, Firm Operations</w:t>
            </w:r>
          </w:p>
        </w:tc>
        <w:tc>
          <w:tcPr>
            <w:tcW w:type="dxa" w:w="48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t>FastAPI</w:t>
            </w:r>
          </w:p>
        </w:tc>
      </w:tr>
      <w:tr>
        <w:tc>
          <w:tcPr>
            <w:tcW w:type="dxa" w:w="52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Core Transactional APIs</w:t>
            </w:r>
          </w:p>
        </w:tc>
        <w:tc>
          <w:tcPr>
            <w:tcW w:type="dxa" w:w="48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t>FastAPI</w:t>
            </w:r>
          </w:p>
        </w:tc>
      </w:tr>
      <w:tr>
        <w:tc>
          <w:tcPr>
            <w:tcW w:type="dxa" w:w="5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AI and OCR</w:t>
            </w:r>
          </w:p>
        </w:tc>
        <w:tc>
          <w:tcPr>
            <w:tcW w:type="dxa" w:w="48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FastAPI + Workers</w:t>
            </w:r>
          </w:p>
        </w:tc>
      </w:tr>
      <w:tr>
        <w:tc>
          <w:tcPr>
            <w:tcW w:type="dxa" w:w="52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Document Processing</w:t>
            </w:r>
          </w:p>
        </w:tc>
        <w:tc>
          <w:tcPr>
            <w:tcW w:type="dxa" w:w="48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FastAPI + Workers</w:t>
            </w:r>
          </w:p>
        </w:tc>
      </w:tr>
      <w:tr>
        <w:tc>
          <w:tcPr>
            <w:tcW w:type="dxa" w:w="5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Webhooks</w:t>
            </w:r>
          </w:p>
        </w:tc>
        <w:tc>
          <w:tcPr>
            <w:tcW w:type="dxa" w:w="48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FastAPI</w:t>
            </w:r>
          </w:p>
        </w:tc>
      </w:tr>
      <w:tr>
        <w:tc>
          <w:tcPr>
            <w:tcW w:type="dxa" w:w="52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External Integrations</w:t>
            </w:r>
          </w:p>
        </w:tc>
        <w:tc>
          <w:tcPr>
            <w:tcW w:type="dxa" w:w="48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FastAPI</w:t>
            </w:r>
          </w:p>
        </w:tc>
      </w:tr>
      <w:tr>
        <w:tc>
          <w:tcPr>
            <w:tcW w:type="dxa" w:w="5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Bulk Communication Execution</w:t>
            </w:r>
          </w:p>
        </w:tc>
        <w:tc>
          <w:tcPr>
            <w:tcW w:type="dxa" w:w="48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Queue + Workers</w:t>
            </w:r>
          </w:p>
        </w:tc>
      </w:tr>
      <w:tr>
        <w:tc>
          <w:tcPr>
            <w:tcW w:type="dxa" w:w="52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Primary Business Data</w:t>
            </w:r>
          </w:p>
        </w:tc>
        <w:tc>
          <w:tcPr>
            <w:tcW w:type="dxa" w:w="48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PostgreSQL</w:t>
            </w:r>
          </w:p>
        </w:tc>
      </w:tr>
      <w:tr>
        <w:tc>
          <w:tcPr>
            <w:tcW w:type="dxa" w:w="5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Raw/Flexible Processing Data</w:t>
            </w:r>
          </w:p>
        </w:tc>
        <w:tc>
          <w:tcPr>
            <w:tcW w:type="dxa" w:w="48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MongoDB</w:t>
            </w:r>
          </w:p>
        </w:tc>
      </w:tr>
      <w:tr>
        <w:tc>
          <w:tcPr>
            <w:tcW w:type="dxa" w:w="52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Fast Reads / Cached Projections</w:t>
            </w:r>
          </w:p>
        </w:tc>
        <w:tc>
          <w:tcPr>
            <w:tcW w:type="dxa" w:w="48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Redis</w:t>
            </w:r>
          </w:p>
        </w:tc>
      </w:tr>
      <w:tr>
        <w:tc>
          <w:tcPr>
            <w:tcW w:type="dxa" w:w="5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Global Search</w:t>
            </w:r>
          </w:p>
        </w:tc>
        <w:tc>
          <w:tcPr>
            <w:tcW w:type="dxa" w:w="48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val="false"/>
                <w:bCs w:val="false"/>
                <w:sz w:val="19"/>
                <w:szCs w:val="19"/>
              </w:rPr>
              <w:t xml:space="preserve">OpenSearch</w:t>
            </w:r>
          </w:p>
        </w:tc>
      </w:tr>
      <w:tr>
        <w:tc>
          <w:tcPr>
            <w:tcW w:type="dxa" w:w="52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File Binaries</w:t>
            </w:r>
          </w:p>
        </w:tc>
        <w:tc>
          <w:tcPr>
            <w:tcW w:type="dxa" w:w="48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val="false"/>
                <w:bCs w:val="false"/>
                <w:sz w:val="19"/>
                <w:szCs w:val="19"/>
              </w:rPr>
              <w:t xml:space="preserve">Azure Blob Storage</w:t>
            </w:r>
          </w:p>
        </w:tc>
      </w:tr>
      <w:tr>
        <w:tc>
          <w:tcPr>
            <w:tcW w:type="dxa" w:w="5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bCs/>
                <w:sz w:val="19"/>
                <w:szCs w:val="19"/>
              </w:rPr>
              <w:t xml:space="preserve">Tenant Isolation Enforcement</w:t>
            </w:r>
          </w:p>
        </w:tc>
        <w:tc>
          <w:tcPr>
            <w:tcW w:type="dxa" w:w="48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t>FastAPI Tenant Context + PostgreSQL Row-Level Security</w:t>
            </w:r>
          </w:p>
        </w:tc>
      </w:tr>
      <w:tr>
        <w:tc>
          <w:tcPr>
            <w:tcW w:type="dxa" w:w="52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bCs/>
                <w:sz w:val="19"/>
                <w:szCs w:val="19"/>
              </w:rPr>
              <w:t xml:space="preserve">Audit Logging</w:t>
            </w:r>
          </w:p>
        </w:tc>
        <w:tc>
          <w:tcPr>
            <w:tcW w:type="dxa" w:w="48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t>FastAPI</w:t>
            </w:r>
          </w:p>
        </w:tc>
      </w:tr>
      <w:tr>
        <w:tc>
          <w:tcPr>
            <w:tcW w:type="dxa" w:w="5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bCs/>
                <w:sz w:val="19"/>
                <w:szCs w:val="19"/>
              </w:rPr>
              <w:t xml:space="preserve">Observability (cross-cutting)</w:t>
            </w:r>
          </w:p>
        </w:tc>
        <w:tc>
          <w:tcPr>
            <w:tcW w:type="dxa" w:w="48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bCs/>
                <w:sz w:val="19"/>
                <w:szCs w:val="19"/>
              </w:rPr>
              <w:t xml:space="preserve">Azure Application Insights</w:t>
            </w:r>
          </w:p>
        </w:tc>
      </w:tr>
      <w:tr>
        <w:tc>
          <w:tcPr>
            <w:tcW w:type="dxa" w:w="520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bCs/>
                <w:sz w:val="19"/>
                <w:szCs w:val="19"/>
              </w:rPr>
              <w:t xml:space="preserve">Multi-Consumer Event Fan-out</w:t>
            </w:r>
          </w:p>
        </w:tc>
        <w:tc>
          <w:tcPr>
            <w:tcW w:type="dxa" w:w="4880"/>
            <w:tcBorders>
              <w:top w:val="single" w:color="BFBFBF" w:sz="2"/>
              <w:left w:val="single" w:color="BFBFBF" w:sz="2"/>
              <w:bottom w:val="single" w:color="BFBFBF" w:sz="2"/>
              <w:right w:val="single" w:color="BFBFBF" w:sz="2"/>
            </w:tcBorders>
            <w:shd w:fill="F2F5FA" w:val="clear"/>
            <w:tcMar>
              <w:top w:type="dxa" w:w="70"/>
              <w:left w:type="dxa" w:w="100"/>
              <w:bottom w:type="dxa" w:w="70"/>
              <w:right w:type="dxa" w:w="100"/>
            </w:tcMar>
            <w:vAlign w:val="center"/>
          </w:tcPr>
          <w:p>
            <w:r>
              <w:rPr>
                <w:b/>
                <w:bCs/>
                <w:sz w:val="19"/>
                <w:szCs w:val="19"/>
              </w:rPr>
              <w:t xml:space="preserve">Azure Service Bus</w:t>
            </w:r>
          </w:p>
        </w:tc>
      </w:tr>
      <w:tr>
        <w:tc>
          <w:tcPr>
            <w:tcW w:type="dxa" w:w="5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bCs/>
                <w:sz w:val="19"/>
                <w:szCs w:val="19"/>
              </w:rPr>
              <w:t xml:space="preserve">Backup &amp; Disaster Recovery</w:t>
            </w:r>
          </w:p>
        </w:tc>
        <w:tc>
          <w:tcPr>
            <w:tcW w:type="dxa" w:w="488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vAlign w:val="center"/>
          </w:tcPr>
          <w:p>
            <w:r>
              <w:rPr>
                <w:b/>
                <w:bCs/>
                <w:sz w:val="19"/>
                <w:szCs w:val="19"/>
              </w:rPr>
              <w:t xml:space="preserve">Azure Database for PostgreSQL (managed)</w:t>
            </w:r>
          </w:p>
        </w:tc>
      </w:tr>
    </w:tbl>
    <w:p>
      <w:r>
        <w:br w:type="page"/>
      </w:r>
    </w:p>
    <w:p>
      <w:pPr>
        <w:pStyle w:val="Title"/>
      </w:pPr>
      <w:r>
        <w:t>PART II — COMPLETE FASTAPI-ONLY BACKEND ARCHITECTURE</w:t>
      </w:r>
    </w:p>
    <w:p>
      <w:r>
        <w:t>This section defines the single source of truth for the CA Nexus backend. All backend responsibilities are implemented on the FastAPI platform; independently scalable workers and processing services remain part of the same FastAPI-centered architecture.</w:t>
      </w:r>
    </w:p>
    <w:sectPr>
      <w:footerReference w:type="default" r:id="rId7"/>
      <w:headerReference w:type="default" r:id="rId9"/>
      <w:pgSz w:w="12240" w:h="15840" w:orient="portrait"/>
      <w:pgMar w:top="1080" w:right="1080" w:bottom="1080" w:left="1080" w:header="708" w:footer="708" w:gutter="0"/>
      <w:pgNumType/>
      <w:docGrid w:linePitch="360"/>
    </w:sectPr>
    <w:p>
      <w:pPr>
        <w:pStyle w:val="Title"/>
        <w:jc w:val="center"/>
      </w:pPr>
      <w:r>
        <w:rPr>
          <w:b/>
        </w:rPr>
        <w:t>CA NEXUS — COMPLETE FASTAPI-ONLY BACKEND ARCHITECTURE</w:t>
      </w:r>
    </w:p>
    <w:p>
      <w:pPr>
        <w:jc w:val="center"/>
      </w:pPr>
      <w:r>
        <w:t>Detailed technical architecture for a unified FastAPI backend platform</w:t>
      </w:r>
    </w:p>
    <w:p>
      <w:r>
        <w:t>Version 1.0 | September 2026 | Architecture direction: FastAPI-only backend, modular monolith first, independently scalable workers and processing services</w:t>
      </w:r>
    </w:p>
    <w:p>
      <w:pPr>
        <w:pStyle w:val="Heading1"/>
      </w:pPr>
      <w:r>
        <w:t>1. Executive Decision</w:t>
      </w:r>
    </w:p>
    <w:p>
      <w:r>
        <w:t>CA Nexus uses FastAPI as the single backend application framework. FastAPI owns transactional APIs, domain business rules, workflows, authorization, multi-tenancy, compliance operations, client and matter management, tasks, communications, billing, audit operations, and administration.</w:t>
      </w:r>
    </w:p>
    <w:p>
      <w:r>
        <w:t>The system should not become a collection of unstructured FastAPI route files. The platform uses an explicit layered architecture with SQLAlchemy, Pydantic, Alembic, domain services, repositories, transaction boundaries, and PostgreSQL Row-Level Security.</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Architecture Area</w:t>
            </w:r>
          </w:p>
        </w:tc>
        <w:tc>
          <w:tcPr>
            <w:tcW w:type="dxa" w:w="5040"/>
            <w:shd w:fill="D9EAF7"/>
          </w:tcPr>
          <w:p>
            <w:r>
              <w:rPr>
                <w:b/>
              </w:rPr>
              <w:t>Final Decision</w:t>
            </w:r>
          </w:p>
        </w:tc>
      </w:tr>
      <w:tr>
        <w:tc>
          <w:tcPr>
            <w:tcW w:type="dxa" w:w="5040"/>
          </w:tcPr>
          <w:p>
            <w:r>
              <w:t>Primary backend framework</w:t>
            </w:r>
          </w:p>
        </w:tc>
        <w:tc>
          <w:tcPr>
            <w:tcW w:type="dxa" w:w="5040"/>
          </w:tcPr>
          <w:p>
            <w:r>
              <w:t>FastAPI</w:t>
            </w:r>
          </w:p>
        </w:tc>
      </w:tr>
      <w:tr>
        <w:tc>
          <w:tcPr>
            <w:tcW w:type="dxa" w:w="5040"/>
          </w:tcPr>
          <w:p>
            <w:r>
              <w:t>Core application style</w:t>
            </w:r>
          </w:p>
        </w:tc>
        <w:tc>
          <w:tcPr>
            <w:tcW w:type="dxa" w:w="5040"/>
          </w:tcPr>
          <w:p>
            <w:r>
              <w:t>Modular monolith</w:t>
            </w:r>
          </w:p>
        </w:tc>
      </w:tr>
      <w:tr>
        <w:tc>
          <w:tcPr>
            <w:tcW w:type="dxa" w:w="5040"/>
          </w:tcPr>
          <w:p>
            <w:r>
              <w:t>ORM</w:t>
            </w:r>
          </w:p>
        </w:tc>
        <w:tc>
          <w:tcPr>
            <w:tcW w:type="dxa" w:w="5040"/>
          </w:tcPr>
          <w:p>
            <w:r>
              <w:t>SQLAlchemy 2.x</w:t>
            </w:r>
          </w:p>
        </w:tc>
      </w:tr>
      <w:tr>
        <w:tc>
          <w:tcPr>
            <w:tcW w:type="dxa" w:w="5040"/>
          </w:tcPr>
          <w:p>
            <w:r>
              <w:t>Validation / schemas</w:t>
            </w:r>
          </w:p>
        </w:tc>
        <w:tc>
          <w:tcPr>
            <w:tcW w:type="dxa" w:w="5040"/>
          </w:tcPr>
          <w:p>
            <w:r>
              <w:t>Pydantic</w:t>
            </w:r>
          </w:p>
        </w:tc>
      </w:tr>
      <w:tr>
        <w:tc>
          <w:tcPr>
            <w:tcW w:type="dxa" w:w="5040"/>
          </w:tcPr>
          <w:p>
            <w:r>
              <w:t>Database migrations</w:t>
            </w:r>
          </w:p>
        </w:tc>
        <w:tc>
          <w:tcPr>
            <w:tcW w:type="dxa" w:w="5040"/>
          </w:tcPr>
          <w:p>
            <w:r>
              <w:t>Alembic</w:t>
            </w:r>
          </w:p>
        </w:tc>
      </w:tr>
      <w:tr>
        <w:tc>
          <w:tcPr>
            <w:tcW w:type="dxa" w:w="5040"/>
          </w:tcPr>
          <w:p>
            <w:r>
              <w:t>Primary transactional database</w:t>
            </w:r>
          </w:p>
        </w:tc>
        <w:tc>
          <w:tcPr>
            <w:tcW w:type="dxa" w:w="5040"/>
          </w:tcPr>
          <w:p>
            <w:r>
              <w:t>PostgreSQL</w:t>
            </w:r>
          </w:p>
        </w:tc>
      </w:tr>
      <w:tr>
        <w:tc>
          <w:tcPr>
            <w:tcW w:type="dxa" w:w="5040"/>
          </w:tcPr>
          <w:p>
            <w:r>
              <w:t>Async PostgreSQL driver</w:t>
            </w:r>
          </w:p>
        </w:tc>
        <w:tc>
          <w:tcPr>
            <w:tcW w:type="dxa" w:w="5040"/>
          </w:tcPr>
          <w:p>
            <w:r>
              <w:t>asyncpg</w:t>
            </w:r>
          </w:p>
        </w:tc>
      </w:tr>
      <w:tr>
        <w:tc>
          <w:tcPr>
            <w:tcW w:type="dxa" w:w="5040"/>
          </w:tcPr>
          <w:p>
            <w:r>
              <w:t>Caching / lightweight queue</w:t>
            </w:r>
          </w:p>
        </w:tc>
        <w:tc>
          <w:tcPr>
            <w:tcW w:type="dxa" w:w="5040"/>
          </w:tcPr>
          <w:p>
            <w:r>
              <w:t>Redis</w:t>
            </w:r>
          </w:p>
        </w:tc>
      </w:tr>
      <w:tr>
        <w:tc>
          <w:tcPr>
            <w:tcW w:type="dxa" w:w="5040"/>
          </w:tcPr>
          <w:p>
            <w:r>
              <w:t>Background processing</w:t>
            </w:r>
          </w:p>
        </w:tc>
        <w:tc>
          <w:tcPr>
            <w:tcW w:type="dxa" w:w="5040"/>
          </w:tcPr>
          <w:p>
            <w:r>
              <w:t>Celery workers</w:t>
            </w:r>
          </w:p>
        </w:tc>
      </w:tr>
      <w:tr>
        <w:tc>
          <w:tcPr>
            <w:tcW w:type="dxa" w:w="5040"/>
          </w:tcPr>
          <w:p>
            <w:r>
              <w:t>Event fan-out</w:t>
            </w:r>
          </w:p>
        </w:tc>
        <w:tc>
          <w:tcPr>
            <w:tcW w:type="dxa" w:w="5040"/>
          </w:tcPr>
          <w:p>
            <w:r>
              <w:t>Azure Service Bus</w:t>
            </w:r>
          </w:p>
        </w:tc>
      </w:tr>
      <w:tr>
        <w:tc>
          <w:tcPr>
            <w:tcW w:type="dxa" w:w="5040"/>
          </w:tcPr>
          <w:p>
            <w:r>
              <w:t>Search</w:t>
            </w:r>
          </w:p>
        </w:tc>
        <w:tc>
          <w:tcPr>
            <w:tcW w:type="dxa" w:w="5040"/>
          </w:tcPr>
          <w:p>
            <w:r>
              <w:t>OpenSearch</w:t>
            </w:r>
          </w:p>
        </w:tc>
      </w:tr>
      <w:tr>
        <w:tc>
          <w:tcPr>
            <w:tcW w:type="dxa" w:w="5040"/>
          </w:tcPr>
          <w:p>
            <w:r>
              <w:t>Raw/flexible processing data</w:t>
            </w:r>
          </w:p>
        </w:tc>
        <w:tc>
          <w:tcPr>
            <w:tcW w:type="dxa" w:w="5040"/>
          </w:tcPr>
          <w:p>
            <w:r>
              <w:t>MongoDB where genuinely needed</w:t>
            </w:r>
          </w:p>
        </w:tc>
      </w:tr>
      <w:tr>
        <w:tc>
          <w:tcPr>
            <w:tcW w:type="dxa" w:w="5040"/>
          </w:tcPr>
          <w:p>
            <w:r>
              <w:t>Document storage</w:t>
            </w:r>
          </w:p>
        </w:tc>
        <w:tc>
          <w:tcPr>
            <w:tcW w:type="dxa" w:w="5040"/>
          </w:tcPr>
          <w:p>
            <w:r>
              <w:t>Azure Blob Storage</w:t>
            </w:r>
          </w:p>
        </w:tc>
      </w:tr>
      <w:tr>
        <w:tc>
          <w:tcPr>
            <w:tcW w:type="dxa" w:w="5040"/>
          </w:tcPr>
          <w:p>
            <w:r>
              <w:t>Multi-tenancy</w:t>
            </w:r>
          </w:p>
        </w:tc>
        <w:tc>
          <w:tcPr>
            <w:tcW w:type="dxa" w:w="5040"/>
          </w:tcPr>
          <w:p>
            <w:r>
              <w:t>FastAPI tenant context + PostgreSQL RLS</w:t>
            </w:r>
          </w:p>
        </w:tc>
      </w:tr>
      <w:tr>
        <w:tc>
          <w:tcPr>
            <w:tcW w:type="dxa" w:w="5040"/>
          </w:tcPr>
          <w:p>
            <w:r>
              <w:t>Authentication</w:t>
            </w:r>
          </w:p>
        </w:tc>
        <w:tc>
          <w:tcPr>
            <w:tcW w:type="dxa" w:w="5040"/>
          </w:tcPr>
          <w:p>
            <w:r>
              <w:t>OAuth2/OIDC + JWT</w:t>
            </w:r>
          </w:p>
        </w:tc>
      </w:tr>
      <w:tr>
        <w:tc>
          <w:tcPr>
            <w:tcW w:type="dxa" w:w="5040"/>
          </w:tcPr>
          <w:p>
            <w:r>
              <w:t>Authorization</w:t>
            </w:r>
          </w:p>
        </w:tc>
        <w:tc>
          <w:tcPr>
            <w:tcW w:type="dxa" w:w="5040"/>
          </w:tcPr>
          <w:p>
            <w:r>
              <w:t>FastAPI permission/service layer</w:t>
            </w:r>
          </w:p>
        </w:tc>
      </w:tr>
    </w:tbl>
    <w:p/>
    <w:p>
      <w:pPr>
        <w:pStyle w:val="Heading1"/>
      </w:pPr>
      <w:r>
        <w:t>2. Architecture Principles</w:t>
      </w:r>
    </w:p>
    <w:p>
      <w:pPr>
        <w:pStyle w:val="ListNumber"/>
      </w:pPr>
      <w:r>
        <w:t>FastAPI owns all application-level business logic.</w:t>
      </w:r>
    </w:p>
    <w:p>
      <w:pPr>
        <w:pStyle w:val="ListNumber"/>
      </w:pPr>
      <w:r>
        <w:t>PostgreSQL is the source of truth for transactional business data.</w:t>
      </w:r>
    </w:p>
    <w:p>
      <w:pPr>
        <w:pStyle w:val="ListNumber"/>
      </w:pPr>
      <w:r>
        <w:t>Redis is used for cache, fast reads, rate limiting, temporary state, and queue-related workloads.</w:t>
      </w:r>
    </w:p>
    <w:p>
      <w:pPr>
        <w:pStyle w:val="ListNumber"/>
      </w:pPr>
      <w:r>
        <w:t>Heavy and slow workloads never block normal API request processes.</w:t>
      </w:r>
    </w:p>
    <w:p>
      <w:pPr>
        <w:pStyle w:val="ListNumber"/>
      </w:pPr>
      <w:r>
        <w:t>Workers consume queued jobs and domain events independently.</w:t>
      </w:r>
    </w:p>
    <w:p>
      <w:pPr>
        <w:pStyle w:val="ListNumber"/>
      </w:pPr>
      <w:r>
        <w:t>Business logic is not placed directly inside route handlers.</w:t>
      </w:r>
    </w:p>
    <w:p>
      <w:pPr>
        <w:pStyle w:val="ListNumber"/>
      </w:pPr>
      <w:r>
        <w:t>Every tenant-scoped request establishes an explicit tenant and authorization context.</w:t>
      </w:r>
    </w:p>
    <w:p>
      <w:pPr>
        <w:pStyle w:val="ListNumber"/>
      </w:pPr>
      <w:r>
        <w:t>Critical state transitions are validated by domain services.</w:t>
      </w:r>
    </w:p>
    <w:p>
      <w:pPr>
        <w:pStyle w:val="ListNumber"/>
      </w:pPr>
      <w:r>
        <w:t>Workers should not silently bypass core business rules when updating transactional state.</w:t>
      </w:r>
    </w:p>
    <w:p>
      <w:pPr>
        <w:pStyle w:val="ListNumber"/>
      </w:pPr>
      <w:r>
        <w:t>The system begins as a modular monolith and splits deployment boundaries only when scaling or operational requirements justify it.</w:t>
      </w:r>
    </w:p>
    <w:p>
      <w:pPr>
        <w:pStyle w:val="Heading1"/>
      </w:pPr>
      <w:r>
        <w:t>3. High-Level System Architecture</w:t>
      </w:r>
    </w:p>
    <w:p>
      <w:pPr>
        <w:spacing w:after="120"/>
        <w:ind w:left="288" w:right="288"/>
      </w:pPr>
      <w:r>
        <w:rPr>
          <w:rFonts w:ascii="Courier New" w:hAnsi="Courier New"/>
          <w:sz w:val="17"/>
        </w:rPr>
        <w:t>CLIENT APPLICATIONS</w:t>
        <w:br/>
        <w:t>────────────────────────────────────────────────────────────</w:t>
        <w:br/>
        <w:t>Next.js Web App        Future Mobile Apps        Client Portal</w:t>
        <w:br/>
        <w:t xml:space="preserve">        │                    │                       │</w:t>
        <w:br/>
        <w:t xml:space="preserve">        └────────────────────┼───────────────────────┘</w:t>
        <w:br/>
        <w:t xml:space="preserve">                             ▼</w:t>
        <w:br/>
        <w:t xml:space="preserve">                    EDGE / API SECURITY</w:t>
        <w:br/>
        <w:t xml:space="preserve">              WAF • TLS • Rate Limits • Tracing</w:t>
        <w:br/>
        <w:t xml:space="preserve">                             │</w:t>
        <w:br/>
        <w:t xml:space="preserve">                             ▼</w:t>
        <w:br/>
        <w:t xml:space="preserve">                 FASTAPI MODULAR CORE PLATFORM</w:t>
        <w:br/>
        <w:t xml:space="preserve">                             │</w:t>
        <w:br/>
        <w:t xml:space="preserve">       ┌─────────────────────┼───────────────────────┐</w:t>
        <w:br/>
        <w:t xml:space="preserve">       ▼                     ▼                       ▼</w:t>
        <w:br/>
        <w:t xml:space="preserve"> PostgreSQL               Redis               Service Bus</w:t>
        <w:br/>
        <w:t xml:space="preserve"> Source of Truth       Cache / Fast Reads      Event Fan-out</w:t>
        <w:br/>
        <w:t xml:space="preserve">       │                     │                       │</w:t>
        <w:br/>
        <w:t xml:space="preserve">       │                     │                       ▼</w:t>
        <w:br/>
        <w:t xml:space="preserve">       │                     │               Independent Workers</w:t>
        <w:br/>
        <w:t xml:space="preserve">       │                     │               • Documents</w:t>
        <w:br/>
        <w:t xml:space="preserve">       │                     │               • OCR / AI</w:t>
        <w:br/>
        <w:t xml:space="preserve">       │                     │               • Communications</w:t>
        <w:br/>
        <w:t xml:space="preserve">       │                     │               • Reporting</w:t>
        <w:br/>
        <w:t xml:space="preserve">       │                     │               • Automation</w:t>
        <w:br/>
        <w:t xml:space="preserve">       ▼                     ▼</w:t>
        <w:br/>
        <w:t>Transactional Data     Cached Read Models</w:t>
        <w:br/>
        <w:t xml:space="preserve">       │</w:t>
        <w:br/>
        <w:t xml:space="preserve">       ├──────────────────────────┬─────────────────────────┐</w:t>
        <w:br/>
        <w:t xml:space="preserve">       ▼                          ▼                         ▼</w:t>
        <w:br/>
        <w:t xml:space="preserve"> OpenSearch                    MongoDB                Blob Storage</w:t>
        <w:br/>
        <w:t xml:space="preserve"> Global Search             Flexible Results          Documents</w:t>
        <w:br/>
      </w:r>
    </w:p>
    <w:p>
      <w:pPr>
        <w:pStyle w:val="Heading1"/>
      </w:pPr>
      <w:r>
        <w:t>4. Recommended Repository Structure</w:t>
      </w:r>
    </w:p>
    <w:p>
      <w:r>
        <w:t>Recommended top-level repository organization:</w:t>
      </w:r>
    </w:p>
    <w:p>
      <w:pPr>
        <w:spacing w:after="120"/>
        <w:ind w:left="288" w:right="288"/>
      </w:pPr>
      <w:r>
        <w:rPr>
          <w:rFonts w:ascii="Courier New" w:hAnsi="Courier New"/>
          <w:sz w:val="17"/>
        </w:rPr>
        <w:t>CA-NEXUS/</w:t>
        <w:br/>
        <w:t>│</w:t>
        <w:br/>
        <w:t>├── Frontend/</w:t>
        <w:br/>
        <w:t>│   └── Next.js + TypeScript + Tailwind + shadcn/ui</w:t>
        <w:br/>
        <w:t>│</w:t>
        <w:br/>
        <w:t>├── Backend/</w:t>
        <w:br/>
        <w:t>│   │</w:t>
        <w:br/>
        <w:t>│   ├── nexus-api/</w:t>
        <w:br/>
        <w:t>│   │   └── FastAPI modular core</w:t>
        <w:br/>
        <w:t>│   │</w:t>
        <w:br/>
        <w:t>│   ├── nexus-workers/</w:t>
        <w:br/>
        <w:t>│   │   └── Celery and scheduled background workers</w:t>
        <w:br/>
        <w:t>│   │</w:t>
        <w:br/>
        <w:t>│   ├── nexus-processing/</w:t>
        <w:br/>
        <w:t>│   │   └── OCR, extraction, classification and AI processing</w:t>
        <w:br/>
        <w:t>│   │</w:t>
        <w:br/>
        <w:t>│   ├── nexus-integrations/</w:t>
        <w:br/>
        <w:t>│   │   └── Webhooks and external provider adapters</w:t>
        <w:br/>
        <w:t>│   │</w:t>
        <w:br/>
        <w:t>│   └── shared/</w:t>
        <w:br/>
        <w:t>│       └── Shared contracts, events and utilities</w:t>
        <w:br/>
        <w:t>│</w:t>
        <w:br/>
        <w:t>└── Infrastructure/</w:t>
        <w:br/>
        <w:t xml:space="preserve">    ├── Docker</w:t>
        <w:br/>
        <w:t xml:space="preserve">    ├── Terraform</w:t>
        <w:br/>
        <w:t xml:space="preserve">    ├── CI/CD</w:t>
        <w:br/>
        <w:t xml:space="preserve">    ├── Monitoring</w:t>
        <w:br/>
        <w:t xml:space="preserve">    └── Environment configuration</w:t>
        <w:br/>
      </w:r>
    </w:p>
    <w:p>
      <w:pPr>
        <w:pStyle w:val="Heading1"/>
      </w:pPr>
      <w:r>
        <w:t>5. Detailed FastAPI Application Structure</w:t>
      </w:r>
    </w:p>
    <w:p>
      <w:pPr>
        <w:spacing w:after="120"/>
        <w:ind w:left="288" w:right="288"/>
      </w:pPr>
      <w:r>
        <w:rPr>
          <w:rFonts w:ascii="Courier New" w:hAnsi="Courier New"/>
          <w:sz w:val="17"/>
        </w:rPr>
        <w:t>nexus-api/</w:t>
        <w:br/>
        <w:t>│</w:t>
        <w:br/>
        <w:t>├── app/</w:t>
        <w:br/>
        <w:t>│   ├── main.py</w:t>
        <w:br/>
        <w:t>│   │</w:t>
        <w:br/>
        <w:t>│   ├── core/</w:t>
        <w:br/>
        <w:t>│   │   ├── config/</w:t>
        <w:br/>
        <w:t>│   │   ├── database/</w:t>
        <w:br/>
        <w:t>│   │   ├── security/</w:t>
        <w:br/>
        <w:t>│   │   ├── tenancy/</w:t>
        <w:br/>
        <w:t>│   │   ├── permissions/</w:t>
        <w:br/>
        <w:t>│   │   ├── cache/</w:t>
        <w:br/>
        <w:t>│   │   ├── logging/</w:t>
        <w:br/>
        <w:t>│   │   ├── exceptions/</w:t>
        <w:br/>
        <w:t>│   │   └── observability/</w:t>
        <w:br/>
        <w:t>│   │</w:t>
        <w:br/>
        <w:t>│   ├── api/</w:t>
        <w:br/>
        <w:t>│   │   ├── dependencies/</w:t>
        <w:br/>
        <w:t>│   │   ├── middleware/</w:t>
        <w:br/>
        <w:t>│   │   └── routers/</w:t>
        <w:br/>
        <w:t>│   │</w:t>
        <w:br/>
        <w:t>│   ├── modules/</w:t>
        <w:br/>
        <w:t>│   │   ├── firms/</w:t>
        <w:br/>
        <w:t>│   │   ├── users/</w:t>
        <w:br/>
        <w:t>│   │   ├── clients/</w:t>
        <w:br/>
        <w:t>│   │   ├── contacts/</w:t>
        <w:br/>
        <w:t>│   │   ├── matters/</w:t>
        <w:br/>
        <w:t>│   │   ├── services/</w:t>
        <w:br/>
        <w:t>│   │   ├── compliance/</w:t>
        <w:br/>
        <w:t>│   │   ├── tasks/</w:t>
        <w:br/>
        <w:t>│   │   ├── workflows/</w:t>
        <w:br/>
        <w:t>│   │   ├── documents/</w:t>
        <w:br/>
        <w:t>│   │   ├── communications/</w:t>
        <w:br/>
        <w:t>│   │   ├── conversations/</w:t>
        <w:br/>
        <w:t>│   │   ├── campaigns/</w:t>
        <w:br/>
        <w:t>│   │   ├── notices/</w:t>
        <w:br/>
        <w:t>│   │   ├── billing/</w:t>
        <w:br/>
        <w:t>│   │   ├── audit/</w:t>
        <w:br/>
        <w:t>│   │   ├── firm_operations/</w:t>
        <w:br/>
        <w:t>│   │   ├── registers/</w:t>
        <w:br/>
        <w:t>│   │   ├── calendar/</w:t>
        <w:br/>
        <w:t>│   │   └── reporting/</w:t>
        <w:br/>
        <w:t>│   │</w:t>
        <w:br/>
        <w:t>│   ├── events/</w:t>
        <w:br/>
        <w:t>│   ├── shared/</w:t>
        <w:br/>
        <w:t>│   └── tests/</w:t>
        <w:br/>
        <w:t>│</w:t>
        <w:br/>
        <w:t>├── migrations/</w:t>
        <w:br/>
        <w:t>├── alembic.ini</w:t>
        <w:br/>
        <w:t>├── pyproject.toml</w:t>
        <w:br/>
        <w:t>└── Dockerfile</w:t>
        <w:br/>
      </w:r>
    </w:p>
    <w:p>
      <w:pPr>
        <w:pStyle w:val="Heading1"/>
      </w:pPr>
      <w:r>
        <w:t>6. Standard Module Internal Structure</w:t>
      </w:r>
    </w:p>
    <w:p>
      <w:r>
        <w:t>Each major domain module should follow a consistent internal structure. Example:</w:t>
      </w:r>
    </w:p>
    <w:p>
      <w:pPr>
        <w:spacing w:after="120"/>
        <w:ind w:left="288" w:right="288"/>
      </w:pPr>
      <w:r>
        <w:rPr>
          <w:rFonts w:ascii="Courier New" w:hAnsi="Courier New"/>
          <w:sz w:val="17"/>
        </w:rPr>
        <w:t>modules/compliance/</w:t>
        <w:br/>
        <w:t>│</w:t>
        <w:br/>
        <w:t>├── router.py          # HTTP endpoints only</w:t>
        <w:br/>
        <w:t>├── schemas.py         # Pydantic request/response schemas</w:t>
        <w:br/>
        <w:t>├── models.py          # SQLAlchemy persistence models</w:t>
        <w:br/>
        <w:t>├── repository.py      # Database queries and persistence</w:t>
        <w:br/>
        <w:t>├── service.py         # Business rules and transactions</w:t>
        <w:br/>
        <w:t>├── permissions.py     # Domain-specific authorization</w:t>
        <w:br/>
        <w:t>├── events.py          # Domain event definitions</w:t>
        <w:br/>
        <w:t>├── workflows.py       # Compliance state transition logic</w:t>
        <w:br/>
        <w:t>└── tests/</w:t>
        <w:br/>
      </w:r>
    </w:p>
    <w:p>
      <w:r>
        <w:t>Not every small module needs every file. The structure should be applied proportionally. Large domains such as compliance, documents, communications, and billing should be explicitly layered.</w:t>
      </w:r>
    </w:p>
    <w:p>
      <w:pPr>
        <w:pStyle w:val="Heading1"/>
      </w:pPr>
      <w:r>
        <w:t>7. Request and Transaction Flow</w:t>
      </w:r>
    </w:p>
    <w:p>
      <w:pPr>
        <w:spacing w:after="120"/>
        <w:ind w:left="288" w:right="288"/>
      </w:pPr>
      <w:r>
        <w:rPr>
          <w:rFonts w:ascii="Courier New" w:hAnsi="Courier New"/>
          <w:sz w:val="17"/>
        </w:rPr>
        <w:t>HTTP Request</w:t>
        <w:br/>
        <w:t xml:space="preserve">    │</w:t>
        <w:br/>
        <w:t xml:space="preserve">    ▼</w:t>
        <w:br/>
        <w:t>FastAPI Router</w:t>
        <w:br/>
        <w:t xml:space="preserve">    │</w:t>
        <w:br/>
        <w:t xml:space="preserve">    ▼</w:t>
        <w:br/>
        <w:t>Authentication Dependency</w:t>
        <w:br/>
        <w:t xml:space="preserve">    │</w:t>
        <w:br/>
        <w:t xml:space="preserve">    ▼</w:t>
        <w:br/>
        <w:t>Tenant Context</w:t>
        <w:br/>
        <w:t xml:space="preserve">    │</w:t>
        <w:br/>
        <w:t xml:space="preserve">    ▼</w:t>
        <w:br/>
        <w:t>Authorization / Permission Check</w:t>
        <w:br/>
        <w:t xml:space="preserve">    │</w:t>
        <w:br/>
        <w:t xml:space="preserve">    ▼</w:t>
        <w:br/>
        <w:t>Pydantic Validation</w:t>
        <w:br/>
        <w:t xml:space="preserve">    │</w:t>
        <w:br/>
        <w:t xml:space="preserve">    ▼</w:t>
        <w:br/>
        <w:t>Domain Service</w:t>
        <w:br/>
        <w:t xml:space="preserve">    │</w:t>
        <w:br/>
        <w:t xml:space="preserve">    ├── Business Rules</w:t>
        <w:br/>
        <w:t xml:space="preserve">    ├── Workflow Validation</w:t>
        <w:br/>
        <w:t xml:space="preserve">    ├── Cross-Entity Validation</w:t>
        <w:br/>
        <w:t xml:space="preserve">    └── Transaction Coordination</w:t>
        <w:br/>
        <w:t xml:space="preserve">    │</w:t>
        <w:br/>
        <w:t xml:space="preserve">    ▼</w:t>
        <w:br/>
        <w:t>Repository</w:t>
        <w:br/>
        <w:t xml:space="preserve">    │</w:t>
        <w:br/>
        <w:t xml:space="preserve">    ▼</w:t>
        <w:br/>
        <w:t>SQLAlchemy</w:t>
        <w:br/>
        <w:t xml:space="preserve">    │</w:t>
        <w:br/>
        <w:t xml:space="preserve">    ▼</w:t>
        <w:br/>
        <w:t>PostgreSQL Transaction</w:t>
        <w:br/>
        <w:t xml:space="preserve">    │</w:t>
        <w:br/>
        <w:t xml:space="preserve">    ├── Commit</w:t>
        <w:br/>
        <w:t xml:space="preserve">    └── Publish Domain Event</w:t>
        <w:br/>
      </w:r>
    </w:p>
    <w:p>
      <w:pPr>
        <w:pStyle w:val="Heading1"/>
      </w:pPr>
      <w:r>
        <w:t>8. Core Domain Ownership</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Domain</w:t>
            </w:r>
          </w:p>
        </w:tc>
        <w:tc>
          <w:tcPr>
            <w:tcW w:type="dxa" w:w="5040"/>
            <w:shd w:fill="D9EAF7"/>
          </w:tcPr>
          <w:p>
            <w:r>
              <w:rPr>
                <w:b/>
              </w:rPr>
              <w:t>FastAPI Core Responsibility</w:t>
            </w:r>
          </w:p>
        </w:tc>
      </w:tr>
      <w:tr>
        <w:tc>
          <w:tcPr>
            <w:tcW w:type="dxa" w:w="5040"/>
          </w:tcPr>
          <w:p>
            <w:r>
              <w:t>Firms &amp; Tenancy</w:t>
            </w:r>
          </w:p>
        </w:tc>
        <w:tc>
          <w:tcPr>
            <w:tcW w:type="dxa" w:w="5040"/>
          </w:tcPr>
          <w:p>
            <w:r>
              <w:t>Firm, branch, department, team and tenant boundaries</w:t>
            </w:r>
          </w:p>
        </w:tc>
      </w:tr>
      <w:tr>
        <w:tc>
          <w:tcPr>
            <w:tcW w:type="dxa" w:w="5040"/>
          </w:tcPr>
          <w:p>
            <w:r>
              <w:t>Users &amp; RBAC</w:t>
            </w:r>
          </w:p>
        </w:tc>
        <w:tc>
          <w:tcPr>
            <w:tcW w:type="dxa" w:w="5040"/>
          </w:tcPr>
          <w:p>
            <w:r>
              <w:t>Users, roles, permissions, resource access</w:t>
            </w:r>
          </w:p>
        </w:tc>
      </w:tr>
      <w:tr>
        <w:tc>
          <w:tcPr>
            <w:tcW w:type="dxa" w:w="5040"/>
          </w:tcPr>
          <w:p>
            <w:r>
              <w:t>Clients</w:t>
            </w:r>
          </w:p>
        </w:tc>
        <w:tc>
          <w:tcPr>
            <w:tcW w:type="dxa" w:w="5040"/>
          </w:tcPr>
          <w:p>
            <w:r>
              <w:t>Client profiles, contacts, registrations, licenses and onboarding</w:t>
            </w:r>
          </w:p>
        </w:tc>
      </w:tr>
      <w:tr>
        <w:tc>
          <w:tcPr>
            <w:tcW w:type="dxa" w:w="5040"/>
          </w:tcPr>
          <w:p>
            <w:r>
              <w:t>Matters</w:t>
            </w:r>
          </w:p>
        </w:tc>
        <w:tc>
          <w:tcPr>
            <w:tcW w:type="dxa" w:w="5040"/>
          </w:tcPr>
          <w:p>
            <w:r>
              <w:t>Engagements, lifecycle, service relationships and assignments</w:t>
            </w:r>
          </w:p>
        </w:tc>
      </w:tr>
      <w:tr>
        <w:tc>
          <w:tcPr>
            <w:tcW w:type="dxa" w:w="5040"/>
          </w:tcPr>
          <w:p>
            <w:r>
              <w:t>Compliance</w:t>
            </w:r>
          </w:p>
        </w:tc>
        <w:tc>
          <w:tcPr>
            <w:tcW w:type="dxa" w:w="5040"/>
          </w:tcPr>
          <w:p>
            <w:r>
              <w:t>Compliance types, cycles, deadlines, workflow and filing state</w:t>
            </w:r>
          </w:p>
        </w:tc>
      </w:tr>
      <w:tr>
        <w:tc>
          <w:tcPr>
            <w:tcW w:type="dxa" w:w="5040"/>
          </w:tcPr>
          <w:p>
            <w:r>
              <w:t>Tasks</w:t>
            </w:r>
          </w:p>
        </w:tc>
        <w:tc>
          <w:tcPr>
            <w:tcW w:type="dxa" w:w="5040"/>
          </w:tcPr>
          <w:p>
            <w:r>
              <w:t>Tasks, dependencies, subtasks, checklists, review and completion</w:t>
            </w:r>
          </w:p>
        </w:tc>
      </w:tr>
      <w:tr>
        <w:tc>
          <w:tcPr>
            <w:tcW w:type="dxa" w:w="5040"/>
          </w:tcPr>
          <w:p>
            <w:r>
              <w:t>Documents</w:t>
            </w:r>
          </w:p>
        </w:tc>
        <w:tc>
          <w:tcPr>
            <w:tcW w:type="dxa" w:w="5040"/>
          </w:tcPr>
          <w:p>
            <w:r>
              <w:t>Metadata, relationships, versions, permissions and processing state</w:t>
            </w:r>
          </w:p>
        </w:tc>
      </w:tr>
      <w:tr>
        <w:tc>
          <w:tcPr>
            <w:tcW w:type="dxa" w:w="5040"/>
          </w:tcPr>
          <w:p>
            <w:r>
              <w:t>Communications</w:t>
            </w:r>
          </w:p>
        </w:tc>
        <w:tc>
          <w:tcPr>
            <w:tcW w:type="dxa" w:w="5040"/>
          </w:tcPr>
          <w:p>
            <w:r>
              <w:t>Messages, conversations, provider state and client/matter links</w:t>
            </w:r>
          </w:p>
        </w:tc>
      </w:tr>
      <w:tr>
        <w:tc>
          <w:tcPr>
            <w:tcW w:type="dxa" w:w="5040"/>
          </w:tcPr>
          <w:p>
            <w:r>
              <w:t>Campaigns</w:t>
            </w:r>
          </w:p>
        </w:tc>
        <w:tc>
          <w:tcPr>
            <w:tcW w:type="dxa" w:w="5040"/>
          </w:tcPr>
          <w:p>
            <w:r>
              <w:t>Campaign definitions, audience selection and execution requests</w:t>
            </w:r>
          </w:p>
        </w:tc>
      </w:tr>
      <w:tr>
        <w:tc>
          <w:tcPr>
            <w:tcW w:type="dxa" w:w="5040"/>
          </w:tcPr>
          <w:p>
            <w:r>
              <w:t>Billing</w:t>
            </w:r>
          </w:p>
        </w:tc>
        <w:tc>
          <w:tcPr>
            <w:tcW w:type="dxa" w:w="5040"/>
          </w:tcPr>
          <w:p>
            <w:r>
              <w:t>Time, invoices, payments, expenses and profitability</w:t>
            </w:r>
          </w:p>
        </w:tc>
      </w:tr>
      <w:tr>
        <w:tc>
          <w:tcPr>
            <w:tcW w:type="dxa" w:w="5040"/>
          </w:tcPr>
          <w:p>
            <w:r>
              <w:t>Audit</w:t>
            </w:r>
          </w:p>
        </w:tc>
        <w:tc>
          <w:tcPr>
            <w:tcW w:type="dxa" w:w="5040"/>
          </w:tcPr>
          <w:p>
            <w:r>
              <w:t>Business audit metadata and user action history</w:t>
            </w:r>
          </w:p>
        </w:tc>
      </w:tr>
      <w:tr>
        <w:tc>
          <w:tcPr>
            <w:tcW w:type="dxa" w:w="5040"/>
          </w:tcPr>
          <w:p>
            <w:r>
              <w:t>Operations</w:t>
            </w:r>
          </w:p>
        </w:tc>
        <w:tc>
          <w:tcPr>
            <w:tcW w:type="dxa" w:w="5040"/>
          </w:tcPr>
          <w:p>
            <w:r>
              <w:t>Registers, calendars, workload and firm operations</w:t>
            </w:r>
          </w:p>
        </w:tc>
      </w:tr>
      <w:tr>
        <w:tc>
          <w:tcPr>
            <w:tcW w:type="dxa" w:w="5040"/>
          </w:tcPr>
          <w:p>
            <w:r>
              <w:t>Reporting</w:t>
            </w:r>
          </w:p>
        </w:tc>
        <w:tc>
          <w:tcPr>
            <w:tcW w:type="dxa" w:w="5040"/>
          </w:tcPr>
          <w:p>
            <w:r>
              <w:t>Report definitions, permissions and asynchronous generation</w:t>
            </w:r>
          </w:p>
        </w:tc>
      </w:tr>
    </w:tbl>
    <w:p/>
    <w:p>
      <w:pPr>
        <w:pStyle w:val="Heading1"/>
      </w:pPr>
      <w:r>
        <w:t>9. Compliance Engine Architecture</w:t>
      </w:r>
    </w:p>
    <w:p>
      <w:r>
        <w:t>The Compliance Engine should remain a first-class domain rather than being embedded inside Matter or Task code. It should connect to clients, matters, tasks, documents, communications, campaigns and filing workflows.</w:t>
      </w:r>
    </w:p>
    <w:p>
      <w:pPr>
        <w:spacing w:after="120"/>
        <w:ind w:left="288" w:right="288"/>
      </w:pPr>
      <w:r>
        <w:rPr>
          <w:rFonts w:ascii="Courier New" w:hAnsi="Courier New"/>
          <w:sz w:val="17"/>
        </w:rPr>
        <w:t>Client / Entity</w:t>
        <w:br/>
        <w:t xml:space="preserve">      │</w:t>
        <w:br/>
        <w:t xml:space="preserve">      ▼</w:t>
        <w:br/>
        <w:t>Compliance Applicability</w:t>
        <w:br/>
        <w:t xml:space="preserve">      │</w:t>
        <w:br/>
        <w:t xml:space="preserve">      ▼</w:t>
        <w:br/>
        <w:t>Compliance Cycle</w:t>
        <w:br/>
        <w:t xml:space="preserve">      │</w:t>
        <w:br/>
        <w:t xml:space="preserve">      ├───────────────┬────────────────┬────────────────┐</w:t>
        <w:br/>
        <w:t xml:space="preserve">      ▼               ▼                ▼                ▼</w:t>
        <w:br/>
        <w:t xml:space="preserve"> Workflow          Documents          Tasks      Communications</w:t>
        <w:br/>
        <w:t xml:space="preserve">      │</w:t>
        <w:br/>
        <w:t xml:space="preserve">      ▼</w:t>
        <w:br/>
        <w:t>Review / Approval</w:t>
        <w:br/>
        <w:t xml:space="preserve">      │</w:t>
        <w:br/>
        <w:t xml:space="preserve">      ▼</w:t>
        <w:br/>
        <w:t>Filing</w:t>
        <w:br/>
        <w:t xml:space="preserve">      │</w:t>
        <w:br/>
        <w:t xml:space="preserve">      ▼</w:t>
        <w:br/>
        <w:t>Completion</w:t>
        <w:br/>
      </w:r>
    </w:p>
    <w:p>
      <w:r>
        <w:t>Recommended compliance workflow ownership:</w:t>
      </w:r>
    </w:p>
    <w:p>
      <w:pPr>
        <w:pStyle w:val="ListBullet"/>
      </w:pPr>
      <w:r>
        <w:t>Workflow transitions must be validated centrally.</w:t>
      </w:r>
    </w:p>
    <w:p>
      <w:pPr>
        <w:pStyle w:val="ListBullet"/>
      </w:pPr>
      <w:r>
        <w:t>Each stage should define allowed transitions.</w:t>
      </w:r>
    </w:p>
    <w:p>
      <w:pPr>
        <w:pStyle w:val="ListBullet"/>
      </w:pPr>
      <w:r>
        <w:t>Advance and rework actions should generate auditable events.</w:t>
      </w:r>
    </w:p>
    <w:p>
      <w:pPr>
        <w:pStyle w:val="ListBullet"/>
      </w:pPr>
      <w:r>
        <w:t>Tasks and document requirements should be linked rather than duplicated.</w:t>
      </w:r>
    </w:p>
    <w:p>
      <w:pPr>
        <w:pStyle w:val="ListBullet"/>
      </w:pPr>
      <w:r>
        <w:t>Due-date calculations should be explicit and testable.</w:t>
      </w:r>
    </w:p>
    <w:p>
      <w:pPr>
        <w:pStyle w:val="ListBullet"/>
      </w:pPr>
      <w:r>
        <w:t>ITR, GST, TDS and MCA/ROC should reuse shared cycle and workflow abstractions.</w:t>
      </w:r>
    </w:p>
    <w:p>
      <w:pPr>
        <w:pStyle w:val="ListBullet"/>
      </w:pPr>
      <w:r>
        <w:t>Specialized workspace APIs should be projections over shared compliance domain data rather than four separate backend applications.</w:t>
      </w:r>
    </w:p>
    <w:p>
      <w:pPr>
        <w:pStyle w:val="Heading1"/>
      </w:pPr>
      <w:r>
        <w:t>10. Database Architecture</w:t>
      </w:r>
    </w:p>
    <w:p>
      <w:r>
        <w:t>PostgreSQL is the primary source of truth for all transactional CA Nexus data.</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Data Type</w:t>
            </w:r>
          </w:p>
        </w:tc>
        <w:tc>
          <w:tcPr>
            <w:tcW w:type="dxa" w:w="3360"/>
            <w:shd w:fill="D9EAF7"/>
          </w:tcPr>
          <w:p>
            <w:r>
              <w:rPr>
                <w:b/>
              </w:rPr>
              <w:t>Recommended Store</w:t>
            </w:r>
          </w:p>
        </w:tc>
        <w:tc>
          <w:tcPr>
            <w:tcW w:type="dxa" w:w="3360"/>
            <w:shd w:fill="D9EAF7"/>
          </w:tcPr>
          <w:p>
            <w:r>
              <w:rPr>
                <w:b/>
              </w:rPr>
              <w:t>Reason</w:t>
            </w:r>
          </w:p>
        </w:tc>
      </w:tr>
      <w:tr>
        <w:tc>
          <w:tcPr>
            <w:tcW w:type="dxa" w:w="3360"/>
          </w:tcPr>
          <w:p>
            <w:r>
              <w:t>Clients, matters, tasks</w:t>
            </w:r>
          </w:p>
        </w:tc>
        <w:tc>
          <w:tcPr>
            <w:tcW w:type="dxa" w:w="3360"/>
          </w:tcPr>
          <w:p>
            <w:r>
              <w:t>PostgreSQL</w:t>
            </w:r>
          </w:p>
        </w:tc>
        <w:tc>
          <w:tcPr>
            <w:tcW w:type="dxa" w:w="3360"/>
          </w:tcPr>
          <w:p>
            <w:r>
              <w:t>Transactional relational data</w:t>
            </w:r>
          </w:p>
        </w:tc>
      </w:tr>
      <w:tr>
        <w:tc>
          <w:tcPr>
            <w:tcW w:type="dxa" w:w="3360"/>
          </w:tcPr>
          <w:p>
            <w:r>
              <w:t>Compliance cycles and workflows</w:t>
            </w:r>
          </w:p>
        </w:tc>
        <w:tc>
          <w:tcPr>
            <w:tcW w:type="dxa" w:w="3360"/>
          </w:tcPr>
          <w:p>
            <w:r>
              <w:t>PostgreSQL</w:t>
            </w:r>
          </w:p>
        </w:tc>
        <w:tc>
          <w:tcPr>
            <w:tcW w:type="dxa" w:w="3360"/>
          </w:tcPr>
          <w:p>
            <w:r>
              <w:t>Strong consistency and relationships</w:t>
            </w:r>
          </w:p>
        </w:tc>
      </w:tr>
      <w:tr>
        <w:tc>
          <w:tcPr>
            <w:tcW w:type="dxa" w:w="3360"/>
          </w:tcPr>
          <w:p>
            <w:r>
              <w:t>Users and permissions</w:t>
            </w:r>
          </w:p>
        </w:tc>
        <w:tc>
          <w:tcPr>
            <w:tcW w:type="dxa" w:w="3360"/>
          </w:tcPr>
          <w:p>
            <w:r>
              <w:t>PostgreSQL</w:t>
            </w:r>
          </w:p>
        </w:tc>
        <w:tc>
          <w:tcPr>
            <w:tcW w:type="dxa" w:w="3360"/>
          </w:tcPr>
          <w:p>
            <w:r>
              <w:t>Authorization consistency</w:t>
            </w:r>
          </w:p>
        </w:tc>
      </w:tr>
      <w:tr>
        <w:tc>
          <w:tcPr>
            <w:tcW w:type="dxa" w:w="3360"/>
          </w:tcPr>
          <w:p>
            <w:r>
              <w:t>Invoices and payments</w:t>
            </w:r>
          </w:p>
        </w:tc>
        <w:tc>
          <w:tcPr>
            <w:tcW w:type="dxa" w:w="3360"/>
          </w:tcPr>
          <w:p>
            <w:r>
              <w:t>PostgreSQL</w:t>
            </w:r>
          </w:p>
        </w:tc>
        <w:tc>
          <w:tcPr>
            <w:tcW w:type="dxa" w:w="3360"/>
          </w:tcPr>
          <w:p>
            <w:r>
              <w:t>Transactional integrity</w:t>
            </w:r>
          </w:p>
        </w:tc>
      </w:tr>
      <w:tr>
        <w:tc>
          <w:tcPr>
            <w:tcW w:type="dxa" w:w="3360"/>
          </w:tcPr>
          <w:p>
            <w:r>
              <w:t>Document metadata</w:t>
            </w:r>
          </w:p>
        </w:tc>
        <w:tc>
          <w:tcPr>
            <w:tcW w:type="dxa" w:w="3360"/>
          </w:tcPr>
          <w:p>
            <w:r>
              <w:t>PostgreSQL</w:t>
            </w:r>
          </w:p>
        </w:tc>
        <w:tc>
          <w:tcPr>
            <w:tcW w:type="dxa" w:w="3360"/>
          </w:tcPr>
          <w:p>
            <w:r>
              <w:t>Relationships and permissions</w:t>
            </w:r>
          </w:p>
        </w:tc>
      </w:tr>
      <w:tr>
        <w:tc>
          <w:tcPr>
            <w:tcW w:type="dxa" w:w="3360"/>
          </w:tcPr>
          <w:p>
            <w:r>
              <w:t>Document binaries</w:t>
            </w:r>
          </w:p>
        </w:tc>
        <w:tc>
          <w:tcPr>
            <w:tcW w:type="dxa" w:w="3360"/>
          </w:tcPr>
          <w:p>
            <w:r>
              <w:t>Blob Storage</w:t>
            </w:r>
          </w:p>
        </w:tc>
        <w:tc>
          <w:tcPr>
            <w:tcW w:type="dxa" w:w="3360"/>
          </w:tcPr>
          <w:p>
            <w:r>
              <w:t>Large file storage</w:t>
            </w:r>
          </w:p>
        </w:tc>
      </w:tr>
      <w:tr>
        <w:tc>
          <w:tcPr>
            <w:tcW w:type="dxa" w:w="3360"/>
          </w:tcPr>
          <w:p>
            <w:r>
              <w:t>Frequently read dashboard data</w:t>
            </w:r>
          </w:p>
        </w:tc>
        <w:tc>
          <w:tcPr>
            <w:tcW w:type="dxa" w:w="3360"/>
          </w:tcPr>
          <w:p>
            <w:r>
              <w:t>Redis</w:t>
            </w:r>
          </w:p>
        </w:tc>
        <w:tc>
          <w:tcPr>
            <w:tcW w:type="dxa" w:w="3360"/>
          </w:tcPr>
          <w:p>
            <w:r>
              <w:t>Fast low-latency reads</w:t>
            </w:r>
          </w:p>
        </w:tc>
      </w:tr>
      <w:tr>
        <w:tc>
          <w:tcPr>
            <w:tcW w:type="dxa" w:w="3360"/>
          </w:tcPr>
          <w:p>
            <w:r>
              <w:t>Search indexes</w:t>
            </w:r>
          </w:p>
        </w:tc>
        <w:tc>
          <w:tcPr>
            <w:tcW w:type="dxa" w:w="3360"/>
          </w:tcPr>
          <w:p>
            <w:r>
              <w:t>OpenSearch</w:t>
            </w:r>
          </w:p>
        </w:tc>
        <w:tc>
          <w:tcPr>
            <w:tcW w:type="dxa" w:w="3360"/>
          </w:tcPr>
          <w:p>
            <w:r>
              <w:t>Global text and structured search</w:t>
            </w:r>
          </w:p>
        </w:tc>
      </w:tr>
      <w:tr>
        <w:tc>
          <w:tcPr>
            <w:tcW w:type="dxa" w:w="3360"/>
          </w:tcPr>
          <w:p>
            <w:r>
              <w:t>Large flexible extraction payloads</w:t>
            </w:r>
          </w:p>
        </w:tc>
        <w:tc>
          <w:tcPr>
            <w:tcW w:type="dxa" w:w="3360"/>
          </w:tcPr>
          <w:p>
            <w:r>
              <w:t>MongoDB only where useful</w:t>
            </w:r>
          </w:p>
        </w:tc>
        <w:tc>
          <w:tcPr>
            <w:tcW w:type="dxa" w:w="3360"/>
          </w:tcPr>
          <w:p>
            <w:r>
              <w:t>Schema flexibility</w:t>
            </w:r>
          </w:p>
        </w:tc>
      </w:tr>
    </w:tbl>
    <w:p/>
    <w:p>
      <w:pPr>
        <w:pStyle w:val="Heading1"/>
      </w:pPr>
      <w:r>
        <w:t>11. SQLAlchemy and Repository Strategy</w:t>
      </w:r>
    </w:p>
    <w:p>
      <w:r>
        <w:t>Use SQLAlchemy 2.x with clear transaction ownership. Repositories should focus on persistence operations and query construction. Domain services should decide what business operation is valid.</w:t>
      </w:r>
    </w:p>
    <w:p>
      <w:pPr>
        <w:pStyle w:val="ListBullet"/>
      </w:pPr>
      <w:r>
        <w:t>Avoid embedding major workflow decisions in SQLAlchemy models.</w:t>
      </w:r>
    </w:p>
    <w:p>
      <w:pPr>
        <w:pStyle w:val="ListBullet"/>
      </w:pPr>
      <w:r>
        <w:t>Avoid repositories containing unrelated business policy.</w:t>
      </w:r>
    </w:p>
    <w:p>
      <w:pPr>
        <w:pStyle w:val="ListBullet"/>
      </w:pPr>
      <w:r>
        <w:t>Use database transactions for multi-table business operations.</w:t>
      </w:r>
    </w:p>
    <w:p>
      <w:pPr>
        <w:pStyle w:val="ListBullet"/>
      </w:pPr>
      <w:r>
        <w:t>Use optimistic or explicit concurrency controls for critical state transitions where required.</w:t>
      </w:r>
    </w:p>
    <w:p>
      <w:pPr>
        <w:pStyle w:val="ListBullet"/>
      </w:pPr>
      <w:r>
        <w:t>Keep expensive list projections separate from transactional write logic when scale requires it.</w:t>
      </w:r>
    </w:p>
    <w:p>
      <w:pPr>
        <w:pStyle w:val="ListBullet"/>
      </w:pPr>
      <w:r>
        <w:t>Write tests for workflow transitions and tenant boundaries.</w:t>
      </w:r>
    </w:p>
    <w:p>
      <w:pPr>
        <w:pStyle w:val="Heading1"/>
      </w:pPr>
      <w:r>
        <w:t>12. Multi-Tenancy and Row-Level Security</w:t>
      </w:r>
    </w:p>
    <w:p>
      <w:pPr>
        <w:spacing w:after="120"/>
        <w:ind w:left="288" w:right="288"/>
      </w:pPr>
      <w:r>
        <w:rPr>
          <w:rFonts w:ascii="Courier New" w:hAnsi="Courier New"/>
          <w:sz w:val="17"/>
        </w:rPr>
        <w:t>Authenticated Request</w:t>
        <w:br/>
        <w:t xml:space="preserve">        │</w:t>
        <w:br/>
        <w:t xml:space="preserve">        ▼</w:t>
        <w:br/>
        <w:t>Identity / Token Validation</w:t>
        <w:br/>
        <w:t xml:space="preserve">        │</w:t>
        <w:br/>
        <w:t xml:space="preserve">        ▼</w:t>
        <w:br/>
        <w:t>Resolve Tenant + User Context</w:t>
        <w:br/>
        <w:t xml:space="preserve">        │</w:t>
        <w:br/>
        <w:t xml:space="preserve">        ▼</w:t>
        <w:br/>
        <w:t>Permission Validation</w:t>
        <w:br/>
        <w:t xml:space="preserve">        │</w:t>
        <w:br/>
        <w:t xml:space="preserve">        ▼</w:t>
        <w:br/>
        <w:t>Database Session with Tenant Context</w:t>
        <w:br/>
        <w:t xml:space="preserve">        │</w:t>
        <w:br/>
        <w:t xml:space="preserve">        ▼</w:t>
        <w:br/>
        <w:t>PostgreSQL Row-Level Security</w:t>
        <w:br/>
        <w:t xml:space="preserve">        │</w:t>
        <w:br/>
        <w:t xml:space="preserve">        ▼</w:t>
        <w:br/>
        <w:t>Tenant-Isolated Result</w:t>
        <w:br/>
      </w:r>
    </w:p>
    <w:p>
      <w:r>
        <w:t>Every tenant-scoped table should carry an appropriate tenant or firm identifier. Application-level authorization should filter and validate tenant access, while PostgreSQL RLS provides defense in depth.</w:t>
      </w:r>
    </w:p>
    <w:p>
      <w:pPr>
        <w:pStyle w:val="ListBullet"/>
      </w:pPr>
      <w:r>
        <w:t>Never rely only on a client-supplied tenant identifier.</w:t>
      </w:r>
    </w:p>
    <w:p>
      <w:pPr>
        <w:pStyle w:val="ListBullet"/>
      </w:pPr>
      <w:r>
        <w:t>Derive tenant context from trusted authentication/session data.</w:t>
      </w:r>
    </w:p>
    <w:p>
      <w:pPr>
        <w:pStyle w:val="ListBullet"/>
      </w:pPr>
      <w:r>
        <w:t>Audit cross-tenant administrative operations separately.</w:t>
      </w:r>
    </w:p>
    <w:p>
      <w:pPr>
        <w:pStyle w:val="ListBullet"/>
      </w:pPr>
      <w:r>
        <w:t>Test accidental missing tenant filters.</w:t>
      </w:r>
    </w:p>
    <w:p>
      <w:pPr>
        <w:pStyle w:val="ListBullet"/>
      </w:pPr>
      <w:r>
        <w:t>Ensure background workers establish the correct tenant context before accessing tenant-scoped data.</w:t>
      </w:r>
    </w:p>
    <w:p>
      <w:pPr>
        <w:pStyle w:val="Heading1"/>
      </w:pPr>
      <w:r>
        <w:t>13. Authentication and Authorization</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Layer</w:t>
            </w:r>
          </w:p>
        </w:tc>
        <w:tc>
          <w:tcPr>
            <w:tcW w:type="dxa" w:w="5040"/>
            <w:shd w:fill="D9EAF7"/>
          </w:tcPr>
          <w:p>
            <w:r>
              <w:rPr>
                <w:b/>
              </w:rPr>
              <w:t>Responsibility</w:t>
            </w:r>
          </w:p>
        </w:tc>
      </w:tr>
      <w:tr>
        <w:tc>
          <w:tcPr>
            <w:tcW w:type="dxa" w:w="5040"/>
          </w:tcPr>
          <w:p>
            <w:r>
              <w:t>Identity Provider</w:t>
            </w:r>
          </w:p>
        </w:tc>
        <w:tc>
          <w:tcPr>
            <w:tcW w:type="dxa" w:w="5040"/>
          </w:tcPr>
          <w:p>
            <w:r>
              <w:t>User identity, login and optional MFA</w:t>
            </w:r>
          </w:p>
        </w:tc>
      </w:tr>
      <w:tr>
        <w:tc>
          <w:tcPr>
            <w:tcW w:type="dxa" w:w="5040"/>
          </w:tcPr>
          <w:p>
            <w:r>
              <w:t>FastAPI Auth Layer</w:t>
            </w:r>
          </w:p>
        </w:tc>
        <w:tc>
          <w:tcPr>
            <w:tcW w:type="dxa" w:w="5040"/>
          </w:tcPr>
          <w:p>
            <w:r>
              <w:t>Token validation and identity extraction</w:t>
            </w:r>
          </w:p>
        </w:tc>
      </w:tr>
      <w:tr>
        <w:tc>
          <w:tcPr>
            <w:tcW w:type="dxa" w:w="5040"/>
          </w:tcPr>
          <w:p>
            <w:r>
              <w:t>Tenant Layer</w:t>
            </w:r>
          </w:p>
        </w:tc>
        <w:tc>
          <w:tcPr>
            <w:tcW w:type="dxa" w:w="5040"/>
          </w:tcPr>
          <w:p>
            <w:r>
              <w:t>Firm and organizational context</w:t>
            </w:r>
          </w:p>
        </w:tc>
      </w:tr>
      <w:tr>
        <w:tc>
          <w:tcPr>
            <w:tcW w:type="dxa" w:w="5040"/>
          </w:tcPr>
          <w:p>
            <w:r>
              <w:t>Permission Layer</w:t>
            </w:r>
          </w:p>
        </w:tc>
        <w:tc>
          <w:tcPr>
            <w:tcW w:type="dxa" w:w="5040"/>
          </w:tcPr>
          <w:p>
            <w:r>
              <w:t>RBAC and permission checks</w:t>
            </w:r>
          </w:p>
        </w:tc>
      </w:tr>
      <w:tr>
        <w:tc>
          <w:tcPr>
            <w:tcW w:type="dxa" w:w="5040"/>
          </w:tcPr>
          <w:p>
            <w:r>
              <w:t>Domain Service</w:t>
            </w:r>
          </w:p>
        </w:tc>
        <w:tc>
          <w:tcPr>
            <w:tcW w:type="dxa" w:w="5040"/>
          </w:tcPr>
          <w:p>
            <w:r>
              <w:t>Resource-specific business authorization</w:t>
            </w:r>
          </w:p>
        </w:tc>
      </w:tr>
      <w:tr>
        <w:tc>
          <w:tcPr>
            <w:tcW w:type="dxa" w:w="5040"/>
          </w:tcPr>
          <w:p>
            <w:r>
              <w:t>PostgreSQL RLS</w:t>
            </w:r>
          </w:p>
        </w:tc>
        <w:tc>
          <w:tcPr>
            <w:tcW w:type="dxa" w:w="5040"/>
          </w:tcPr>
          <w:p>
            <w:r>
              <w:t>Defense-in-depth tenant data isolation</w:t>
            </w:r>
          </w:p>
        </w:tc>
      </w:tr>
    </w:tbl>
    <w:p/>
    <w:p>
      <w:r>
        <w:t>Authentication answers who the user is. Authorization answers what the user can do. Tenant isolation answers which firm's data can be accessed. These should remain separate concepts.</w:t>
      </w:r>
    </w:p>
    <w:p>
      <w:pPr>
        <w:pStyle w:val="Heading1"/>
      </w:pPr>
      <w:r>
        <w:t>14. Redis Architecture</w:t>
      </w:r>
    </w:p>
    <w:p>
      <w:pPr>
        <w:pStyle w:val="ListBullet"/>
      </w:pPr>
      <w:r>
        <w:t>Cache frequently accessed client, matter and compliance projections where appropriate.</w:t>
      </w:r>
    </w:p>
    <w:p>
      <w:pPr>
        <w:pStyle w:val="ListBullet"/>
      </w:pPr>
      <w:r>
        <w:t>Cache dashboard counters and read models.</w:t>
      </w:r>
    </w:p>
    <w:p>
      <w:pPr>
        <w:pStyle w:val="ListBullet"/>
      </w:pPr>
      <w:r>
        <w:t>Use for rate limiting.</w:t>
      </w:r>
    </w:p>
    <w:p>
      <w:pPr>
        <w:pStyle w:val="ListBullet"/>
      </w:pPr>
      <w:r>
        <w:t>Use for temporary distributed coordination where justified.</w:t>
      </w:r>
    </w:p>
    <w:p>
      <w:pPr>
        <w:pStyle w:val="ListBullet"/>
      </w:pPr>
      <w:r>
        <w:t>Use as Celery broker/backend initially if operationally suitable.</w:t>
      </w:r>
    </w:p>
    <w:p>
      <w:pPr>
        <w:pStyle w:val="ListBullet"/>
      </w:pPr>
      <w:r>
        <w:t>Do not treat Redis as the permanent source of truth for critical business records.</w:t>
      </w:r>
    </w:p>
    <w:p>
      <w:pPr>
        <w:spacing w:after="120"/>
        <w:ind w:left="288" w:right="288"/>
      </w:pPr>
      <w:r>
        <w:rPr>
          <w:rFonts w:ascii="Courier New" w:hAnsi="Courier New"/>
          <w:sz w:val="17"/>
        </w:rPr>
        <w:t>FastAPI Read Request</w:t>
        <w:br/>
        <w:t xml:space="preserve">       │</w:t>
        <w:br/>
        <w:t xml:space="preserve">       ▼</w:t>
        <w:br/>
        <w:t>Redis Cache Lookup</w:t>
        <w:br/>
        <w:t xml:space="preserve">       │</w:t>
        <w:br/>
        <w:t xml:space="preserve">   ┌───┴────┐</w:t>
        <w:br/>
        <w:t xml:space="preserve">   │ Hit    │ Miss</w:t>
        <w:br/>
        <w:t xml:space="preserve">   ▼        ▼</w:t>
        <w:br/>
        <w:t>Response  PostgreSQL</w:t>
        <w:br/>
        <w:t xml:space="preserve">             │</w:t>
        <w:br/>
        <w:t xml:space="preserve">             ▼</w:t>
        <w:br/>
        <w:t xml:space="preserve">         Populate Cache</w:t>
        <w:br/>
        <w:t xml:space="preserve">             │</w:t>
        <w:br/>
        <w:t xml:space="preserve">             ▼</w:t>
        <w:br/>
        <w:t xml:space="preserve">          Response</w:t>
        <w:br/>
      </w:r>
    </w:p>
    <w:p>
      <w:pPr>
        <w:pStyle w:val="Heading1"/>
      </w:pPr>
      <w:r>
        <w:t>15. Background Jobs and Workers</w:t>
      </w:r>
    </w:p>
    <w:p>
      <w:r>
        <w:t>Normal API requests should remain short. Slow work should be dispatched.</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Workload</w:t>
            </w:r>
          </w:p>
        </w:tc>
        <w:tc>
          <w:tcPr>
            <w:tcW w:type="dxa" w:w="5040"/>
            <w:shd w:fill="D9EAF7"/>
          </w:tcPr>
          <w:p>
            <w:r>
              <w:rPr>
                <w:b/>
              </w:rPr>
              <w:t>Execution Model</w:t>
            </w:r>
          </w:p>
        </w:tc>
      </w:tr>
      <w:tr>
        <w:tc>
          <w:tcPr>
            <w:tcW w:type="dxa" w:w="5040"/>
          </w:tcPr>
          <w:p>
            <w:r>
              <w:t>OCR</w:t>
            </w:r>
          </w:p>
        </w:tc>
        <w:tc>
          <w:tcPr>
            <w:tcW w:type="dxa" w:w="5040"/>
          </w:tcPr>
          <w:p>
            <w:r>
              <w:t>Background worker</w:t>
            </w:r>
          </w:p>
        </w:tc>
      </w:tr>
      <w:tr>
        <w:tc>
          <w:tcPr>
            <w:tcW w:type="dxa" w:w="5040"/>
          </w:tcPr>
          <w:p>
            <w:r>
              <w:t>AI extraction</w:t>
            </w:r>
          </w:p>
        </w:tc>
        <w:tc>
          <w:tcPr>
            <w:tcW w:type="dxa" w:w="5040"/>
          </w:tcPr>
          <w:p>
            <w:r>
              <w:t>Background worker</w:t>
            </w:r>
          </w:p>
        </w:tc>
      </w:tr>
      <w:tr>
        <w:tc>
          <w:tcPr>
            <w:tcW w:type="dxa" w:w="5040"/>
          </w:tcPr>
          <w:p>
            <w:r>
              <w:t>Bulk email/WhatsApp/SMS</w:t>
            </w:r>
          </w:p>
        </w:tc>
        <w:tc>
          <w:tcPr>
            <w:tcW w:type="dxa" w:w="5040"/>
          </w:tcPr>
          <w:p>
            <w:r>
              <w:t>Background worker</w:t>
            </w:r>
          </w:p>
        </w:tc>
      </w:tr>
      <w:tr>
        <w:tc>
          <w:tcPr>
            <w:tcW w:type="dxa" w:w="5040"/>
          </w:tcPr>
          <w:p>
            <w:r>
              <w:t>Search indexing</w:t>
            </w:r>
          </w:p>
        </w:tc>
        <w:tc>
          <w:tcPr>
            <w:tcW w:type="dxa" w:w="5040"/>
          </w:tcPr>
          <w:p>
            <w:r>
              <w:t>Event consumer/worker</w:t>
            </w:r>
          </w:p>
        </w:tc>
      </w:tr>
      <w:tr>
        <w:tc>
          <w:tcPr>
            <w:tcW w:type="dxa" w:w="5040"/>
          </w:tcPr>
          <w:p>
            <w:r>
              <w:t>Large imports</w:t>
            </w:r>
          </w:p>
        </w:tc>
        <w:tc>
          <w:tcPr>
            <w:tcW w:type="dxa" w:w="5040"/>
          </w:tcPr>
          <w:p>
            <w:r>
              <w:t>Background worker</w:t>
            </w:r>
          </w:p>
        </w:tc>
      </w:tr>
      <w:tr>
        <w:tc>
          <w:tcPr>
            <w:tcW w:type="dxa" w:w="5040"/>
          </w:tcPr>
          <w:p>
            <w:r>
              <w:t>Report generation</w:t>
            </w:r>
          </w:p>
        </w:tc>
        <w:tc>
          <w:tcPr>
            <w:tcW w:type="dxa" w:w="5040"/>
          </w:tcPr>
          <w:p>
            <w:r>
              <w:t>Background worker</w:t>
            </w:r>
          </w:p>
        </w:tc>
      </w:tr>
      <w:tr>
        <w:tc>
          <w:tcPr>
            <w:tcW w:type="dxa" w:w="5040"/>
          </w:tcPr>
          <w:p>
            <w:r>
              <w:t>Recurring reminders</w:t>
            </w:r>
          </w:p>
        </w:tc>
        <w:tc>
          <w:tcPr>
            <w:tcW w:type="dxa" w:w="5040"/>
          </w:tcPr>
          <w:p>
            <w:r>
              <w:t>Scheduled worker</w:t>
            </w:r>
          </w:p>
        </w:tc>
      </w:tr>
      <w:tr>
        <w:tc>
          <w:tcPr>
            <w:tcW w:type="dxa" w:w="5040"/>
          </w:tcPr>
          <w:p>
            <w:r>
              <w:t>Deadline escalation</w:t>
            </w:r>
          </w:p>
        </w:tc>
        <w:tc>
          <w:tcPr>
            <w:tcW w:type="dxa" w:w="5040"/>
          </w:tcPr>
          <w:p>
            <w:r>
              <w:t>Scheduled worker</w:t>
            </w:r>
          </w:p>
        </w:tc>
      </w:tr>
      <w:tr>
        <w:tc>
          <w:tcPr>
            <w:tcW w:type="dxa" w:w="5040"/>
          </w:tcPr>
          <w:p>
            <w:r>
              <w:t>Campaign execution</w:t>
            </w:r>
          </w:p>
        </w:tc>
        <w:tc>
          <w:tcPr>
            <w:tcW w:type="dxa" w:w="5040"/>
          </w:tcPr>
          <w:p>
            <w:r>
              <w:t>Queue + workers</w:t>
            </w:r>
          </w:p>
        </w:tc>
      </w:tr>
      <w:tr>
        <w:tc>
          <w:tcPr>
            <w:tcW w:type="dxa" w:w="5040"/>
          </w:tcPr>
          <w:p>
            <w:r>
              <w:t>Heavy analytics</w:t>
            </w:r>
          </w:p>
        </w:tc>
        <w:tc>
          <w:tcPr>
            <w:tcW w:type="dxa" w:w="5040"/>
          </w:tcPr>
          <w:p>
            <w:r>
              <w:t>Dedicated worker/projection process</w:t>
            </w:r>
          </w:p>
        </w:tc>
      </w:tr>
    </w:tbl>
    <w:p/>
    <w:p>
      <w:pPr>
        <w:pStyle w:val="Heading1"/>
      </w:pPr>
      <w:r>
        <w:t>16. Event-Driven Architecture</w:t>
      </w:r>
    </w:p>
    <w:p>
      <w:r>
        <w:t>Use domain events to decouple secondary processing from the primary transaction.</w:t>
      </w:r>
    </w:p>
    <w:p>
      <w:pPr>
        <w:spacing w:after="120"/>
        <w:ind w:left="288" w:right="288"/>
      </w:pPr>
      <w:r>
        <w:rPr>
          <w:rFonts w:ascii="Courier New" w:hAnsi="Courier New"/>
          <w:sz w:val="17"/>
        </w:rPr>
        <w:t>FastAPI Domain Service</w:t>
        <w:br/>
        <w:t xml:space="preserve">        │</w:t>
        <w:br/>
        <w:t xml:space="preserve">        ▼</w:t>
        <w:br/>
        <w:t>Business Transaction</w:t>
        <w:br/>
        <w:t xml:space="preserve">        │</w:t>
        <w:br/>
        <w:t xml:space="preserve">        ▼</w:t>
        <w:br/>
        <w:t>Domain Event</w:t>
        <w:br/>
        <w:t xml:space="preserve">        │</w:t>
        <w:br/>
        <w:t xml:space="preserve">        ├── Single-purpose background job</w:t>
        <w:br/>
        <w:t xml:space="preserve">        │</w:t>
        <w:br/>
        <w:t xml:space="preserve">        └── Event Bus</w:t>
        <w:br/>
        <w:t xml:space="preserve">                │</w:t>
        <w:br/>
        <w:t xml:space="preserve">                ├── Search Indexer</w:t>
        <w:br/>
        <w:t xml:space="preserve">                ├── Notification Worker</w:t>
        <w:br/>
        <w:t xml:space="preserve">                ├── Dashboard Projection Worker</w:t>
        <w:br/>
        <w:t xml:space="preserve">                ├── Analytics Worker</w:t>
        <w:br/>
        <w:t xml:space="preserve">                └── Integration Worker</w:t>
        <w:br/>
      </w:r>
    </w:p>
    <w:p>
      <w:r>
        <w:t>Example event naming:</w:t>
      </w:r>
    </w:p>
    <w:p>
      <w:pPr>
        <w:pStyle w:val="ListBullet"/>
      </w:pPr>
      <w:r>
        <w:t>client.created</w:t>
      </w:r>
    </w:p>
    <w:p>
      <w:pPr>
        <w:pStyle w:val="ListBullet"/>
      </w:pPr>
      <w:r>
        <w:t>client.updated</w:t>
      </w:r>
    </w:p>
    <w:p>
      <w:pPr>
        <w:pStyle w:val="ListBullet"/>
      </w:pPr>
      <w:r>
        <w:t>matter.created</w:t>
      </w:r>
    </w:p>
    <w:p>
      <w:pPr>
        <w:pStyle w:val="ListBullet"/>
      </w:pPr>
      <w:r>
        <w:t>matter.status_changed</w:t>
      </w:r>
    </w:p>
    <w:p>
      <w:pPr>
        <w:pStyle w:val="ListBullet"/>
      </w:pPr>
      <w:r>
        <w:t>task.created</w:t>
      </w:r>
    </w:p>
    <w:p>
      <w:pPr>
        <w:pStyle w:val="ListBullet"/>
      </w:pPr>
      <w:r>
        <w:t>task.completed</w:t>
      </w:r>
    </w:p>
    <w:p>
      <w:pPr>
        <w:pStyle w:val="ListBullet"/>
      </w:pPr>
      <w:r>
        <w:t>task.overdue</w:t>
      </w:r>
    </w:p>
    <w:p>
      <w:pPr>
        <w:pStyle w:val="ListBullet"/>
      </w:pPr>
      <w:r>
        <w:t>document.uploaded</w:t>
      </w:r>
    </w:p>
    <w:p>
      <w:pPr>
        <w:pStyle w:val="ListBullet"/>
      </w:pPr>
      <w:r>
        <w:t>document.processing_requested</w:t>
      </w:r>
    </w:p>
    <w:p>
      <w:pPr>
        <w:pStyle w:val="ListBullet"/>
      </w:pPr>
      <w:r>
        <w:t>document.processed</w:t>
      </w:r>
    </w:p>
    <w:p>
      <w:pPr>
        <w:pStyle w:val="ListBullet"/>
      </w:pPr>
      <w:r>
        <w:t>communication.received</w:t>
      </w:r>
    </w:p>
    <w:p>
      <w:pPr>
        <w:pStyle w:val="ListBullet"/>
      </w:pPr>
      <w:r>
        <w:t>communication.sent</w:t>
      </w:r>
    </w:p>
    <w:p>
      <w:pPr>
        <w:pStyle w:val="ListBullet"/>
      </w:pPr>
      <w:r>
        <w:t>campaign.started</w:t>
      </w:r>
    </w:p>
    <w:p>
      <w:pPr>
        <w:pStyle w:val="ListBullet"/>
      </w:pPr>
      <w:r>
        <w:t>compliance.created</w:t>
      </w:r>
    </w:p>
    <w:p>
      <w:pPr>
        <w:pStyle w:val="ListBullet"/>
      </w:pPr>
      <w:r>
        <w:t>compliance.status_changed</w:t>
      </w:r>
    </w:p>
    <w:p>
      <w:pPr>
        <w:pStyle w:val="ListBullet"/>
      </w:pPr>
      <w:r>
        <w:t>compliance.due_date_changed</w:t>
      </w:r>
    </w:p>
    <w:p>
      <w:pPr>
        <w:pStyle w:val="ListBullet"/>
      </w:pPr>
      <w:r>
        <w:t>invoice.created</w:t>
      </w:r>
    </w:p>
    <w:p>
      <w:pPr>
        <w:pStyle w:val="ListBullet"/>
      </w:pPr>
      <w:r>
        <w:t>invoice.paid</w:t>
      </w:r>
    </w:p>
    <w:p>
      <w:pPr>
        <w:pStyle w:val="ListBullet"/>
      </w:pPr>
      <w:r>
        <w:t>search.index_requested</w:t>
      </w:r>
    </w:p>
    <w:p>
      <w:pPr>
        <w:pStyle w:val="Heading1"/>
      </w:pPr>
      <w:r>
        <w:t>17. Event Reliability Rules</w:t>
      </w:r>
    </w:p>
    <w:p>
      <w:pPr>
        <w:pStyle w:val="ListBullet"/>
      </w:pPr>
      <w:r>
        <w:t>Consumers should be idempotent.</w:t>
      </w:r>
    </w:p>
    <w:p>
      <w:pPr>
        <w:pStyle w:val="ListBullet"/>
      </w:pPr>
      <w:r>
        <w:t>Use stable event identifiers.</w:t>
      </w:r>
    </w:p>
    <w:p>
      <w:pPr>
        <w:pStyle w:val="ListBullet"/>
      </w:pPr>
      <w:r>
        <w:t>Do not assume at-most-once delivery.</w:t>
      </w:r>
    </w:p>
    <w:p>
      <w:pPr>
        <w:pStyle w:val="ListBullet"/>
      </w:pPr>
      <w:r>
        <w:t>Record or otherwise handle failed events.</w:t>
      </w:r>
    </w:p>
    <w:p>
      <w:pPr>
        <w:pStyle w:val="ListBullet"/>
      </w:pPr>
      <w:r>
        <w:t>Use retries with bounded policies.</w:t>
      </w:r>
    </w:p>
    <w:p>
      <w:pPr>
        <w:pStyle w:val="ListBullet"/>
      </w:pPr>
      <w:r>
        <w:t>Separate transient provider failures from permanent validation failures.</w:t>
      </w:r>
    </w:p>
    <w:p>
      <w:pPr>
        <w:pStyle w:val="ListBullet"/>
      </w:pPr>
      <w:r>
        <w:t>For critical business events, adopt a transactional outbox pattern when implementation maturity requires strong transaction/event consistency.</w:t>
      </w:r>
    </w:p>
    <w:p>
      <w:pPr>
        <w:pStyle w:val="Heading1"/>
      </w:pPr>
      <w:r>
        <w:t>18. Document Processing Architecture</w:t>
      </w:r>
    </w:p>
    <w:p>
      <w:pPr>
        <w:spacing w:after="120"/>
        <w:ind w:left="288" w:right="288"/>
      </w:pPr>
      <w:r>
        <w:rPr>
          <w:rFonts w:ascii="Courier New" w:hAnsi="Courier New"/>
          <w:sz w:val="17"/>
        </w:rPr>
        <w:t>User Upload</w:t>
        <w:br/>
        <w:t xml:space="preserve">    │</w:t>
        <w:br/>
        <w:t xml:space="preserve">    ▼</w:t>
        <w:br/>
        <w:t>FastAPI Upload Endpoint</w:t>
        <w:br/>
        <w:t xml:space="preserve">    │</w:t>
        <w:br/>
        <w:t xml:space="preserve">    ▼</w:t>
        <w:br/>
        <w:t>Authentication + Permission Check</w:t>
        <w:br/>
        <w:t xml:space="preserve">    │</w:t>
        <w:br/>
        <w:t xml:space="preserve">    ▼</w:t>
        <w:br/>
        <w:t>Malware Scan</w:t>
        <w:br/>
        <w:t xml:space="preserve">    │</w:t>
        <w:br/>
        <w:t xml:space="preserve">    ├── Failed → Quarantine</w:t>
        <w:br/>
        <w:t xml:space="preserve">    │</w:t>
        <w:br/>
        <w:t xml:space="preserve">    ▼</w:t>
        <w:br/>
        <w:t>Blob Storage</w:t>
        <w:br/>
        <w:t xml:space="preserve">    │</w:t>
        <w:br/>
        <w:t xml:space="preserve">    ▼</w:t>
        <w:br/>
        <w:t>PostgreSQL Document Metadata</w:t>
        <w:br/>
        <w:t xml:space="preserve">    │</w:t>
        <w:br/>
        <w:t xml:space="preserve">    ▼</w:t>
        <w:br/>
        <w:t>Processing Event</w:t>
        <w:br/>
        <w:t xml:space="preserve">    │</w:t>
        <w:br/>
        <w:t xml:space="preserve">    ▼</w:t>
        <w:br/>
        <w:t>Worker Pipeline</w:t>
        <w:br/>
        <w:t xml:space="preserve">    ├── OCR</w:t>
        <w:br/>
        <w:t xml:space="preserve">    ├── Classification</w:t>
        <w:br/>
        <w:t xml:space="preserve">    ├── Extraction</w:t>
        <w:br/>
        <w:t xml:space="preserve">    ├── AI Analysis</w:t>
        <w:br/>
        <w:t xml:space="preserve">    └── Indexing</w:t>
        <w:br/>
        <w:t xml:space="preserve">    │</w:t>
        <w:br/>
        <w:t xml:space="preserve">    ▼</w:t>
        <w:br/>
        <w:t>Results + Status Update</w:t>
        <w:br/>
        <w:t xml:space="preserve">    │</w:t>
        <w:br/>
        <w:t xml:space="preserve">    ├── PostgreSQL business state</w:t>
        <w:br/>
        <w:t xml:space="preserve">    ├── MongoDB flexible payloads where needed</w:t>
        <w:br/>
        <w:t xml:space="preserve">    └── OpenSearch index</w:t>
        <w:br/>
      </w:r>
    </w:p>
    <w:p>
      <w:pPr>
        <w:pStyle w:val="Heading1"/>
      </w:pPr>
      <w:r>
        <w:t>19. Communication and Campaign Architecture</w:t>
      </w:r>
    </w:p>
    <w:p>
      <w:pPr>
        <w:spacing w:after="120"/>
        <w:ind w:left="288" w:right="288"/>
      </w:pPr>
      <w:r>
        <w:rPr>
          <w:rFonts w:ascii="Courier New" w:hAnsi="Courier New"/>
          <w:sz w:val="17"/>
        </w:rPr>
        <w:t>FastAPI Communication Domain</w:t>
        <w:br/>
        <w:t xml:space="preserve">          │</w:t>
        <w:br/>
        <w:t xml:space="preserve">          ▼</w:t>
        <w:br/>
        <w:t>Consent Validation</w:t>
        <w:br/>
        <w:t xml:space="preserve">          │</w:t>
        <w:br/>
        <w:t xml:space="preserve">          ▼</w:t>
        <w:br/>
        <w:t>Suppression Validation</w:t>
        <w:br/>
        <w:t xml:space="preserve">          │</w:t>
        <w:br/>
        <w:t xml:space="preserve">          ▼</w:t>
        <w:br/>
        <w:t>Create Communication / Campaign Work</w:t>
        <w:br/>
        <w:t xml:space="preserve">          │</w:t>
        <w:br/>
        <w:t xml:space="preserve">          ▼</w:t>
        <w:br/>
        <w:t>Queue</w:t>
        <w:br/>
        <w:t xml:space="preserve">          │</w:t>
        <w:br/>
        <w:t xml:space="preserve">          ▼</w:t>
        <w:br/>
        <w:t>Provider Workers</w:t>
        <w:br/>
        <w:t xml:space="preserve">     ┌────┼────────────┐</w:t>
        <w:br/>
        <w:t xml:space="preserve">     ▼    ▼            ▼</w:t>
        <w:br/>
        <w:t xml:space="preserve">   Email WhatsApp      SMS</w:t>
        <w:br/>
        <w:t xml:space="preserve">          │</w:t>
        <w:br/>
        <w:t xml:space="preserve">          ▼</w:t>
        <w:br/>
        <w:t>Provider Result / Webhook</w:t>
        <w:br/>
        <w:t xml:space="preserve">          │</w:t>
        <w:br/>
        <w:t xml:space="preserve">          ▼</w:t>
        <w:br/>
        <w:t>FastAPI Integration Layer</w:t>
        <w:br/>
        <w:t xml:space="preserve">          │</w:t>
        <w:br/>
        <w:t xml:space="preserve">          ▼</w:t>
        <w:br/>
        <w:t>Signature + Idempotency Validation</w:t>
        <w:br/>
        <w:t xml:space="preserve">          │</w:t>
        <w:br/>
        <w:t xml:space="preserve">          ▼</w:t>
        <w:br/>
        <w:t>Domain Event / State Update</w:t>
        <w:br/>
      </w:r>
    </w:p>
    <w:p>
      <w:r>
        <w:t>Communication records should remain linked to Client, Matter, Task, Conversation, Campaign and Document entities where those relationships exist.</w:t>
      </w:r>
    </w:p>
    <w:p>
      <w:pPr>
        <w:pStyle w:val="Heading1"/>
      </w:pPr>
      <w:r>
        <w:t>20. Webhook and External Integration Architecture</w:t>
      </w:r>
    </w:p>
    <w:p>
      <w:pPr>
        <w:pStyle w:val="ListBullet"/>
      </w:pPr>
      <w:r>
        <w:t>Expose narrow provider-specific webhook endpoints.</w:t>
      </w:r>
    </w:p>
    <w:p>
      <w:pPr>
        <w:pStyle w:val="ListBullet"/>
      </w:pPr>
      <w:r>
        <w:t>Validate provider signatures before processing payloads.</w:t>
      </w:r>
    </w:p>
    <w:p>
      <w:pPr>
        <w:pStyle w:val="ListBullet"/>
      </w:pPr>
      <w:r>
        <w:t>Perform idempotency checks.</w:t>
      </w:r>
    </w:p>
    <w:p>
      <w:pPr>
        <w:pStyle w:val="ListBullet"/>
      </w:pPr>
      <w:r>
        <w:t>Acknowledge quickly when safe.</w:t>
      </w:r>
    </w:p>
    <w:p>
      <w:pPr>
        <w:pStyle w:val="ListBullet"/>
      </w:pPr>
      <w:r>
        <w:t>Move slow processing into queues.</w:t>
      </w:r>
    </w:p>
    <w:p>
      <w:pPr>
        <w:pStyle w:val="ListBullet"/>
      </w:pPr>
      <w:r>
        <w:t>Translate provider payloads into internal domain contracts.</w:t>
      </w:r>
    </w:p>
    <w:p>
      <w:pPr>
        <w:pStyle w:val="ListBullet"/>
      </w:pPr>
      <w:r>
        <w:t>Do not allow provider-specific data structures to spread through core domain services.</w:t>
      </w:r>
    </w:p>
    <w:p>
      <w:pPr>
        <w:pStyle w:val="Heading1"/>
      </w:pPr>
      <w:r>
        <w:t>21. Search Architecture</w:t>
      </w:r>
    </w:p>
    <w:p>
      <w:r>
        <w:t>OpenSearch should be treated as a search projection, not the transactional source of truth.</w:t>
      </w:r>
    </w:p>
    <w:p>
      <w:pPr>
        <w:spacing w:after="120"/>
        <w:ind w:left="288" w:right="288"/>
      </w:pPr>
      <w:r>
        <w:rPr>
          <w:rFonts w:ascii="Courier New" w:hAnsi="Courier New"/>
          <w:sz w:val="17"/>
        </w:rPr>
        <w:t>PostgreSQL Business Change</w:t>
        <w:br/>
        <w:t xml:space="preserve">        │</w:t>
        <w:br/>
        <w:t xml:space="preserve">        ▼</w:t>
        <w:br/>
        <w:t>Domain Event</w:t>
        <w:br/>
        <w:t xml:space="preserve">        │</w:t>
        <w:br/>
        <w:t xml:space="preserve">        ▼</w:t>
        <w:br/>
        <w:t>Search Index Worker</w:t>
        <w:br/>
        <w:t xml:space="preserve">        │</w:t>
        <w:br/>
        <w:t xml:space="preserve">        ▼</w:t>
        <w:br/>
        <w:t>OpenSearch</w:t>
        <w:br/>
        <w:t xml:space="preserve">        │</w:t>
        <w:br/>
        <w:t xml:space="preserve">        ▼</w:t>
        <w:br/>
        <w:t>FastAPI Search API</w:t>
        <w:br/>
        <w:t xml:space="preserve">        │</w:t>
        <w:br/>
        <w:t xml:space="preserve">        ▼</w:t>
        <w:br/>
        <w:t>Next.js Search UI</w:t>
        <w:br/>
      </w:r>
    </w:p>
    <w:p>
      <w:pPr>
        <w:pStyle w:val="Heading1"/>
      </w:pPr>
      <w:r>
        <w:t>22. High-Scale Read Architecture</w:t>
      </w:r>
    </w:p>
    <w:p>
      <w:r>
        <w:t>As CA Nexus grows, expensive dashboards should not repeatedly calculate the same aggregates directly from PostgreSQL.</w:t>
      </w:r>
    </w:p>
    <w:p>
      <w:pPr>
        <w:spacing w:after="120"/>
        <w:ind w:left="288" w:right="288"/>
      </w:pPr>
      <w:r>
        <w:rPr>
          <w:rFonts w:ascii="Courier New" w:hAnsi="Courier New"/>
          <w:sz w:val="17"/>
        </w:rPr>
        <w:t>Business Event</w:t>
        <w:br/>
        <w:t xml:space="preserve">      │</w:t>
        <w:br/>
        <w:t xml:space="preserve">      ▼</w:t>
        <w:br/>
        <w:t>Projection Worker</w:t>
        <w:br/>
        <w:t xml:space="preserve">      │</w:t>
        <w:br/>
        <w:t xml:space="preserve">      ▼</w:t>
        <w:br/>
        <w:t>Redis Read Model</w:t>
        <w:br/>
        <w:t xml:space="preserve">      │</w:t>
        <w:br/>
        <w:t xml:space="preserve">      ▼</w:t>
        <w:br/>
        <w:t>FastAPI Dashboard Endpoint</w:t>
        <w:br/>
        <w:t xml:space="preserve">      │</w:t>
        <w:br/>
        <w:t xml:space="preserve">      ▼</w:t>
        <w:br/>
        <w:t>Next.js</w:t>
        <w:br/>
      </w:r>
    </w:p>
    <w:p>
      <w:pPr>
        <w:pStyle w:val="ListBullet"/>
      </w:pPr>
      <w:r>
        <w:t>Overdue task counts</w:t>
      </w:r>
    </w:p>
    <w:p>
      <w:pPr>
        <w:pStyle w:val="ListBullet"/>
      </w:pPr>
      <w:r>
        <w:t>Pending compliance counts</w:t>
      </w:r>
    </w:p>
    <w:p>
      <w:pPr>
        <w:pStyle w:val="ListBullet"/>
      </w:pPr>
      <w:r>
        <w:t>Missing document counts</w:t>
      </w:r>
    </w:p>
    <w:p>
      <w:pPr>
        <w:pStyle w:val="ListBullet"/>
      </w:pPr>
      <w:r>
        <w:t>Today's deadlines</w:t>
      </w:r>
    </w:p>
    <w:p>
      <w:pPr>
        <w:pStyle w:val="ListBullet"/>
      </w:pPr>
      <w:r>
        <w:t>Team workload</w:t>
      </w:r>
    </w:p>
    <w:p>
      <w:pPr>
        <w:pStyle w:val="ListBullet"/>
      </w:pPr>
      <w:r>
        <w:t>Pending reviews</w:t>
      </w:r>
    </w:p>
    <w:p>
      <w:pPr>
        <w:pStyle w:val="ListBullet"/>
      </w:pPr>
      <w:r>
        <w:t>Campaign summaries</w:t>
      </w:r>
    </w:p>
    <w:p>
      <w:pPr>
        <w:pStyle w:val="Heading1"/>
      </w:pPr>
      <w:r>
        <w:t>23. API Design Rules</w:t>
      </w:r>
    </w:p>
    <w:p>
      <w:pPr>
        <w:pStyle w:val="ListBullet"/>
      </w:pPr>
      <w:r>
        <w:t>Use versioned APIs when external compatibility becomes necessary.</w:t>
      </w:r>
    </w:p>
    <w:p>
      <w:pPr>
        <w:pStyle w:val="ListBullet"/>
      </w:pPr>
      <w:r>
        <w:t>Keep routers thin.</w:t>
      </w:r>
    </w:p>
    <w:p>
      <w:pPr>
        <w:pStyle w:val="ListBullet"/>
      </w:pPr>
      <w:r>
        <w:t>Use Pydantic schemas for external request/response contracts.</w:t>
      </w:r>
    </w:p>
    <w:p>
      <w:pPr>
        <w:pStyle w:val="ListBullet"/>
      </w:pPr>
      <w:r>
        <w:t>Do not directly expose every ORM model as an API contract.</w:t>
      </w:r>
    </w:p>
    <w:p>
      <w:pPr>
        <w:pStyle w:val="ListBullet"/>
      </w:pPr>
      <w:r>
        <w:t>Support pagination for large collections.</w:t>
      </w:r>
    </w:p>
    <w:p>
      <w:pPr>
        <w:pStyle w:val="ListBullet"/>
      </w:pPr>
      <w:r>
        <w:t>Validate filtering and sorting fields explicitly.</w:t>
      </w:r>
    </w:p>
    <w:p>
      <w:pPr>
        <w:pStyle w:val="ListBullet"/>
      </w:pPr>
      <w:r>
        <w:t>Use consistent error structures.</w:t>
      </w:r>
    </w:p>
    <w:p>
      <w:pPr>
        <w:pStyle w:val="ListBullet"/>
      </w:pPr>
      <w:r>
        <w:t>Use idempotency keys for operations where duplicate submission is dangerous.</w:t>
      </w:r>
    </w:p>
    <w:p>
      <w:pPr>
        <w:pStyle w:val="ListBullet"/>
      </w:pPr>
      <w:r>
        <w:t>Use correlation/request IDs for observability.</w:t>
      </w:r>
    </w:p>
    <w:p>
      <w:pPr>
        <w:pStyle w:val="ListBullet"/>
      </w:pPr>
      <w:r>
        <w:t>Apply authorization at both route/dependency and domain-resource levels where appropriate.</w:t>
      </w:r>
    </w:p>
    <w:p>
      <w:pPr>
        <w:pStyle w:val="Heading1"/>
      </w:pPr>
      <w:r>
        <w:t>24. Production Deployment Model</w:t>
      </w:r>
    </w:p>
    <w:p>
      <w:pPr>
        <w:spacing w:after="120"/>
        <w:ind w:left="288" w:right="288"/>
      </w:pPr>
      <w:r>
        <w:rPr>
          <w:rFonts w:ascii="Courier New" w:hAnsi="Courier New"/>
          <w:sz w:val="17"/>
        </w:rPr>
        <w:t>Internet</w:t>
        <w:br/>
        <w:t xml:space="preserve">   │</w:t>
        <w:br/>
        <w:t xml:space="preserve">   ▼</w:t>
        <w:br/>
        <w:t>CDN / WAF / Load Balancer</w:t>
        <w:br/>
        <w:t xml:space="preserve">   │</w:t>
        <w:br/>
        <w:t xml:space="preserve">   ├─────────────── Next.js Frontend</w:t>
        <w:br/>
        <w:t xml:space="preserve">   │</w:t>
        <w:br/>
        <w:t xml:space="preserve">   ▼</w:t>
        <w:br/>
        <w:t>FastAPI API Instances</w:t>
        <w:br/>
        <w:t xml:space="preserve">   │</w:t>
        <w:br/>
        <w:t xml:space="preserve">   ├─────────────── PostgreSQL</w:t>
        <w:br/>
        <w:t xml:space="preserve">   ├─────────────── Redis</w:t>
        <w:br/>
        <w:t xml:space="preserve">   ├─────────────── Service Bus</w:t>
        <w:br/>
        <w:t xml:space="preserve">   ├─────────────── Blob Storage</w:t>
        <w:br/>
        <w:t xml:space="preserve">   └─────────────── OpenSearch</w:t>
        <w:br/>
        <w:t xml:space="preserve">            │</w:t>
        <w:br/>
        <w:t xml:space="preserve">            ▼</w:t>
        <w:br/>
        <w:t xml:space="preserve">     Autoscaled Worker Pools</w:t>
        <w:br/>
        <w:t xml:space="preserve">       ├── General Jobs</w:t>
        <w:br/>
        <w:t xml:space="preserve">       ├── Documents / OCR</w:t>
        <w:br/>
        <w:t xml:space="preserve">       ├── Communications</w:t>
        <w:br/>
        <w:t xml:space="preserve">       ├── Reporting</w:t>
        <w:br/>
        <w:t xml:space="preserve">       └── Integrations</w:t>
        <w:br/>
      </w:r>
    </w:p>
    <w:p>
      <w:pPr>
        <w:pStyle w:val="Heading1"/>
      </w:pPr>
      <w:r>
        <w:t>25. Scaling Strategy</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Growth Stage</w:t>
            </w:r>
          </w:p>
        </w:tc>
        <w:tc>
          <w:tcPr>
            <w:tcW w:type="dxa" w:w="5040"/>
            <w:shd w:fill="D9EAF7"/>
          </w:tcPr>
          <w:p>
            <w:r>
              <w:rPr>
                <w:b/>
              </w:rPr>
              <w:t>Recommended Architecture</w:t>
            </w:r>
          </w:p>
        </w:tc>
      </w:tr>
      <w:tr>
        <w:tc>
          <w:tcPr>
            <w:tcW w:type="dxa" w:w="5040"/>
          </w:tcPr>
          <w:p>
            <w:r>
              <w:t>Early stage</w:t>
            </w:r>
          </w:p>
        </w:tc>
        <w:tc>
          <w:tcPr>
            <w:tcW w:type="dxa" w:w="5040"/>
          </w:tcPr>
          <w:p>
            <w:r>
              <w:t>Single FastAPI modular monolith + PostgreSQL + Redis + basic workers</w:t>
            </w:r>
          </w:p>
        </w:tc>
      </w:tr>
      <w:tr>
        <w:tc>
          <w:tcPr>
            <w:tcW w:type="dxa" w:w="5040"/>
          </w:tcPr>
          <w:p>
            <w:r>
              <w:t>Growing product</w:t>
            </w:r>
          </w:p>
        </w:tc>
        <w:tc>
          <w:tcPr>
            <w:tcW w:type="dxa" w:w="5040"/>
          </w:tcPr>
          <w:p>
            <w:r>
              <w:t>Multiple API instances + managed PostgreSQL + Redis + dedicated worker pools</w:t>
            </w:r>
          </w:p>
        </w:tc>
      </w:tr>
      <w:tr>
        <w:tc>
          <w:tcPr>
            <w:tcW w:type="dxa" w:w="5040"/>
          </w:tcPr>
          <w:p>
            <w:r>
              <w:t>High traffic</w:t>
            </w:r>
          </w:p>
        </w:tc>
        <w:tc>
          <w:tcPr>
            <w:tcW w:type="dxa" w:w="5040"/>
          </w:tcPr>
          <w:p>
            <w:r>
              <w:t>Autoscaled APIs, read models, cache-first dashboards, separate processing workers</w:t>
            </w:r>
          </w:p>
        </w:tc>
      </w:tr>
      <w:tr>
        <w:tc>
          <w:tcPr>
            <w:tcW w:type="dxa" w:w="5040"/>
          </w:tcPr>
          <w:p>
            <w:r>
              <w:t>Large enterprise scale</w:t>
            </w:r>
          </w:p>
        </w:tc>
        <w:tc>
          <w:tcPr>
            <w:tcW w:type="dxa" w:w="5040"/>
          </w:tcPr>
          <w:p>
            <w:r>
              <w:t>Independently deploy high-load domains where evidence justifies separation</w:t>
            </w:r>
          </w:p>
        </w:tc>
      </w:tr>
    </w:tbl>
    <w:p/>
    <w:p>
      <w:r>
        <w:t>Do not introduce Kubernetes or many microservices purely because the user count is expected to grow. First separate workloads that have genuinely different scaling profiles.</w:t>
      </w:r>
    </w:p>
    <w:p>
      <w:pPr>
        <w:pStyle w:val="Heading1"/>
      </w:pPr>
      <w:r>
        <w:t>26. What Should Be Independently Scalable</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Component</w:t>
            </w:r>
          </w:p>
        </w:tc>
        <w:tc>
          <w:tcPr>
            <w:tcW w:type="dxa" w:w="5040"/>
            <w:shd w:fill="D9EAF7"/>
          </w:tcPr>
          <w:p>
            <w:r>
              <w:rPr>
                <w:b/>
              </w:rPr>
              <w:t>Why Separate Scaling Helps</w:t>
            </w:r>
          </w:p>
        </w:tc>
      </w:tr>
      <w:tr>
        <w:tc>
          <w:tcPr>
            <w:tcW w:type="dxa" w:w="5040"/>
          </w:tcPr>
          <w:p>
            <w:r>
              <w:t>Core API</w:t>
            </w:r>
          </w:p>
        </w:tc>
        <w:tc>
          <w:tcPr>
            <w:tcW w:type="dxa" w:w="5040"/>
          </w:tcPr>
          <w:p>
            <w:r>
              <w:t>Interactive user traffic</w:t>
            </w:r>
          </w:p>
        </w:tc>
      </w:tr>
      <w:tr>
        <w:tc>
          <w:tcPr>
            <w:tcW w:type="dxa" w:w="5040"/>
          </w:tcPr>
          <w:p>
            <w:r>
              <w:t>Document processing</w:t>
            </w:r>
          </w:p>
        </w:tc>
        <w:tc>
          <w:tcPr>
            <w:tcW w:type="dxa" w:w="5040"/>
          </w:tcPr>
          <w:p>
            <w:r>
              <w:t>CPU/AI-heavy workloads</w:t>
            </w:r>
          </w:p>
        </w:tc>
      </w:tr>
      <w:tr>
        <w:tc>
          <w:tcPr>
            <w:tcW w:type="dxa" w:w="5040"/>
          </w:tcPr>
          <w:p>
            <w:r>
              <w:t>OCR workers</w:t>
            </w:r>
          </w:p>
        </w:tc>
        <w:tc>
          <w:tcPr>
            <w:tcW w:type="dxa" w:w="5040"/>
          </w:tcPr>
          <w:p>
            <w:r>
              <w:t>Burst and compute-heavy processing</w:t>
            </w:r>
          </w:p>
        </w:tc>
      </w:tr>
      <w:tr>
        <w:tc>
          <w:tcPr>
            <w:tcW w:type="dxa" w:w="5040"/>
          </w:tcPr>
          <w:p>
            <w:r>
              <w:t>Communication workers</w:t>
            </w:r>
          </w:p>
        </w:tc>
        <w:tc>
          <w:tcPr>
            <w:tcW w:type="dxa" w:w="5040"/>
          </w:tcPr>
          <w:p>
            <w:r>
              <w:t>High-volume provider I/O</w:t>
            </w:r>
          </w:p>
        </w:tc>
      </w:tr>
      <w:tr>
        <w:tc>
          <w:tcPr>
            <w:tcW w:type="dxa" w:w="5040"/>
          </w:tcPr>
          <w:p>
            <w:r>
              <w:t>Campaign workers</w:t>
            </w:r>
          </w:p>
        </w:tc>
        <w:tc>
          <w:tcPr>
            <w:tcW w:type="dxa" w:w="5040"/>
          </w:tcPr>
          <w:p>
            <w:r>
              <w:t>Large batch execution</w:t>
            </w:r>
          </w:p>
        </w:tc>
      </w:tr>
      <w:tr>
        <w:tc>
          <w:tcPr>
            <w:tcW w:type="dxa" w:w="5040"/>
          </w:tcPr>
          <w:p>
            <w:r>
              <w:t>Integration/webhook processing</w:t>
            </w:r>
          </w:p>
        </w:tc>
        <w:tc>
          <w:tcPr>
            <w:tcW w:type="dxa" w:w="5040"/>
          </w:tcPr>
          <w:p>
            <w:r>
              <w:t>External traffic spikes</w:t>
            </w:r>
          </w:p>
        </w:tc>
      </w:tr>
      <w:tr>
        <w:tc>
          <w:tcPr>
            <w:tcW w:type="dxa" w:w="5040"/>
          </w:tcPr>
          <w:p>
            <w:r>
              <w:t>Reporting</w:t>
            </w:r>
          </w:p>
        </w:tc>
        <w:tc>
          <w:tcPr>
            <w:tcW w:type="dxa" w:w="5040"/>
          </w:tcPr>
          <w:p>
            <w:r>
              <w:t>Long-running generation</w:t>
            </w:r>
          </w:p>
        </w:tc>
      </w:tr>
      <w:tr>
        <w:tc>
          <w:tcPr>
            <w:tcW w:type="dxa" w:w="5040"/>
          </w:tcPr>
          <w:p>
            <w:r>
              <w:t>Search indexing</w:t>
            </w:r>
          </w:p>
        </w:tc>
        <w:tc>
          <w:tcPr>
            <w:tcW w:type="dxa" w:w="5040"/>
          </w:tcPr>
          <w:p>
            <w:r>
              <w:t>Asynchronous projection workload</w:t>
            </w:r>
          </w:p>
        </w:tc>
      </w:tr>
    </w:tbl>
    <w:p/>
    <w:p>
      <w:pPr>
        <w:pStyle w:val="Heading1"/>
      </w:pPr>
      <w:r>
        <w:t>27. Observability and Operations</w:t>
      </w:r>
    </w:p>
    <w:p>
      <w:pPr>
        <w:pStyle w:val="ListBullet"/>
      </w:pPr>
      <w:r>
        <w:t>OpenTelemetry-compatible tracing.</w:t>
      </w:r>
    </w:p>
    <w:p>
      <w:pPr>
        <w:pStyle w:val="ListBullet"/>
      </w:pPr>
      <w:r>
        <w:t>Request IDs propagated through API, worker and integration boundaries.</w:t>
      </w:r>
    </w:p>
    <w:p>
      <w:pPr>
        <w:pStyle w:val="ListBullet"/>
      </w:pPr>
      <w:r>
        <w:t>Structured logs.</w:t>
      </w:r>
    </w:p>
    <w:p>
      <w:pPr>
        <w:pStyle w:val="ListBullet"/>
      </w:pPr>
      <w:r>
        <w:t>Metrics for latency, errors, queue depth and worker throughput.</w:t>
      </w:r>
    </w:p>
    <w:p>
      <w:pPr>
        <w:pStyle w:val="ListBullet"/>
      </w:pPr>
      <w:r>
        <w:t>Database connection monitoring.</w:t>
      </w:r>
    </w:p>
    <w:p>
      <w:pPr>
        <w:pStyle w:val="ListBullet"/>
      </w:pPr>
      <w:r>
        <w:t>Redis memory and eviction monitoring.</w:t>
      </w:r>
    </w:p>
    <w:p>
      <w:pPr>
        <w:pStyle w:val="ListBullet"/>
      </w:pPr>
      <w:r>
        <w:t>Dead-letter/failure monitoring for asynchronous workloads.</w:t>
      </w:r>
    </w:p>
    <w:p>
      <w:pPr>
        <w:pStyle w:val="ListBullet"/>
      </w:pPr>
      <w:r>
        <w:t>Provider error monitoring for communication and integration services.</w:t>
      </w:r>
    </w:p>
    <w:p>
      <w:pPr>
        <w:pStyle w:val="ListBullet"/>
      </w:pPr>
      <w:r>
        <w:t>Audit logging for important business actions.</w:t>
      </w:r>
    </w:p>
    <w:p>
      <w:pPr>
        <w:pStyle w:val="Heading1"/>
      </w:pPr>
      <w:r>
        <w:t>28. Security Architecture</w:t>
      </w:r>
    </w:p>
    <w:p>
      <w:pPr>
        <w:pStyle w:val="ListBullet"/>
      </w:pPr>
      <w:r>
        <w:t>TLS everywhere.</w:t>
      </w:r>
    </w:p>
    <w:p>
      <w:pPr>
        <w:pStyle w:val="ListBullet"/>
      </w:pPr>
      <w:r>
        <w:t>WAF and API rate limiting.</w:t>
      </w:r>
    </w:p>
    <w:p>
      <w:pPr>
        <w:pStyle w:val="ListBullet"/>
      </w:pPr>
      <w:r>
        <w:t>OAuth2/OIDC identity integration.</w:t>
      </w:r>
    </w:p>
    <w:p>
      <w:pPr>
        <w:pStyle w:val="ListBullet"/>
      </w:pPr>
      <w:r>
        <w:t>JWT validation with secure key management.</w:t>
      </w:r>
    </w:p>
    <w:p>
      <w:pPr>
        <w:pStyle w:val="ListBullet"/>
      </w:pPr>
      <w:r>
        <w:t>Tenant isolation at application and database layers.</w:t>
      </w:r>
    </w:p>
    <w:p>
      <w:pPr>
        <w:pStyle w:val="ListBullet"/>
      </w:pPr>
      <w:r>
        <w:t>Role and permission-based access.</w:t>
      </w:r>
    </w:p>
    <w:p>
      <w:pPr>
        <w:pStyle w:val="ListBullet"/>
      </w:pPr>
      <w:r>
        <w:t>Resource-level authorization.</w:t>
      </w:r>
    </w:p>
    <w:p>
      <w:pPr>
        <w:pStyle w:val="ListBullet"/>
      </w:pPr>
      <w:r>
        <w:t>Secrets stored in a managed secret service such as Azure Key Vault.</w:t>
      </w:r>
    </w:p>
    <w:p>
      <w:pPr>
        <w:pStyle w:val="ListBullet"/>
      </w:pPr>
      <w:r>
        <w:t>Malware scanning for uploaded files.</w:t>
      </w:r>
    </w:p>
    <w:p>
      <w:pPr>
        <w:pStyle w:val="ListBullet"/>
      </w:pPr>
      <w:r>
        <w:t>Document authorization checks before file access.</w:t>
      </w:r>
    </w:p>
    <w:p>
      <w:pPr>
        <w:pStyle w:val="ListBullet"/>
      </w:pPr>
      <w:r>
        <w:t>Audit records for sensitive operations.</w:t>
      </w:r>
    </w:p>
    <w:p>
      <w:pPr>
        <w:pStyle w:val="ListBullet"/>
      </w:pPr>
      <w:r>
        <w:t>Webhook signature validation.</w:t>
      </w:r>
    </w:p>
    <w:p>
      <w:pPr>
        <w:pStyle w:val="ListBullet"/>
      </w:pPr>
      <w:r>
        <w:t>Idempotency protection for sensitive write operations.</w:t>
      </w:r>
    </w:p>
    <w:p>
      <w:pPr>
        <w:pStyle w:val="Heading1"/>
      </w:pPr>
      <w:r>
        <w:t>29. Testing Strategy</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Test Type</w:t>
            </w:r>
          </w:p>
        </w:tc>
        <w:tc>
          <w:tcPr>
            <w:tcW w:type="dxa" w:w="5040"/>
            <w:shd w:fill="D9EAF7"/>
          </w:tcPr>
          <w:p>
            <w:r>
              <w:rPr>
                <w:b/>
              </w:rPr>
              <w:t>Primary Focus</w:t>
            </w:r>
          </w:p>
        </w:tc>
      </w:tr>
      <w:tr>
        <w:tc>
          <w:tcPr>
            <w:tcW w:type="dxa" w:w="5040"/>
          </w:tcPr>
          <w:p>
            <w:r>
              <w:t>Unit tests</w:t>
            </w:r>
          </w:p>
        </w:tc>
        <w:tc>
          <w:tcPr>
            <w:tcW w:type="dxa" w:w="5040"/>
          </w:tcPr>
          <w:p>
            <w:r>
              <w:t>Domain services and business rules</w:t>
            </w:r>
          </w:p>
        </w:tc>
      </w:tr>
      <w:tr>
        <w:tc>
          <w:tcPr>
            <w:tcW w:type="dxa" w:w="5040"/>
          </w:tcPr>
          <w:p>
            <w:r>
              <w:t>Repository tests</w:t>
            </w:r>
          </w:p>
        </w:tc>
        <w:tc>
          <w:tcPr>
            <w:tcW w:type="dxa" w:w="5040"/>
          </w:tcPr>
          <w:p>
            <w:r>
              <w:t>Database queries and persistence behavior</w:t>
            </w:r>
          </w:p>
        </w:tc>
      </w:tr>
      <w:tr>
        <w:tc>
          <w:tcPr>
            <w:tcW w:type="dxa" w:w="5040"/>
          </w:tcPr>
          <w:p>
            <w:r>
              <w:t>API tests</w:t>
            </w:r>
          </w:p>
        </w:tc>
        <w:tc>
          <w:tcPr>
            <w:tcW w:type="dxa" w:w="5040"/>
          </w:tcPr>
          <w:p>
            <w:r>
              <w:t>Request validation, auth and response contracts</w:t>
            </w:r>
          </w:p>
        </w:tc>
      </w:tr>
      <w:tr>
        <w:tc>
          <w:tcPr>
            <w:tcW w:type="dxa" w:w="5040"/>
          </w:tcPr>
          <w:p>
            <w:r>
              <w:t>Workflow tests</w:t>
            </w:r>
          </w:p>
        </w:tc>
        <w:tc>
          <w:tcPr>
            <w:tcW w:type="dxa" w:w="5040"/>
          </w:tcPr>
          <w:p>
            <w:r>
              <w:t>Allowed and forbidden state transitions</w:t>
            </w:r>
          </w:p>
        </w:tc>
      </w:tr>
      <w:tr>
        <w:tc>
          <w:tcPr>
            <w:tcW w:type="dxa" w:w="5040"/>
          </w:tcPr>
          <w:p>
            <w:r>
              <w:t>Tenant isolation tests</w:t>
            </w:r>
          </w:p>
        </w:tc>
        <w:tc>
          <w:tcPr>
            <w:tcW w:type="dxa" w:w="5040"/>
          </w:tcPr>
          <w:p>
            <w:r>
              <w:t>Cross-tenant data protection</w:t>
            </w:r>
          </w:p>
        </w:tc>
      </w:tr>
      <w:tr>
        <w:tc>
          <w:tcPr>
            <w:tcW w:type="dxa" w:w="5040"/>
          </w:tcPr>
          <w:p>
            <w:r>
              <w:t>Integration tests</w:t>
            </w:r>
          </w:p>
        </w:tc>
        <w:tc>
          <w:tcPr>
            <w:tcW w:type="dxa" w:w="5040"/>
          </w:tcPr>
          <w:p>
            <w:r>
              <w:t>Provider adapters and webhook processing</w:t>
            </w:r>
          </w:p>
        </w:tc>
      </w:tr>
      <w:tr>
        <w:tc>
          <w:tcPr>
            <w:tcW w:type="dxa" w:w="5040"/>
          </w:tcPr>
          <w:p>
            <w:r>
              <w:t>Worker tests</w:t>
            </w:r>
          </w:p>
        </w:tc>
        <w:tc>
          <w:tcPr>
            <w:tcW w:type="dxa" w:w="5040"/>
          </w:tcPr>
          <w:p>
            <w:r>
              <w:t>Idempotency and retry behavior</w:t>
            </w:r>
          </w:p>
        </w:tc>
      </w:tr>
      <w:tr>
        <w:tc>
          <w:tcPr>
            <w:tcW w:type="dxa" w:w="5040"/>
          </w:tcPr>
          <w:p>
            <w:r>
              <w:t>End-to-end tests</w:t>
            </w:r>
          </w:p>
        </w:tc>
        <w:tc>
          <w:tcPr>
            <w:tcW w:type="dxa" w:w="5040"/>
          </w:tcPr>
          <w:p>
            <w:r>
              <w:t>Critical CA Nexus user journeys</w:t>
            </w:r>
          </w:p>
        </w:tc>
      </w:tr>
    </w:tbl>
    <w:p/>
    <w:p>
      <w:pPr>
        <w:pStyle w:val="Heading1"/>
      </w:pPr>
      <w:r>
        <w:t>30. CI/CD Pipeline</w:t>
      </w:r>
    </w:p>
    <w:p>
      <w:pPr>
        <w:spacing w:after="120"/>
        <w:ind w:left="288" w:right="288"/>
      </w:pPr>
      <w:r>
        <w:rPr>
          <w:rFonts w:ascii="Courier New" w:hAnsi="Courier New"/>
          <w:sz w:val="17"/>
        </w:rPr>
        <w:t>Pull Request</w:t>
        <w:br/>
        <w:t xml:space="preserve">    │</w:t>
        <w:br/>
        <w:t xml:space="preserve">    ├── Formatting</w:t>
        <w:br/>
        <w:t xml:space="preserve">    ├── Linting</w:t>
        <w:br/>
        <w:t xml:space="preserve">    ├── Type Checks</w:t>
        <w:br/>
        <w:t xml:space="preserve">    ├── Unit Tests</w:t>
        <w:br/>
        <w:t xml:space="preserve">    ├── Integration Tests</w:t>
        <w:br/>
        <w:t xml:space="preserve">    ├── Security Checks</w:t>
        <w:br/>
        <w:t xml:space="preserve">    └── Build Container</w:t>
        <w:br/>
        <w:t xml:space="preserve">             │</w:t>
        <w:br/>
        <w:t xml:space="preserve">             ▼</w:t>
        <w:br/>
        <w:t xml:space="preserve">        Deploy Staging</w:t>
        <w:br/>
        <w:t xml:space="preserve">             │</w:t>
        <w:br/>
        <w:t xml:space="preserve">             ▼</w:t>
        <w:br/>
        <w:t xml:space="preserve">       Smoke / Migration Checks</w:t>
        <w:br/>
        <w:t xml:space="preserve">             │</w:t>
        <w:br/>
        <w:t xml:space="preserve">             ▼</w:t>
        <w:br/>
        <w:t xml:space="preserve">       Production Approval / Deploy</w:t>
        <w:br/>
      </w:r>
    </w:p>
    <w:p>
      <w:pPr>
        <w:pStyle w:val="Heading1"/>
      </w:pPr>
      <w:r>
        <w:t>31. Migration from Existing Mixed Backend</w:t>
      </w:r>
    </w:p>
    <w:p>
      <w:r>
        <w:t>If legacy backend code already exists, migration should be deliberate rather than a big-bang rewrite.</w:t>
      </w:r>
    </w:p>
    <w:p>
      <w:pPr>
        <w:pStyle w:val="ListNumber"/>
      </w:pPr>
      <w:r>
        <w:t>Freeze the target domain boundaries and API contracts.</w:t>
      </w:r>
    </w:p>
    <w:p>
      <w:pPr>
        <w:pStyle w:val="ListNumber"/>
      </w:pPr>
      <w:r>
        <w:t>Inventory existing legacy models, migrations, services, endpoints and business rules.</w:t>
      </w:r>
    </w:p>
    <w:p>
      <w:pPr>
        <w:pStyle w:val="ListNumber"/>
      </w:pPr>
      <w:r>
        <w:t>Create equivalent SQLAlchemy models and Alembic migration strategy.</w:t>
      </w:r>
    </w:p>
    <w:p>
      <w:pPr>
        <w:pStyle w:val="ListNumber"/>
      </w:pPr>
      <w:r>
        <w:t>Move domain logic into explicit FastAPI services.</w:t>
      </w:r>
    </w:p>
    <w:p>
      <w:pPr>
        <w:pStyle w:val="ListNumber"/>
      </w:pPr>
      <w:r>
        <w:t>Recreate authentication and authorization dependencies.</w:t>
      </w:r>
    </w:p>
    <w:p>
      <w:pPr>
        <w:pStyle w:val="ListNumber"/>
      </w:pPr>
      <w:r>
        <w:t>Migrate one domain at a time.</w:t>
      </w:r>
    </w:p>
    <w:p>
      <w:pPr>
        <w:pStyle w:val="ListNumber"/>
      </w:pPr>
      <w:r>
        <w:t>Run compatibility tests between old and new behavior.</w:t>
      </w:r>
    </w:p>
    <w:p>
      <w:pPr>
        <w:pStyle w:val="ListNumber"/>
      </w:pPr>
      <w:r>
        <w:t>Move asynchronous processing to shared worker architecture.</w:t>
      </w:r>
    </w:p>
    <w:p>
      <w:pPr>
        <w:pStyle w:val="ListNumber"/>
      </w:pPr>
      <w:r>
        <w:t>Retire legacy backend components only after each critical domain has a verified FastAPI replacement.</w:t>
      </w:r>
    </w:p>
    <w:p>
      <w:pPr>
        <w:pStyle w:val="Heading1"/>
      </w:pPr>
      <w:r>
        <w:t>32. Recommended Implementation Order</w:t>
      </w:r>
    </w:p>
    <w:p>
      <w:pPr>
        <w:pStyle w:val="ListNumber"/>
      </w:pPr>
      <w:r>
        <w:t>Core FastAPI project foundation: configuration, database, migrations, logging, error handling.</w:t>
      </w:r>
    </w:p>
    <w:p>
      <w:pPr>
        <w:pStyle w:val="ListNumber"/>
      </w:pPr>
      <w:r>
        <w:t>Authentication, tenant context and permission framework.</w:t>
      </w:r>
    </w:p>
    <w:p>
      <w:pPr>
        <w:pStyle w:val="ListNumber"/>
      </w:pPr>
      <w:r>
        <w:t>Users, firms and organizational structure.</w:t>
      </w:r>
    </w:p>
    <w:p>
      <w:pPr>
        <w:pStyle w:val="ListNumber"/>
      </w:pPr>
      <w:r>
        <w:t>Clients, contacts and onboarding.</w:t>
      </w:r>
    </w:p>
    <w:p>
      <w:pPr>
        <w:pStyle w:val="ListNumber"/>
      </w:pPr>
      <w:r>
        <w:t>Matters and lifecycle management.</w:t>
      </w:r>
    </w:p>
    <w:p>
      <w:pPr>
        <w:pStyle w:val="ListNumber"/>
      </w:pPr>
      <w:r>
        <w:t>Tasks, subtasks, checklists and dependencies.</w:t>
      </w:r>
    </w:p>
    <w:p>
      <w:pPr>
        <w:pStyle w:val="ListNumber"/>
      </w:pPr>
      <w:r>
        <w:t>Shared workflow/state transition framework.</w:t>
      </w:r>
    </w:p>
    <w:p>
      <w:pPr>
        <w:pStyle w:val="ListNumber"/>
      </w:pPr>
      <w:r>
        <w:t>Compliance engine and specialized compliance workspaces.</w:t>
      </w:r>
    </w:p>
    <w:p>
      <w:pPr>
        <w:pStyle w:val="ListNumber"/>
      </w:pPr>
      <w:r>
        <w:t>Documents and document processing pipeline.</w:t>
      </w:r>
    </w:p>
    <w:p>
      <w:pPr>
        <w:pStyle w:val="ListNumber"/>
      </w:pPr>
      <w:r>
        <w:t>Communications, conversations and campaigns.</w:t>
      </w:r>
    </w:p>
    <w:p>
      <w:pPr>
        <w:pStyle w:val="ListNumber"/>
      </w:pPr>
      <w:r>
        <w:t>Billing and financial operations.</w:t>
      </w:r>
    </w:p>
    <w:p>
      <w:pPr>
        <w:pStyle w:val="ListNumber"/>
      </w:pPr>
      <w:r>
        <w:t>Audit and administration.</w:t>
      </w:r>
    </w:p>
    <w:p>
      <w:pPr>
        <w:pStyle w:val="ListNumber"/>
      </w:pPr>
      <w:r>
        <w:t>Search and projection architecture.</w:t>
      </w:r>
    </w:p>
    <w:p>
      <w:pPr>
        <w:pStyle w:val="ListNumber"/>
      </w:pPr>
      <w:r>
        <w:t>Reporting and advanced automation.</w:t>
      </w:r>
    </w:p>
    <w:p>
      <w:pPr>
        <w:pStyle w:val="Heading1"/>
      </w:pPr>
      <w:r>
        <w:t>33. Architecture Decisions to Avoid</w:t>
      </w:r>
    </w:p>
    <w:p>
      <w:pPr>
        <w:pStyle w:val="ListBullet"/>
      </w:pPr>
      <w:r>
        <w:t>Do not put all business logic in FastAPI route functions.</w:t>
      </w:r>
    </w:p>
    <w:p>
      <w:pPr>
        <w:pStyle w:val="ListBullet"/>
      </w:pPr>
      <w:r>
        <w:t>Do not make every module a microservice from day one.</w:t>
      </w:r>
    </w:p>
    <w:p>
      <w:pPr>
        <w:pStyle w:val="ListBullet"/>
      </w:pPr>
      <w:r>
        <w:t>Do not use Redis as the permanent source of truth for critical records.</w:t>
      </w:r>
    </w:p>
    <w:p>
      <w:pPr>
        <w:pStyle w:val="ListBullet"/>
      </w:pPr>
      <w:r>
        <w:t>Do not let workers bypass authorization and business workflow rules.</w:t>
      </w:r>
    </w:p>
    <w:p>
      <w:pPr>
        <w:pStyle w:val="ListBullet"/>
      </w:pPr>
      <w:r>
        <w:t>Do not expose database ORM models blindly as public API schemas.</w:t>
      </w:r>
    </w:p>
    <w:p>
      <w:pPr>
        <w:pStyle w:val="ListBullet"/>
      </w:pPr>
      <w:r>
        <w:t>Do not duplicate compliance logic separately for ITR, GST, TDS and MCA/ROC.</w:t>
      </w:r>
    </w:p>
    <w:p>
      <w:pPr>
        <w:pStyle w:val="ListBullet"/>
      </w:pPr>
      <w:r>
        <w:t>Do not use S3 or object storage as a transactional database.</w:t>
      </w:r>
    </w:p>
    <w:p>
      <w:pPr>
        <w:pStyle w:val="ListBullet"/>
      </w:pPr>
      <w:r>
        <w:t>Do not run OCR, AI or large reports inside normal API request processes.</w:t>
      </w:r>
    </w:p>
    <w:p>
      <w:pPr>
        <w:pStyle w:val="ListBullet"/>
      </w:pPr>
      <w:r>
        <w:t>Do not rely solely on application-level tenant filters without database defense in depth for sensitive multi-tenant data.</w:t>
      </w:r>
    </w:p>
    <w:p>
      <w:pPr>
        <w:pStyle w:val="Heading1"/>
      </w:pPr>
      <w:r>
        <w:t>34. Final Target Architecture</w:t>
      </w:r>
    </w:p>
    <w:p>
      <w:pPr>
        <w:spacing w:after="120"/>
        <w:ind w:left="288" w:right="288"/>
      </w:pPr>
      <w:r>
        <w:rPr>
          <w:rFonts w:ascii="Courier New" w:hAnsi="Courier New"/>
          <w:sz w:val="17"/>
        </w:rPr>
        <w:t xml:space="preserve">                         NEXT.JS FRONTEND</w:t>
        <w:br/>
        <w:t xml:space="preserve">                                │</w:t>
        <w:br/>
        <w:t xml:space="preserve">                                ▼</w:t>
        <w:br/>
        <w:t xml:space="preserve">                      CDN / WAF / API EDGE</w:t>
        <w:br/>
        <w:t xml:space="preserve">                                │</w:t>
        <w:br/>
        <w:t xml:space="preserve">                                ▼</w:t>
        <w:br/>
        <w:t xml:space="preserve">                      FASTAPI MODULAR CORE</w:t>
        <w:br/>
        <w:t xml:space="preserve">                                │</w:t>
        <w:br/>
        <w:t xml:space="preserve">          ┌─────────────────────┼──────────────────────┐</w:t>
        <w:br/>
        <w:t xml:space="preserve">          ▼                     ▼                      ▼</w:t>
        <w:br/>
        <w:t xml:space="preserve">     PostgreSQL              Redis              Service Bus</w:t>
        <w:br/>
        <w:t xml:space="preserve"> Source of Truth       Cache / Read Models      Domain Events</w:t>
        <w:br/>
        <w:t xml:space="preserve">          │                     │                      │</w:t>
        <w:br/>
        <w:t xml:space="preserve">          │                     │                      ▼</w:t>
        <w:br/>
        <w:t xml:space="preserve">          │                     │              Independent Workers</w:t>
        <w:br/>
        <w:t xml:space="preserve">          │                     │              ├── Documents</w:t>
        <w:br/>
        <w:t xml:space="preserve">          │                     │              ├── OCR / AI</w:t>
        <w:br/>
        <w:t xml:space="preserve">          │                     │              ├── Communications</w:t>
        <w:br/>
        <w:t xml:space="preserve">          │                     │              ├── Reporting</w:t>
        <w:br/>
        <w:t xml:space="preserve">          │                     │              └── Automation</w:t>
        <w:br/>
        <w:t xml:space="preserve">          │                     │</w:t>
        <w:br/>
        <w:t xml:space="preserve">          ▼                     ▼</w:t>
        <w:br/>
        <w:t xml:space="preserve"> Transactional Data       Low-Latency Reads</w:t>
        <w:br/>
        <w:t xml:space="preserve">          │</w:t>
        <w:br/>
        <w:t xml:space="preserve">    ┌─────┼──────────────┐</w:t>
        <w:br/>
        <w:t xml:space="preserve">    ▼     ▼              ▼</w:t>
        <w:br/>
        <w:t>OpenSearch MongoDB   Blob Storage</w:t>
        <w:br/>
        <w:t xml:space="preserve"> Search    Flexible    Documents</w:t>
        <w:br/>
        <w:t xml:space="preserve">          Processing</w:t>
        <w:br/>
        <w:t xml:space="preserve">          Results</w:t>
        <w:br/>
      </w:r>
    </w:p>
    <w:p>
      <w:pPr>
        <w:pStyle w:val="Heading1"/>
      </w:pPr>
      <w:r>
        <w:t>35. Final Recommendation</w:t>
      </w:r>
    </w:p>
    <w:p>
      <w:r>
        <w:t>For CA Nexus, the recommended direction is a FastAPI-only backend built as a disciplined modular monolith. FastAPI should own the complete business platform, while workers and event consumers handle asynchronous and compute-heavy workloads.</w:t>
      </w:r>
    </w:p>
    <w:p>
      <w:r>
        <w:t>The key success factor is not simply choosing FastAPI. The key is enforcing architecture: thin routers, explicit domain services, repositories, transaction boundaries, strong tenant isolation, validated workflows, asynchronous workers, reliable events, and cache/read projections for high-scale workloads.</w:t>
      </w:r>
    </w:p>
    <w:p>
      <w:r>
        <w:t>This structure gives CA Nexus a single Python backend technology while preserving the ability to scale individual workloads independently as the product grows.</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CA Nexus — Architecture Document v3.0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2026-09-06T18:48:08.828Z</dcterms:created>
  <dcterms:modified xsi:type="dcterms:W3CDTF">2026-09-06T18:48:08.846Z</dcterms:modified>
</cp:coreProperties>
</file>

<file path=docProps/custom.xml><?xml version="1.0" encoding="utf-8"?>
<Properties xmlns="http://schemas.openxmlformats.org/officeDocument/2006/custom-properties" xmlns:vt="http://schemas.openxmlformats.org/officeDocument/2006/docPropsVTypes"/>
</file>