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9be995ffab2c509ba4f6a8c471cee13a761e1b0"/>
    <w:p>
      <w:pPr>
        <w:pStyle w:val="Heading1"/>
      </w:pPr>
      <w:r>
        <w:rPr>
          <w:color w:val="000000"/>
        </w:rPr>
        <w:t xml:space="preserve">Diabetic 30-Day Readmissions: Final Report</w:t>
      </w:r>
    </w:p>
    <w:p>
      <w:pPr>
        <w:pStyle w:val="FirstParagraph"/>
        <w:jc w:val="both"/>
      </w:pPr>
      <w:r>
        <w:rPr>
          <w:bCs/>
          <w:b/>
          <w:color w:val="000000"/>
        </w:rPr>
        <w:t xml:space="preserve">Meridian Care Network (fictional) · Population Health</w:t>
      </w:r>
    </w:p>
    <w:bookmarkStart w:id="20" w:name="executive-summary"/>
    <w:p>
      <w:pPr>
        <w:pStyle w:val="Heading2"/>
      </w:pPr>
      <w:r>
        <w:rPr>
          <w:color w:val="000000"/>
        </w:rPr>
        <w:t xml:space="preserve">1. Executive summary</w:t>
      </w:r>
    </w:p>
    <w:p>
      <w:pPr>
        <w:pStyle w:val="FirstParagraph"/>
        <w:jc w:val="both"/>
      </w:pPr>
      <w:r>
        <w:rPr>
          <w:bCs/>
          <w:b/>
          <w:color w:val="000000"/>
        </w:rPr>
        <w:t xml:space="preserve">Context.</w:t>
      </w:r>
      <w:r>
        <w:rPr>
          <w:color w:val="000000"/>
        </w:rPr>
        <w:t xml:space="preserve"> </w:t>
      </w:r>
      <w:r>
        <w:rPr>
          <w:color w:val="000000"/>
        </w:rPr>
        <w:t xml:space="preserve">Meridian Care Network’s quality committee has flagged diabetic readmissions again. The VP of Population Health asked for a way to identify patients at elevated risk before discharge, and a case for where to spend a limited care-coordination budget.</w:t>
      </w:r>
    </w:p>
    <w:p>
      <w:pPr>
        <w:pStyle w:val="BodyText"/>
        <w:jc w:val="both"/>
      </w:pPr>
      <w:r>
        <w:rPr>
          <w:bCs/>
          <w:b/>
          <w:color w:val="000000"/>
        </w:rPr>
        <w:t xml:space="preserve">Objective.</w:t>
      </w:r>
      <w:r>
        <w:rPr>
          <w:color w:val="000000"/>
        </w:rPr>
        <w:t xml:space="preserve"> </w:t>
      </w:r>
      <w:r>
        <w:rPr>
          <w:color w:val="000000"/>
        </w:rPr>
        <w:t xml:space="preserve">Measure the 30-day readmission rate, find the patterns associated with higher rates, and turn them into a simple flag the discharge planning team can use, with a cost in staff time.</w:t>
      </w:r>
    </w:p>
    <w:p>
      <w:pPr>
        <w:pStyle w:val="BodyText"/>
        <w:jc w:val="both"/>
      </w:pPr>
      <w:r>
        <w:rPr>
          <w:bCs/>
          <w:b/>
          <w:color w:val="000000"/>
        </w:rPr>
        <w:t xml:space="preserve">Key findings</w:t>
      </w:r>
    </w:p>
    <w:p>
      <w:pPr>
        <w:numPr>
          <w:ilvl w:val="0"/>
          <w:numId w:val="1001"/>
        </w:numPr>
        <w:pStyle w:val="Compact"/>
        <w:jc w:val="both"/>
      </w:pPr>
      <w:r>
        <w:rPr>
          <w:bCs/>
          <w:b/>
          <w:color w:val="000000"/>
        </w:rPr>
        <w:t xml:space="preserve">11.4% of included encounters</w:t>
      </w:r>
      <w:r>
        <w:rPr>
          <w:color w:val="000000"/>
        </w:rPr>
        <w:t xml:space="preserve"> </w:t>
      </w:r>
      <w:r>
        <w:rPr>
          <w:color w:val="000000"/>
        </w:rPr>
        <w:t xml:space="preserve">(11,314 of 99,343) were readmitted within 30 days.</w:t>
      </w:r>
    </w:p>
    <w:p>
      <w:pPr>
        <w:numPr>
          <w:ilvl w:val="0"/>
          <w:numId w:val="1001"/>
        </w:numPr>
        <w:pStyle w:val="Compact"/>
        <w:jc w:val="both"/>
      </w:pPr>
      <w:r>
        <w:rPr>
          <w:bCs/>
          <w:b/>
          <w:color w:val="000000"/>
        </w:rPr>
        <w:t xml:space="preserve">Prior inpatient visits are the strongest signal.</w:t>
      </w:r>
      <w:r>
        <w:rPr>
          <w:color w:val="000000"/>
        </w:rPr>
        <w:t xml:space="preserve"> </w:t>
      </w:r>
      <w:r>
        <w:rPr>
          <w:color w:val="000000"/>
        </w:rPr>
        <w:t xml:space="preserve">The rate rises from 8.6% with no prior visits to 40.6% with six or more.</w:t>
      </w:r>
    </w:p>
    <w:p>
      <w:pPr>
        <w:numPr>
          <w:ilvl w:val="0"/>
          <w:numId w:val="1001"/>
        </w:numPr>
        <w:pStyle w:val="Compact"/>
        <w:jc w:val="both"/>
      </w:pPr>
      <w:r>
        <w:rPr>
          <w:bCs/>
          <w:b/>
          <w:color w:val="000000"/>
        </w:rPr>
        <w:t xml:space="preserve">Readmissions are concentrated.</w:t>
      </w:r>
      <w:r>
        <w:rPr>
          <w:color w:val="000000"/>
        </w:rPr>
        <w:t xml:space="preserve"> </w:t>
      </w:r>
      <w:r>
        <w:rPr>
          <w:color w:val="000000"/>
        </w:rPr>
        <w:t xml:space="preserve">Patients with two or more encounters are 23.4% of patients but account for 79.8% of readmissions.</w:t>
      </w:r>
    </w:p>
    <w:p>
      <w:pPr>
        <w:numPr>
          <w:ilvl w:val="0"/>
          <w:numId w:val="1001"/>
        </w:numPr>
        <w:pStyle w:val="Compact"/>
        <w:jc w:val="both"/>
      </w:pPr>
      <w:r>
        <w:rPr>
          <w:bCs/>
          <w:b/>
          <w:color w:val="000000"/>
        </w:rPr>
        <w:t xml:space="preserve">Most other factors show smaller differences.</w:t>
      </w:r>
      <w:r>
        <w:rPr>
          <w:color w:val="000000"/>
        </w:rPr>
        <w:t xml:space="preserve"> </w:t>
      </w:r>
      <w:r>
        <w:rPr>
          <w:color w:val="000000"/>
        </w:rPr>
        <w:t xml:space="preserve">Looked at one at a time, age, diagnosis group, admission type, medications and length of stay each move the rate by less than five points. Discharge destination shows a larger gap: a combined group of other discharge codes, which includes transfers to other hospitals and care facilities, had a 20.0% rate against 9.3% for those discharged home. This group mixes several types of discharge and needs breaking down before it can guide practice.</w:t>
      </w:r>
    </w:p>
    <w:p>
      <w:pPr>
        <w:pStyle w:val="FirstParagraph"/>
        <w:jc w:val="both"/>
      </w:pPr>
      <w:r>
        <w:rPr>
          <w:bCs/>
          <w:b/>
          <w:color w:val="000000"/>
        </w:rPr>
        <w:t xml:space="preserve">Top recommendation.</w:t>
      </w:r>
      <w:r>
        <w:rPr>
          <w:color w:val="000000"/>
        </w:rPr>
        <w:t xml:space="preserve"> </w:t>
      </w:r>
      <w:r>
        <w:rPr>
          <w:color w:val="000000"/>
        </w:rPr>
        <w:t xml:space="preserve">Flag every encounter with</w:t>
      </w:r>
      <w:r>
        <w:rPr>
          <w:color w:val="000000"/>
        </w:rPr>
        <w:t xml:space="preserve"> </w:t>
      </w:r>
      <w:r>
        <w:rPr>
          <w:bCs/>
          <w:b/>
          <w:color w:val="000000"/>
        </w:rPr>
        <w:t xml:space="preserve">two or more prior inpatient visits</w:t>
      </w:r>
      <w:r>
        <w:rPr>
          <w:color w:val="000000"/>
        </w:rPr>
        <w:t xml:space="preserve"> </w:t>
      </w:r>
      <w:r>
        <w:rPr>
          <w:color w:val="000000"/>
        </w:rPr>
        <w:t xml:space="preserve">at discharge for care-coordination follow-up.</w:t>
      </w:r>
    </w:p>
    <w:tbl>
      <w:tblPr>
        <w:tblStyle w:val="Table"/>
        <w:tblW w:type="auto" w:w="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spacing w:after="40"/>
            </w:pPr>
          </w:p>
        </w:tc>
        <w:tc>
          <w:tcPr/>
          <w:p>
            <w:pPr>
              <w:pStyle w:val="Compact"/>
              <w:spacing w:after="40"/>
              <w:jc w:val="left"/>
            </w:pPr>
            <w:r>
              <w:rPr>
                <w:b/>
                <w:color w:val="000000"/>
                <w:sz w:val="20"/>
              </w:rPr>
              <w:t xml:space="preserve">Flag 2+ prior visits</w:t>
            </w:r>
          </w:p>
        </w:tc>
        <w:tc>
          <w:tcPr/>
          <w:p>
            <w:pPr>
              <w:pStyle w:val="Compact"/>
              <w:spacing w:after="40"/>
              <w:jc w:val="left"/>
            </w:pPr>
            <w:r>
              <w:rPr>
                <w:b/>
                <w:color w:val="000000"/>
                <w:sz w:val="20"/>
              </w:rPr>
              <w:t xml:space="preserve">Contact everyone</w:t>
            </w:r>
          </w:p>
        </w:tc>
      </w:tr>
      <w:tr>
        <w:tc>
          <w:tcPr/>
          <w:p>
            <w:pPr>
              <w:pStyle w:val="Compact"/>
              <w:spacing w:after="40"/>
              <w:jc w:val="left"/>
            </w:pPr>
            <w:r>
              <w:rPr>
                <w:color w:val="000000"/>
                <w:sz w:val="20"/>
              </w:rPr>
              <w:t xml:space="preserve">Encounters to contact</w:t>
            </w:r>
          </w:p>
        </w:tc>
        <w:tc>
          <w:tcPr/>
          <w:p>
            <w:pPr>
              <w:pStyle w:val="Compact"/>
              <w:spacing w:after="40"/>
              <w:jc w:val="left"/>
            </w:pPr>
            <w:r>
              <w:rPr>
                <w:color w:val="000000"/>
                <w:sz w:val="20"/>
              </w:rPr>
              <w:t xml:space="preserve">14,114 (14.2%)</w:t>
            </w:r>
          </w:p>
        </w:tc>
        <w:tc>
          <w:tcPr/>
          <w:p>
            <w:pPr>
              <w:pStyle w:val="Compact"/>
              <w:spacing w:after="40"/>
              <w:jc w:val="left"/>
            </w:pPr>
            <w:r>
              <w:rPr>
                <w:color w:val="000000"/>
                <w:sz w:val="20"/>
              </w:rPr>
              <w:t xml:space="preserve">99,343</w:t>
            </w:r>
          </w:p>
        </w:tc>
      </w:tr>
      <w:tr>
        <w:tc>
          <w:tcPr/>
          <w:p>
            <w:pPr>
              <w:pStyle w:val="Compact"/>
              <w:spacing w:after="40"/>
              <w:jc w:val="left"/>
            </w:pPr>
            <w:r>
              <w:rPr>
                <w:color w:val="000000"/>
                <w:sz w:val="20"/>
              </w:rPr>
              <w:t xml:space="preserve">Readmissions reached</w:t>
            </w:r>
          </w:p>
        </w:tc>
        <w:tc>
          <w:tcPr/>
          <w:p>
            <w:pPr>
              <w:pStyle w:val="Compact"/>
              <w:spacing w:after="40"/>
              <w:jc w:val="left"/>
            </w:pPr>
            <w:r>
              <w:rPr>
                <w:color w:val="000000"/>
                <w:sz w:val="20"/>
              </w:rPr>
              <w:t xml:space="preserve">3,108 (27.5%)</w:t>
            </w:r>
          </w:p>
        </w:tc>
        <w:tc>
          <w:tcPr/>
          <w:p>
            <w:pPr>
              <w:pStyle w:val="Compact"/>
              <w:spacing w:after="40"/>
              <w:jc w:val="left"/>
            </w:pPr>
            <w:r>
              <w:rPr>
                <w:color w:val="000000"/>
                <w:sz w:val="20"/>
              </w:rPr>
              <w:t xml:space="preserve">11,314</w:t>
            </w:r>
          </w:p>
        </w:tc>
      </w:tr>
      <w:tr>
        <w:tc>
          <w:tcPr/>
          <w:p>
            <w:pPr>
              <w:pStyle w:val="Compact"/>
              <w:spacing w:after="40"/>
              <w:jc w:val="left"/>
            </w:pPr>
            <w:r>
              <w:rPr>
                <w:color w:val="000000"/>
                <w:sz w:val="20"/>
              </w:rPr>
              <w:t xml:space="preserve">Staff hours (2 contacts of 20 minutes)</w:t>
            </w:r>
          </w:p>
        </w:tc>
        <w:tc>
          <w:tcPr/>
          <w:p>
            <w:pPr>
              <w:pStyle w:val="Compact"/>
              <w:spacing w:after="40"/>
              <w:jc w:val="left"/>
            </w:pPr>
            <w:r>
              <w:rPr>
                <w:color w:val="000000"/>
                <w:sz w:val="20"/>
              </w:rPr>
              <w:t xml:space="preserve">9,409</w:t>
            </w:r>
          </w:p>
        </w:tc>
        <w:tc>
          <w:tcPr/>
          <w:p>
            <w:pPr>
              <w:pStyle w:val="Compact"/>
              <w:spacing w:after="40"/>
              <w:jc w:val="left"/>
            </w:pPr>
            <w:r>
              <w:rPr>
                <w:color w:val="000000"/>
                <w:sz w:val="20"/>
              </w:rPr>
              <w:t xml:space="preserve">66,229</w:t>
            </w:r>
          </w:p>
        </w:tc>
      </w:tr>
      <w:tr>
        <w:tc>
          <w:tcPr/>
          <w:p>
            <w:pPr>
              <w:pStyle w:val="Compact"/>
              <w:spacing w:after="40"/>
              <w:jc w:val="left"/>
            </w:pPr>
            <w:r>
              <w:rPr>
                <w:color w:val="000000"/>
                <w:sz w:val="20"/>
              </w:rPr>
              <w:t xml:space="preserve">Hours per readmission reached</w:t>
            </w:r>
          </w:p>
        </w:tc>
        <w:tc>
          <w:tcPr/>
          <w:p>
            <w:pPr>
              <w:pStyle w:val="Compact"/>
              <w:spacing w:after="40"/>
              <w:jc w:val="left"/>
            </w:pPr>
            <w:r>
              <w:rPr>
                <w:bCs/>
                <w:b/>
                <w:color w:val="000000"/>
                <w:sz w:val="20"/>
              </w:rPr>
              <w:t xml:space="preserve">3.0</w:t>
            </w:r>
          </w:p>
        </w:tc>
        <w:tc>
          <w:tcPr/>
          <w:p>
            <w:pPr>
              <w:pStyle w:val="Compact"/>
              <w:spacing w:after="40"/>
              <w:jc w:val="left"/>
            </w:pPr>
            <w:r>
              <w:rPr>
                <w:color w:val="000000"/>
                <w:sz w:val="20"/>
              </w:rPr>
              <w:t xml:space="preserve">5.9</w:t>
            </w:r>
          </w:p>
        </w:tc>
      </w:tr>
    </w:tbl>
    <w:p>
      <w:pPr>
        <w:pStyle w:val="BodyText"/>
        <w:jc w:val="both"/>
      </w:pPr>
      <w:r>
        <w:rPr>
          <w:color w:val="000000"/>
        </w:rPr>
        <w:t xml:space="preserve">The tier’s rate (22.0%) is</w:t>
      </w:r>
      <w:r>
        <w:rPr>
          <w:color w:val="000000"/>
        </w:rPr>
        <w:t xml:space="preserve"> </w:t>
      </w:r>
      <w:r>
        <w:rPr>
          <w:bCs/>
          <w:b/>
          <w:color w:val="000000"/>
        </w:rPr>
        <w:t xml:space="preserve">2.29 times</w:t>
      </w:r>
      <w:r>
        <w:rPr>
          <w:color w:val="000000"/>
        </w:rPr>
        <w:t xml:space="preserve"> </w:t>
      </w:r>
      <w:r>
        <w:rPr>
          <w:color w:val="000000"/>
        </w:rPr>
        <w:t xml:space="preserve">the rate of everyone else (9.6%), and the rule held up on patients it was not built on (2.07 times).</w:t>
      </w:r>
      <w:r>
        <w:rPr>
          <w:color w:val="000000"/>
        </w:rPr>
        <w:t xml:space="preserve"> </w:t>
      </w:r>
      <w:r>
        <w:rPr>
          <w:bCs/>
          <w:b/>
          <w:color w:val="000000"/>
        </w:rPr>
        <w:t xml:space="preserve">Illustrative impact:</w:t>
      </w:r>
      <w:r>
        <w:rPr>
          <w:color w:val="000000"/>
        </w:rPr>
        <w:t xml:space="preserve"> </w:t>
      </w:r>
      <w:r>
        <w:rPr>
          <w:color w:val="000000"/>
        </w:rPr>
        <w:t xml:space="preserve">if follow-up prevented one in ten readmissions in the tier, that would mean about</w:t>
      </w:r>
      <w:r>
        <w:rPr>
          <w:color w:val="000000"/>
        </w:rPr>
        <w:t xml:space="preserve"> </w:t>
      </w:r>
      <w:r>
        <w:rPr>
          <w:bCs/>
          <w:b/>
          <w:color w:val="000000"/>
        </w:rPr>
        <w:t xml:space="preserve">311 fewer readmissions</w:t>
      </w:r>
      <w:r>
        <w:rPr>
          <w:color w:val="000000"/>
        </w:rPr>
        <w:t xml:space="preserve"> </w:t>
      </w:r>
      <w:r>
        <w:rPr>
          <w:color w:val="000000"/>
        </w:rPr>
        <w:t xml:space="preserve">for 9,409 staff hours. This is an assumption to test, not a measured effect.</w:t>
      </w:r>
    </w:p>
    <w:bookmarkEnd w:id="20"/>
    <w:bookmarkStart w:id="24" w:name="project-overview"/>
    <w:p>
      <w:pPr>
        <w:pStyle w:val="Heading2"/>
      </w:pPr>
      <w:r>
        <w:rPr>
          <w:color w:val="000000"/>
        </w:rPr>
        <w:t xml:space="preserve">2. Project overview</w:t>
      </w:r>
    </w:p>
    <w:bookmarkStart w:id="21" w:name="business-problem"/>
    <w:p>
      <w:pPr>
        <w:pStyle w:val="Heading3"/>
      </w:pPr>
      <w:r>
        <w:rPr>
          <w:color w:val="000000"/>
        </w:rPr>
        <w:t xml:space="preserve">2.1 Business problem</w:t>
      </w:r>
    </w:p>
    <w:p>
      <w:pPr>
        <w:pStyle w:val="FirstParagraph"/>
        <w:jc w:val="both"/>
      </w:pPr>
      <w:r>
        <w:rPr>
          <w:color w:val="000000"/>
        </w:rPr>
        <w:t xml:space="preserve">The stakeholder was clear that another chart showing the number going up would not help. The brief broke down into three questions: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spacing w:after="40"/>
              <w:jc w:val="left"/>
            </w:pPr>
            <w:r>
              <w:rPr>
                <w:b/>
                <w:color w:val="000000"/>
                <w:sz w:val="20"/>
              </w:rPr>
              <w:t xml:space="preserve">Need</w:t>
            </w:r>
          </w:p>
        </w:tc>
        <w:tc>
          <w:tcPr/>
          <w:p>
            <w:pPr>
              <w:pStyle w:val="Compact"/>
              <w:spacing w:after="40"/>
              <w:jc w:val="left"/>
            </w:pPr>
            <w:r>
              <w:rPr>
                <w:b/>
                <w:color w:val="000000"/>
                <w:sz w:val="20"/>
              </w:rPr>
              <w:t xml:space="preserve">Question</w:t>
            </w:r>
          </w:p>
        </w:tc>
      </w:tr>
      <w:tr>
        <w:tc>
          <w:tcPr/>
          <w:p>
            <w:pPr>
              <w:pStyle w:val="Compact"/>
              <w:spacing w:after="40"/>
              <w:jc w:val="left"/>
            </w:pPr>
            <w:r>
              <w:rPr>
                <w:bCs/>
                <w:b/>
                <w:color w:val="000000"/>
                <w:sz w:val="20"/>
              </w:rPr>
              <w:t xml:space="preserve">Number</w:t>
            </w:r>
          </w:p>
        </w:tc>
        <w:tc>
          <w:tcPr/>
          <w:p>
            <w:pPr>
              <w:pStyle w:val="Compact"/>
              <w:spacing w:after="40"/>
              <w:jc w:val="left"/>
            </w:pPr>
            <w:r>
              <w:rPr>
                <w:color w:val="000000"/>
                <w:sz w:val="20"/>
              </w:rPr>
              <w:t xml:space="preserve">How often are diabetic patients readmitted within 30 days?</w:t>
            </w:r>
          </w:p>
        </w:tc>
      </w:tr>
      <w:tr>
        <w:tc>
          <w:tcPr/>
          <w:p>
            <w:pPr>
              <w:pStyle w:val="Compact"/>
              <w:spacing w:after="40"/>
              <w:jc w:val="left"/>
            </w:pPr>
            <w:r>
              <w:rPr>
                <w:bCs/>
                <w:b/>
                <w:color w:val="000000"/>
                <w:sz w:val="20"/>
              </w:rPr>
              <w:t xml:space="preserve">Pattern</w:t>
            </w:r>
          </w:p>
        </w:tc>
        <w:tc>
          <w:tcPr/>
          <w:p>
            <w:pPr>
              <w:pStyle w:val="Compact"/>
              <w:spacing w:after="40"/>
              <w:jc w:val="left"/>
            </w:pPr>
            <w:r>
              <w:rPr>
                <w:color w:val="000000"/>
                <w:sz w:val="20"/>
              </w:rPr>
              <w:t xml:space="preserve">Which characteristics are associated with higher observed rates?</w:t>
            </w:r>
          </w:p>
        </w:tc>
      </w:tr>
      <w:tr>
        <w:tc>
          <w:tcPr/>
          <w:p>
            <w:pPr>
              <w:pStyle w:val="Compact"/>
              <w:spacing w:after="40"/>
              <w:jc w:val="left"/>
            </w:pPr>
            <w:r>
              <w:rPr>
                <w:bCs/>
                <w:b/>
                <w:color w:val="000000"/>
                <w:sz w:val="20"/>
              </w:rPr>
              <w:t xml:space="preserve">Action</w:t>
            </w:r>
          </w:p>
        </w:tc>
        <w:tc>
          <w:tcPr/>
          <w:p>
            <w:pPr>
              <w:pStyle w:val="Compact"/>
              <w:spacing w:after="40"/>
              <w:jc w:val="left"/>
            </w:pPr>
            <w:r>
              <w:rPr>
                <w:color w:val="000000"/>
                <w:sz w:val="20"/>
              </w:rPr>
              <w:t xml:space="preserve">How could the care-coordination team target its limited time?</w:t>
            </w:r>
          </w:p>
        </w:tc>
      </w:tr>
    </w:tbl>
    <w:bookmarkEnd w:id="21"/>
    <w:bookmarkStart w:id="22" w:name="defining-the-outcome"/>
    <w:p>
      <w:pPr>
        <w:pStyle w:val="Heading3"/>
      </w:pPr>
      <w:r>
        <w:rPr>
          <w:color w:val="000000"/>
        </w:rPr>
        <w:t xml:space="preserve">2.2 Defining the outcome</w:t>
      </w:r>
    </w:p>
    <w:p>
      <w:pPr>
        <w:pStyle w:val="FirstParagraph"/>
        <w:jc w:val="both"/>
      </w:pPr>
      <w:r>
        <w:rPr>
          <w:color w:val="000000"/>
        </w:rPr>
        <w:t xml:space="preserve">A readmission here means</w:t>
      </w:r>
      <w:r>
        <w:rPr>
          <w:color w:val="000000"/>
        </w:rPr>
        <w:t xml:space="preserve"> </w:t>
      </w:r>
      <w:r>
        <w:rPr>
          <w:bCs/>
          <w:b/>
          <w:color w:val="000000"/>
        </w:rPr>
        <w:t xml:space="preserve">a recorded return within 30 days of discharge</w:t>
      </w:r>
      <w:r>
        <w:rPr>
          <w:color w:val="000000"/>
        </w:rPr>
        <w:t xml:space="preserve"> </w:t>
      </w:r>
      <w:r>
        <w:rPr>
          <w:color w:val="000000"/>
        </w:rPr>
        <w:t xml:space="preserve">(</w:t>
      </w:r>
      <w:r>
        <w:rPr>
          <w:rStyle w:val="VerbatimChar"/>
          <w:color w:val="000000"/>
        </w:rPr>
        <w:t xml:space="preserve">readmitted = "&lt;30"</w:t>
      </w:r>
      <w:r>
        <w:rPr>
          <w:color w:val="000000"/>
        </w:rPr>
        <w:t xml:space="preserve">). Returns after 30 days are counted as not readmitted for this analysis, and are never merged into the 30-day group.</w:t>
      </w:r>
    </w:p>
    <w:bookmarkEnd w:id="22"/>
    <w:bookmarkStart w:id="23" w:name="data-source"/>
    <w:p>
      <w:pPr>
        <w:pStyle w:val="Heading3"/>
      </w:pPr>
      <w:r>
        <w:rPr>
          <w:color w:val="000000"/>
        </w:rPr>
        <w:t xml:space="preserve">2.3 Data source</w:t>
      </w:r>
    </w:p>
    <w:tbl>
      <w:tblPr>
        <w:tblStyle w:val="Table"/>
        <w:tblW w:type="pct" w:w="5000"/>
        <w:tblLook w:firstRow="0" w:lastRow="0" w:firstColumn="0" w:lastColumn="0" w:noHBand="0" w:noVBand="0" w:val="000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c>
          <w:tcPr/>
          <w:p>
            <w:pPr>
              <w:pStyle w:val="Compact"/>
              <w:spacing w:after="40"/>
              <w:jc w:val="left"/>
            </w:pPr>
            <w:r>
              <w:rPr>
                <w:b/>
                <w:color w:val="000000"/>
                <w:sz w:val="20"/>
              </w:rPr>
              <w:t xml:space="preserve">Dataset</w:t>
            </w:r>
          </w:p>
        </w:tc>
        <w:tc>
          <w:tcPr/>
          <w:p>
            <w:pPr>
              <w:pStyle w:val="Compact"/>
              <w:spacing w:after="40"/>
              <w:jc w:val="left"/>
            </w:pPr>
            <w:r>
              <w:rPr>
                <w:b/>
                <w:color w:val="000000"/>
                <w:sz w:val="20"/>
              </w:rPr>
              <w:t xml:space="preserve">Diabetes 130-US Hospitals for Years 1999-2008, UCI Machine Learning Repository (Clore et al., 2014), CC BY 4.0</w:t>
            </w:r>
          </w:p>
        </w:tc>
      </w:tr>
      <w:tr>
        <w:tc>
          <w:tcPr/>
          <w:p>
            <w:pPr>
              <w:pStyle w:val="Compact"/>
              <w:spacing w:after="40"/>
              <w:jc w:val="left"/>
            </w:pPr>
            <w:r>
              <w:rPr>
                <w:color w:val="000000"/>
                <w:sz w:val="20"/>
              </w:rPr>
              <w:t xml:space="preserve">Size</w:t>
            </w:r>
          </w:p>
        </w:tc>
        <w:tc>
          <w:tcPr/>
          <w:p>
            <w:pPr>
              <w:pStyle w:val="Compact"/>
              <w:spacing w:after="40"/>
              <w:jc w:val="left"/>
            </w:pPr>
            <w:r>
              <w:rPr>
                <w:color w:val="000000"/>
                <w:sz w:val="20"/>
              </w:rPr>
              <w:t xml:space="preserve">101,766 encounters, 50 fields, 71,518 patients, 130 US hospitals</w:t>
            </w:r>
          </w:p>
        </w:tc>
      </w:tr>
      <w:tr>
        <w:tc>
          <w:tcPr/>
          <w:p>
            <w:pPr>
              <w:pStyle w:val="Compact"/>
              <w:spacing w:after="40"/>
              <w:jc w:val="left"/>
            </w:pPr>
            <w:r>
              <w:rPr>
                <w:color w:val="000000"/>
                <w:sz w:val="20"/>
              </w:rPr>
              <w:t xml:space="preserve">Lookup file</w:t>
            </w:r>
          </w:p>
        </w:tc>
        <w:tc>
          <w:tcPr/>
          <w:p>
            <w:pPr>
              <w:pStyle w:val="Compact"/>
              <w:spacing w:after="40"/>
              <w:jc w:val="left"/>
            </w:pPr>
            <w:r>
              <w:rPr>
                <w:color w:val="000000"/>
                <w:sz w:val="20"/>
              </w:rPr>
              <w:t xml:space="preserve">IDS_mapping.csv, with code tables for admission type, discharge disposition and admission source</w:t>
            </w:r>
          </w:p>
        </w:tc>
      </w:tr>
      <w:tr>
        <w:tc>
          <w:tcPr/>
          <w:p>
            <w:pPr>
              <w:pStyle w:val="Compact"/>
              <w:spacing w:after="40"/>
              <w:jc w:val="left"/>
            </w:pPr>
            <w:r>
              <w:rPr>
                <w:color w:val="000000"/>
                <w:sz w:val="20"/>
              </w:rPr>
              <w:t xml:space="preserve">Grain</w:t>
            </w:r>
          </w:p>
        </w:tc>
        <w:tc>
          <w:tcPr/>
          <w:p>
            <w:pPr>
              <w:pStyle w:val="Compact"/>
              <w:spacing w:after="40"/>
              <w:jc w:val="left"/>
            </w:pPr>
            <w:r>
              <w:rPr>
                <w:bCs/>
                <w:b/>
                <w:color w:val="000000"/>
                <w:sz w:val="20"/>
              </w:rPr>
              <w:t xml:space="preserve">One row is one encounter, not one patient</w:t>
            </w:r>
          </w:p>
        </w:tc>
      </w:tr>
    </w:tbl>
    <w:p>
      <w:pPr>
        <w:pStyle w:val="BodyText"/>
        <w:jc w:val="both"/>
      </w:pPr>
      <w:r>
        <w:rPr>
          <w:color w:val="000000"/>
        </w:rPr>
        <w:t xml:space="preserve">The data is historical and de-identified. Findings are for analytical learning and do not describe any real organisation.</w:t>
      </w:r>
    </w:p>
    <w:bookmarkEnd w:id="23"/>
    <w:bookmarkEnd w:id="24"/>
    <w:bookmarkStart w:id="29" w:name="methods"/>
    <w:p>
      <w:pPr>
        <w:pStyle w:val="Heading2"/>
      </w:pPr>
      <w:r>
        <w:rPr>
          <w:color w:val="000000"/>
        </w:rPr>
        <w:t xml:space="preserve">3. Methods</w:t>
      </w:r>
    </w:p>
    <w:bookmarkStart w:id="25" w:name="pipeline"/>
    <w:p>
      <w:pPr>
        <w:pStyle w:val="Heading3"/>
      </w:pPr>
      <w:r>
        <w:rPr>
          <w:color w:val="000000"/>
        </w:rPr>
        <w:t xml:space="preserve">3.1 Pipeline</w:t>
      </w:r>
    </w:p>
    <w:p>
      <w:pPr>
        <w:pStyle w:val="FirstParagraph"/>
        <w:jc w:val="both"/>
      </w:pPr>
      <w:r>
        <w:rPr>
          <w:color w:val="000000"/>
        </w:rPr>
        <w:t xml:space="preserve">Raw data → clean data → questions → analysis → insights → recommendation.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spacing w:after="40"/>
              <w:jc w:val="left"/>
            </w:pPr>
            <w:r>
              <w:rPr>
                <w:b/>
                <w:color w:val="000000"/>
                <w:sz w:val="20"/>
              </w:rPr>
              <w:t xml:space="preserve">Stage</w:t>
            </w:r>
          </w:p>
        </w:tc>
        <w:tc>
          <w:tcPr/>
          <w:p>
            <w:pPr>
              <w:pStyle w:val="Compact"/>
              <w:spacing w:after="40"/>
              <w:jc w:val="left"/>
            </w:pPr>
            <w:r>
              <w:rPr>
                <w:b/>
                <w:color w:val="000000"/>
                <w:sz w:val="20"/>
              </w:rPr>
              <w:t xml:space="preserve">Tool</w:t>
            </w:r>
          </w:p>
        </w:tc>
        <w:tc>
          <w:tcPr/>
          <w:p>
            <w:pPr>
              <w:pStyle w:val="Compact"/>
              <w:spacing w:after="40"/>
              <w:jc w:val="left"/>
            </w:pPr>
            <w:r>
              <w:rPr>
                <w:b/>
                <w:color w:val="000000"/>
                <w:sz w:val="20"/>
              </w:rPr>
              <w:t xml:space="preserve">Output</w:t>
            </w:r>
          </w:p>
        </w:tc>
      </w:tr>
      <w:tr>
        <w:tc>
          <w:tcPr/>
          <w:p>
            <w:pPr>
              <w:pStyle w:val="Compact"/>
              <w:spacing w:after="40"/>
              <w:jc w:val="left"/>
            </w:pPr>
            <w:r>
              <w:rPr>
                <w:color w:val="000000"/>
                <w:sz w:val="20"/>
              </w:rPr>
              <w:t xml:space="preserve">Load</w:t>
            </w:r>
          </w:p>
        </w:tc>
        <w:tc>
          <w:tcPr/>
          <w:p>
            <w:pPr>
              <w:pStyle w:val="Compact"/>
              <w:spacing w:after="40"/>
              <w:jc w:val="left"/>
            </w:pPr>
            <w:r>
              <w:rPr>
                <w:color w:val="000000"/>
                <w:sz w:val="20"/>
              </w:rPr>
              <w:t xml:space="preserve">MySQL (</w:t>
            </w:r>
            <w:r>
              <w:rPr>
                <w:rStyle w:val="VerbatimChar"/>
                <w:color w:val="000000"/>
                <w:sz w:val="20"/>
              </w:rPr>
              <w:t xml:space="preserve">01_load_raw.sql</w:t>
            </w:r>
            <w:r>
              <w:rPr>
                <w:color w:val="000000"/>
                <w:sz w:val="20"/>
              </w:rPr>
              <w:t xml:space="preserve">)</w:t>
            </w:r>
          </w:p>
        </w:tc>
        <w:tc>
          <w:tcPr/>
          <w:p>
            <w:pPr>
              <w:pStyle w:val="Compact"/>
              <w:spacing w:after="40"/>
              <w:jc w:val="left"/>
            </w:pPr>
            <w:r>
              <w:rPr>
                <w:color w:val="000000"/>
                <w:sz w:val="20"/>
              </w:rPr>
              <w:t xml:space="preserve">Text-only staging tables, exact copies of the files</w:t>
            </w:r>
          </w:p>
        </w:tc>
      </w:tr>
      <w:tr>
        <w:tc>
          <w:tcPr/>
          <w:p>
            <w:pPr>
              <w:pStyle w:val="Compact"/>
              <w:spacing w:after="40"/>
              <w:jc w:val="left"/>
            </w:pPr>
            <w:r>
              <w:rPr>
                <w:color w:val="000000"/>
                <w:sz w:val="20"/>
              </w:rPr>
              <w:t xml:space="preserve">Clean</w:t>
            </w:r>
          </w:p>
        </w:tc>
        <w:tc>
          <w:tcPr/>
          <w:p>
            <w:pPr>
              <w:pStyle w:val="Compact"/>
              <w:spacing w:after="40"/>
              <w:jc w:val="left"/>
            </w:pPr>
            <w:r>
              <w:rPr>
                <w:color w:val="000000"/>
                <w:sz w:val="20"/>
              </w:rPr>
              <w:t xml:space="preserve">MySQL (</w:t>
            </w:r>
            <w:r>
              <w:rPr>
                <w:rStyle w:val="VerbatimChar"/>
                <w:color w:val="000000"/>
                <w:sz w:val="20"/>
              </w:rPr>
              <w:t xml:space="preserve">02_clean.sql</w:t>
            </w:r>
            <w:r>
              <w:rPr>
                <w:color w:val="000000"/>
                <w:sz w:val="20"/>
              </w:rPr>
              <w:t xml:space="preserve">)</w:t>
            </w:r>
          </w:p>
        </w:tc>
        <w:tc>
          <w:tcPr/>
          <w:p>
            <w:pPr>
              <w:pStyle w:val="Compact"/>
              <w:spacing w:after="40"/>
              <w:jc w:val="left"/>
            </w:pPr>
            <w:r>
              <w:rPr>
                <w:color w:val="000000"/>
                <w:sz w:val="20"/>
              </w:rPr>
              <w:t xml:space="preserve">Typed table, explicit missing values, 30-day readmission flag, exclusion flag, three lookup tables</w:t>
            </w:r>
          </w:p>
        </w:tc>
      </w:tr>
      <w:tr>
        <w:tc>
          <w:tcPr/>
          <w:p>
            <w:pPr>
              <w:pStyle w:val="Compact"/>
              <w:spacing w:after="40"/>
              <w:jc w:val="left"/>
            </w:pPr>
            <w:r>
              <w:rPr>
                <w:color w:val="000000"/>
                <w:sz w:val="20"/>
              </w:rPr>
              <w:t xml:space="preserve">Model</w:t>
            </w:r>
          </w:p>
        </w:tc>
        <w:tc>
          <w:tcPr/>
          <w:p>
            <w:pPr>
              <w:pStyle w:val="Compact"/>
              <w:spacing w:after="40"/>
              <w:jc w:val="left"/>
            </w:pPr>
            <w:r>
              <w:rPr>
                <w:color w:val="000000"/>
                <w:sz w:val="20"/>
              </w:rPr>
              <w:t xml:space="preserve">MySQL (</w:t>
            </w:r>
            <w:r>
              <w:rPr>
                <w:rStyle w:val="VerbatimChar"/>
                <w:color w:val="000000"/>
                <w:sz w:val="20"/>
              </w:rPr>
              <w:t xml:space="preserve">03_model.sql</w:t>
            </w:r>
            <w:r>
              <w:rPr>
                <w:color w:val="000000"/>
                <w:sz w:val="20"/>
              </w:rPr>
              <w:t xml:space="preserve">)</w:t>
            </w:r>
          </w:p>
        </w:tc>
        <w:tc>
          <w:tcPr/>
          <w:p>
            <w:pPr>
              <w:pStyle w:val="Compact"/>
              <w:spacing w:after="40"/>
              <w:jc w:val="left"/>
            </w:pPr>
            <w:r>
              <w:rPr>
                <w:color w:val="000000"/>
                <w:sz w:val="20"/>
              </w:rPr>
              <w:t xml:space="preserve">Star schema (two fact tables and five dimensions), analysis bands, diagnosis groups and lookup coverage checks</w:t>
            </w:r>
          </w:p>
        </w:tc>
      </w:tr>
      <w:tr>
        <w:tc>
          <w:tcPr/>
          <w:p>
            <w:pPr>
              <w:pStyle w:val="Compact"/>
              <w:spacing w:after="40"/>
              <w:jc w:val="left"/>
            </w:pPr>
            <w:r>
              <w:rPr>
                <w:color w:val="000000"/>
                <w:sz w:val="20"/>
              </w:rPr>
              <w:t xml:space="preserve">Check</w:t>
            </w:r>
          </w:p>
        </w:tc>
        <w:tc>
          <w:tcPr/>
          <w:p>
            <w:pPr>
              <w:pStyle w:val="Compact"/>
              <w:spacing w:after="40"/>
              <w:jc w:val="left"/>
            </w:pPr>
            <w:r>
              <w:rPr>
                <w:color w:val="000000"/>
                <w:sz w:val="20"/>
              </w:rPr>
              <w:t xml:space="preserve">MySQL (</w:t>
            </w:r>
            <w:r>
              <w:rPr>
                <w:rStyle w:val="VerbatimChar"/>
                <w:color w:val="000000"/>
                <w:sz w:val="20"/>
              </w:rPr>
              <w:t xml:space="preserve">04_quality_checks.sql</w:t>
            </w:r>
            <w:r>
              <w:rPr>
                <w:color w:val="000000"/>
                <w:sz w:val="20"/>
              </w:rPr>
              <w:t xml:space="preserve">)</w:t>
            </w:r>
          </w:p>
        </w:tc>
        <w:tc>
          <w:tcPr/>
          <w:p>
            <w:pPr>
              <w:pStyle w:val="Compact"/>
              <w:spacing w:after="40"/>
              <w:jc w:val="left"/>
            </w:pPr>
            <w:r>
              <w:rPr>
                <w:color w:val="000000"/>
                <w:sz w:val="20"/>
              </w:rPr>
              <w:t xml:space="preserve">Row counts, nulls and duplicates, all passing, then keys and indexes</w:t>
            </w:r>
          </w:p>
        </w:tc>
      </w:tr>
      <w:tr>
        <w:tc>
          <w:tcPr/>
          <w:p>
            <w:pPr>
              <w:pStyle w:val="Compact"/>
              <w:spacing w:after="40"/>
              <w:jc w:val="left"/>
            </w:pPr>
            <w:r>
              <w:rPr>
                <w:color w:val="000000"/>
                <w:sz w:val="20"/>
              </w:rPr>
              <w:t xml:space="preserve">Tier and validation</w:t>
            </w:r>
          </w:p>
        </w:tc>
        <w:tc>
          <w:tcPr/>
          <w:p>
            <w:pPr>
              <w:pStyle w:val="Compact"/>
              <w:spacing w:after="40"/>
              <w:jc w:val="left"/>
            </w:pPr>
            <w:r>
              <w:rPr>
                <w:color w:val="000000"/>
                <w:sz w:val="20"/>
              </w:rPr>
              <w:t xml:space="preserve">MySQL (</w:t>
            </w:r>
            <w:r>
              <w:rPr>
                <w:rStyle w:val="VerbatimChar"/>
                <w:color w:val="000000"/>
                <w:sz w:val="20"/>
              </w:rPr>
              <w:t xml:space="preserve">05_risk_tier.sql</w:t>
            </w:r>
            <w:r>
              <w:rPr>
                <w:color w:val="000000"/>
                <w:sz w:val="20"/>
              </w:rPr>
              <w:t xml:space="preserve">)</w:t>
            </w:r>
          </w:p>
        </w:tc>
        <w:tc>
          <w:tcPr/>
          <w:p>
            <w:pPr>
              <w:pStyle w:val="Compact"/>
              <w:spacing w:after="40"/>
              <w:jc w:val="left"/>
            </w:pPr>
            <w:r>
              <w:rPr>
                <w:color w:val="000000"/>
                <w:sz w:val="20"/>
              </w:rPr>
              <w:t xml:space="preserve">Cutoff comparison, build and test validation, capture curve, workload</w:t>
            </w:r>
          </w:p>
        </w:tc>
      </w:tr>
      <w:tr>
        <w:tc>
          <w:tcPr/>
          <w:p>
            <w:pPr>
              <w:pStyle w:val="Compact"/>
              <w:spacing w:after="40"/>
              <w:jc w:val="left"/>
            </w:pPr>
            <w:r>
              <w:rPr>
                <w:color w:val="000000"/>
                <w:sz w:val="20"/>
              </w:rPr>
              <w:t xml:space="preserve">Analysis</w:t>
            </w:r>
          </w:p>
        </w:tc>
        <w:tc>
          <w:tcPr/>
          <w:p>
            <w:pPr>
              <w:pStyle w:val="Compact"/>
              <w:spacing w:after="40"/>
              <w:jc w:val="left"/>
            </w:pPr>
            <w:r>
              <w:rPr>
                <w:color w:val="000000"/>
                <w:sz w:val="20"/>
              </w:rPr>
              <w:t xml:space="preserve">MySQL (</w:t>
            </w:r>
            <w:r>
              <w:rPr>
                <w:rStyle w:val="VerbatimChar"/>
                <w:color w:val="000000"/>
                <w:sz w:val="20"/>
              </w:rPr>
              <w:t xml:space="preserve">06_analysis.sql</w:t>
            </w:r>
            <w:r>
              <w:rPr>
                <w:color w:val="000000"/>
                <w:sz w:val="20"/>
              </w:rPr>
              <w:t xml:space="preserve">)</w:t>
            </w:r>
          </w:p>
        </w:tc>
        <w:tc>
          <w:tcPr/>
          <w:p>
            <w:pPr>
              <w:pStyle w:val="Compact"/>
              <w:spacing w:after="40"/>
              <w:jc w:val="left"/>
            </w:pPr>
            <w:r>
              <w:rPr>
                <w:color w:val="000000"/>
                <w:sz w:val="20"/>
              </w:rPr>
              <w:t xml:space="preserve">Ten exploratory questions</w:t>
            </w:r>
          </w:p>
        </w:tc>
      </w:tr>
      <w:tr>
        <w:tc>
          <w:tcPr/>
          <w:p>
            <w:pPr>
              <w:pStyle w:val="Compact"/>
              <w:spacing w:after="40"/>
              <w:jc w:val="left"/>
            </w:pPr>
            <w:r>
              <w:rPr>
                <w:color w:val="000000"/>
                <w:sz w:val="20"/>
              </w:rPr>
              <w:t xml:space="preserve">Statistics</w:t>
            </w:r>
          </w:p>
        </w:tc>
        <w:tc>
          <w:tcPr/>
          <w:p>
            <w:pPr>
              <w:pStyle w:val="Compact"/>
              <w:spacing w:after="40"/>
              <w:jc w:val="left"/>
            </w:pPr>
            <w:r>
              <w:rPr>
                <w:color w:val="000000"/>
                <w:sz w:val="20"/>
              </w:rPr>
              <w:t xml:space="preserve">Python in Google Colab (</w:t>
            </w:r>
            <w:r>
              <w:rPr>
                <w:rStyle w:val="VerbatimChar"/>
                <w:color w:val="000000"/>
                <w:sz w:val="20"/>
              </w:rPr>
              <w:t xml:space="preserve">eda_stats.ipynb</w:t>
            </w:r>
            <w:r>
              <w:rPr>
                <w:color w:val="000000"/>
                <w:sz w:val="20"/>
              </w:rPr>
              <w:t xml:space="preserve">)</w:t>
            </w:r>
          </w:p>
        </w:tc>
        <w:tc>
          <w:tcPr/>
          <w:p>
            <w:pPr>
              <w:pStyle w:val="Compact"/>
              <w:spacing w:after="40"/>
              <w:jc w:val="left"/>
            </w:pPr>
            <w:r>
              <w:rPr>
                <w:color w:val="000000"/>
                <w:sz w:val="20"/>
              </w:rPr>
              <w:t xml:space="preserve">Summary statistics, correlation, significance test, validation check</w:t>
            </w:r>
          </w:p>
        </w:tc>
      </w:tr>
      <w:tr>
        <w:tc>
          <w:tcPr/>
          <w:p>
            <w:pPr>
              <w:pStyle w:val="Compact"/>
              <w:spacing w:after="40"/>
              <w:jc w:val="left"/>
            </w:pPr>
            <w:r>
              <w:rPr>
                <w:color w:val="000000"/>
                <w:sz w:val="20"/>
              </w:rPr>
              <w:t xml:space="preserve">Dashboard</w:t>
            </w:r>
          </w:p>
        </w:tc>
        <w:tc>
          <w:tcPr/>
          <w:p>
            <w:pPr>
              <w:pStyle w:val="Compact"/>
              <w:spacing w:after="40"/>
              <w:jc w:val="left"/>
            </w:pPr>
            <w:r>
              <w:rPr>
                <w:color w:val="000000"/>
                <w:sz w:val="20"/>
              </w:rPr>
              <w:t xml:space="preserve">Power BI</w:t>
            </w:r>
          </w:p>
        </w:tc>
        <w:tc>
          <w:tcPr/>
          <w:p>
            <w:pPr>
              <w:pStyle w:val="Compact"/>
              <w:spacing w:after="40"/>
              <w:jc w:val="left"/>
            </w:pPr>
            <w:r>
              <w:rPr>
                <w:color w:val="000000"/>
                <w:sz w:val="20"/>
              </w:rPr>
              <w:t xml:space="preserve">Power Query, DAX measures and five interactive pages</w:t>
            </w:r>
          </w:p>
        </w:tc>
      </w:tr>
    </w:tbl>
    <w:p>
      <w:pPr>
        <w:pStyle w:val="BodyText"/>
        <w:jc w:val="both"/>
      </w:pPr>
      <w:r>
        <w:rPr>
          <w:color w:val="000000"/>
        </w:rPr>
        <w:t xml:space="preserve">SQL techniques include CTEs, window functions (</w:t>
      </w:r>
      <w:r>
        <w:rPr>
          <w:rStyle w:val="VerbatimChar"/>
          <w:color w:val="000000"/>
        </w:rPr>
        <w:t xml:space="preserve">ROW_NUMBER</w:t>
      </w:r>
      <w:r>
        <w:rPr>
          <w:color w:val="000000"/>
        </w:rPr>
        <w:t xml:space="preserve">,</w:t>
      </w:r>
      <w:r>
        <w:rPr>
          <w:color w:val="000000"/>
        </w:rPr>
        <w:t xml:space="preserve"> </w:t>
      </w:r>
      <w:r>
        <w:rPr>
          <w:rStyle w:val="VerbatimChar"/>
          <w:color w:val="000000"/>
        </w:rPr>
        <w:t xml:space="preserve">RANK</w:t>
      </w:r>
      <w:r>
        <w:rPr>
          <w:color w:val="000000"/>
        </w:rPr>
        <w:t xml:space="preserve">,</w:t>
      </w:r>
      <w:r>
        <w:rPr>
          <w:color w:val="000000"/>
        </w:rPr>
        <w:t xml:space="preserve"> </w:t>
      </w:r>
      <w:r>
        <w:rPr>
          <w:rStyle w:val="VerbatimChar"/>
          <w:color w:val="000000"/>
        </w:rPr>
        <w:t xml:space="preserve">SUM OVER</w:t>
      </w:r>
      <w:r>
        <w:rPr>
          <w:color w:val="000000"/>
        </w:rPr>
        <w:t xml:space="preserve">), joins,</w:t>
      </w:r>
      <w:r>
        <w:rPr>
          <w:color w:val="000000"/>
        </w:rPr>
        <w:t xml:space="preserve"> </w:t>
      </w:r>
      <w:r>
        <w:rPr>
          <w:rStyle w:val="VerbatimChar"/>
          <w:color w:val="000000"/>
        </w:rPr>
        <w:t xml:space="preserve">CASE</w:t>
      </w:r>
      <w:r>
        <w:rPr>
          <w:color w:val="000000"/>
        </w:rPr>
        <w:t xml:space="preserve">,</w:t>
      </w:r>
      <w:r>
        <w:rPr>
          <w:color w:val="000000"/>
        </w:rPr>
        <w:t xml:space="preserve"> </w:t>
      </w:r>
      <w:r>
        <w:rPr>
          <w:rStyle w:val="VerbatimChar"/>
          <w:color w:val="000000"/>
        </w:rPr>
        <w:t xml:space="preserve">COALESCE</w:t>
      </w:r>
      <w:r>
        <w:rPr>
          <w:color w:val="000000"/>
        </w:rPr>
        <w:t xml:space="preserve">, casting, a</w:t>
      </w:r>
      <w:r>
        <w:rPr>
          <w:color w:val="000000"/>
        </w:rPr>
        <w:t xml:space="preserve"> </w:t>
      </w:r>
      <w:r>
        <w:rPr>
          <w:rStyle w:val="VerbatimChar"/>
          <w:color w:val="000000"/>
        </w:rPr>
        <w:t xml:space="preserve">CROSS JOIN</w:t>
      </w:r>
      <w:r>
        <w:rPr>
          <w:color w:val="000000"/>
        </w:rPr>
        <w:t xml:space="preserve"> </w:t>
      </w:r>
      <w:r>
        <w:rPr>
          <w:color w:val="000000"/>
        </w:rPr>
        <w:t xml:space="preserve">unpivot, primary keys and indexes.</w:t>
      </w:r>
    </w:p>
    <w:bookmarkEnd w:id="25"/>
    <w:bookmarkStart w:id="26" w:name="key-cleaning-decisions"/>
    <w:p>
      <w:pPr>
        <w:pStyle w:val="Heading3"/>
      </w:pPr>
      <w:r>
        <w:rPr>
          <w:color w:val="000000"/>
        </w:rPr>
        <w:t xml:space="preserve">3.2 Key cleaning decisions</w:t>
      </w:r>
    </w:p>
    <w:p>
      <w:pPr>
        <w:pStyle w:val="FirstParagraph"/>
        <w:jc w:val="both"/>
      </w:pPr>
      <w:r>
        <w:rPr>
          <w:color w:val="000000"/>
        </w:rPr>
        <w:t xml:space="preserve">Full details are in</w:t>
      </w:r>
      <w:r>
        <w:rPr>
          <w:color w:val="000000"/>
        </w:rPr>
        <w:t xml:space="preserve"> </w:t>
      </w:r>
      <w:r>
        <w:rPr>
          <w:rStyle w:val="VerbatimChar"/>
          <w:color w:val="000000"/>
        </w:rPr>
        <w:t xml:space="preserve">docs/cleaning_log.md</w:t>
      </w:r>
      <w:r>
        <w:rPr>
          <w:color w:val="000000"/>
        </w:rPr>
        <w:t xml:space="preserve">.</w:t>
      </w:r>
    </w:p>
    <w:p>
      <w:pPr>
        <w:numPr>
          <w:ilvl w:val="0"/>
          <w:numId w:val="1002"/>
        </w:numPr>
        <w:pStyle w:val="Compact"/>
        <w:jc w:val="both"/>
      </w:pPr>
      <w:r>
        <w:rPr>
          <w:bCs/>
          <w:b/>
          <w:color w:val="000000"/>
        </w:rPr>
        <w:t xml:space="preserve">Exclusions:</w:t>
      </w:r>
      <w:r>
        <w:rPr>
          <w:color w:val="000000"/>
        </w:rPr>
        <w:t xml:space="preserve"> </w:t>
      </w:r>
      <w:r>
        <w:rPr>
          <w:color w:val="000000"/>
        </w:rPr>
        <w:t xml:space="preserve">2,423 encounters were flagged and left out of rates: 1,652 where the patient died and 771 discharged to hospice. Patients who died cannot be readmitted, and hospice care has different goals, so both were treated as outside the scope of a readmission-prevention programme. Rows were flagged, not deleted.</w:t>
      </w:r>
    </w:p>
    <w:p>
      <w:pPr>
        <w:numPr>
          <w:ilvl w:val="0"/>
          <w:numId w:val="1002"/>
        </w:numPr>
        <w:pStyle w:val="Compact"/>
        <w:jc w:val="both"/>
      </w:pPr>
      <w:r>
        <w:rPr>
          <w:bCs/>
          <w:b/>
          <w:color w:val="000000"/>
        </w:rPr>
        <w:t xml:space="preserve">“</w:t>
      </w:r>
      <w:r>
        <w:rPr>
          <w:bCs/>
          <w:b/>
          <w:color w:val="000000"/>
        </w:rPr>
        <w:t xml:space="preserve">None</w:t>
      </w:r>
      <w:r>
        <w:rPr>
          <w:bCs/>
          <w:b/>
          <w:color w:val="000000"/>
        </w:rPr>
        <w:t xml:space="preserve">”</w:t>
      </w:r>
      <w:r>
        <w:rPr>
          <w:bCs/>
          <w:b/>
          <w:color w:val="000000"/>
        </w:rPr>
        <w:t xml:space="preserve"> </w:t>
      </w:r>
      <w:r>
        <w:rPr>
          <w:bCs/>
          <w:b/>
          <w:color w:val="000000"/>
        </w:rPr>
        <w:t xml:space="preserve">is not missing:</w:t>
      </w:r>
      <w:r>
        <w:rPr>
          <w:color w:val="000000"/>
        </w:rPr>
        <w:t xml:space="preserve"> </w:t>
      </w:r>
      <w:r>
        <w:rPr>
          <w:color w:val="000000"/>
        </w:rPr>
        <w:t xml:space="preserve">in the HbA1c field,</w:t>
      </w:r>
      <w:r>
        <w:rPr>
          <w:color w:val="000000"/>
        </w:rPr>
        <w:t xml:space="preserve"> </w:t>
      </w:r>
      <w:r>
        <w:rPr>
          <w:color w:val="000000"/>
        </w:rPr>
        <w:t xml:space="preserve">“</w:t>
      </w:r>
      <w:r>
        <w:rPr>
          <w:color w:val="000000"/>
        </w:rPr>
        <w:t xml:space="preserve">None</w:t>
      </w:r>
      <w:r>
        <w:rPr>
          <w:color w:val="000000"/>
        </w:rPr>
        <w:t xml:space="preserve">”</w:t>
      </w:r>
      <w:r>
        <w:rPr>
          <w:color w:val="000000"/>
        </w:rPr>
        <w:t xml:space="preserve"> </w:t>
      </w:r>
      <w:r>
        <w:rPr>
          <w:color w:val="000000"/>
        </w:rPr>
        <w:t xml:space="preserve">means the test was not done (83.1% of encounters). It was relabelled</w:t>
      </w:r>
      <w:r>
        <w:rPr>
          <w:color w:val="000000"/>
        </w:rPr>
        <w:t xml:space="preserve"> </w:t>
      </w:r>
      <w:r>
        <w:rPr>
          <w:color w:val="000000"/>
        </w:rPr>
        <w:t xml:space="preserve">“</w:t>
      </w:r>
      <w:r>
        <w:rPr>
          <w:color w:val="000000"/>
        </w:rPr>
        <w:t xml:space="preserve">Not tested</w:t>
      </w:r>
      <w:r>
        <w:rPr>
          <w:color w:val="000000"/>
        </w:rPr>
        <w:t xml:space="preserve">”</w:t>
      </w:r>
      <w:r>
        <w:rPr>
          <w:color w:val="000000"/>
        </w:rPr>
        <w:t xml:space="preserve">.</w:t>
      </w:r>
    </w:p>
    <w:p>
      <w:pPr>
        <w:numPr>
          <w:ilvl w:val="0"/>
          <w:numId w:val="1002"/>
        </w:numPr>
        <w:pStyle w:val="Compact"/>
        <w:jc w:val="both"/>
      </w:pPr>
      <w:r>
        <w:rPr>
          <w:bCs/>
          <w:b/>
          <w:color w:val="000000"/>
        </w:rPr>
        <w:t xml:space="preserve">Dropped fields:</w:t>
      </w:r>
      <w:r>
        <w:rPr>
          <w:color w:val="000000"/>
        </w:rPr>
        <w:t xml:space="preserve"> </w:t>
      </w:r>
      <w:r>
        <w:rPr>
          <w:color w:val="000000"/>
        </w:rPr>
        <w:t xml:space="preserve">weight (96.9% missing), examide and citoglipton (one value only).</w:t>
      </w:r>
    </w:p>
    <w:p>
      <w:pPr>
        <w:numPr>
          <w:ilvl w:val="0"/>
          <w:numId w:val="1002"/>
        </w:numPr>
        <w:pStyle w:val="Compact"/>
        <w:jc w:val="both"/>
      </w:pPr>
      <w:r>
        <w:rPr>
          <w:bCs/>
          <w:b/>
          <w:color w:val="000000"/>
        </w:rPr>
        <w:t xml:space="preserve">Admission type 6:</w:t>
      </w:r>
      <w:r>
        <w:rPr>
          <w:color w:val="000000"/>
        </w:rPr>
        <w:t xml:space="preserve"> </w:t>
      </w:r>
      <w:r>
        <w:rPr>
          <w:color w:val="000000"/>
        </w:rPr>
        <w:t xml:space="preserve">labelled</w:t>
      </w:r>
      <w:r>
        <w:rPr>
          <w:color w:val="000000"/>
        </w:rPr>
        <w:t xml:space="preserve"> </w:t>
      </w:r>
      <w:r>
        <w:rPr>
          <w:color w:val="000000"/>
        </w:rPr>
        <w:t xml:space="preserve">“</w:t>
      </w:r>
      <w:r>
        <w:rPr>
          <w:color w:val="000000"/>
        </w:rPr>
        <w:t xml:space="preserve">NULL</w:t>
      </w:r>
      <w:r>
        <w:rPr>
          <w:color w:val="000000"/>
        </w:rPr>
        <w:t xml:space="preserve">”</w:t>
      </w:r>
      <w:r>
        <w:rPr>
          <w:color w:val="000000"/>
        </w:rPr>
        <w:t xml:space="preserve"> </w:t>
      </w:r>
      <w:r>
        <w:rPr>
          <w:color w:val="000000"/>
        </w:rPr>
        <w:t xml:space="preserve">in the lookup file, and relabelled</w:t>
      </w:r>
      <w:r>
        <w:rPr>
          <w:color w:val="000000"/>
        </w:rPr>
        <w:t xml:space="preserve"> </w:t>
      </w:r>
      <w:r>
        <w:rPr>
          <w:color w:val="000000"/>
        </w:rPr>
        <w:t xml:space="preserve">“</w:t>
      </w:r>
      <w:r>
        <w:rPr>
          <w:color w:val="000000"/>
        </w:rPr>
        <w:t xml:space="preserve">Not recorded</w:t>
      </w:r>
      <w:r>
        <w:rPr>
          <w:color w:val="000000"/>
        </w:rPr>
        <w:t xml:space="preserve">”</w:t>
      </w:r>
      <w:r>
        <w:rPr>
          <w:color w:val="000000"/>
        </w:rPr>
        <w:t xml:space="preserve"> </w:t>
      </w:r>
      <w:r>
        <w:rPr>
          <w:color w:val="000000"/>
        </w:rPr>
        <w:t xml:space="preserve">in Power Query. Together with</w:t>
      </w:r>
      <w:r>
        <w:rPr>
          <w:color w:val="000000"/>
        </w:rPr>
        <w:t xml:space="preserve"> </w:t>
      </w:r>
      <w:r>
        <w:rPr>
          <w:color w:val="000000"/>
        </w:rPr>
        <w:t xml:space="preserve">“</w:t>
      </w:r>
      <w:r>
        <w:rPr>
          <w:color w:val="000000"/>
        </w:rPr>
        <w:t xml:space="preserve">Not Available</w:t>
      </w:r>
      <w:r>
        <w:rPr>
          <w:color w:val="000000"/>
        </w:rPr>
        <w:t xml:space="preserve">”</w:t>
      </w:r>
      <w:r>
        <w:rPr>
          <w:color w:val="000000"/>
        </w:rPr>
        <w:t xml:space="preserve"> </w:t>
      </w:r>
      <w:r>
        <w:rPr>
          <w:color w:val="000000"/>
        </w:rPr>
        <w:t xml:space="preserve">and</w:t>
      </w:r>
      <w:r>
        <w:rPr>
          <w:color w:val="000000"/>
        </w:rPr>
        <w:t xml:space="preserve"> </w:t>
      </w:r>
      <w:r>
        <w:rPr>
          <w:color w:val="000000"/>
        </w:rPr>
        <w:t xml:space="preserve">“</w:t>
      </w:r>
      <w:r>
        <w:rPr>
          <w:color w:val="000000"/>
        </w:rPr>
        <w:t xml:space="preserve">Not Mapped</w:t>
      </w:r>
      <w:r>
        <w:rPr>
          <w:color w:val="000000"/>
        </w:rPr>
        <w:t xml:space="preserve">”</w:t>
      </w:r>
      <w:r>
        <w:rPr>
          <w:color w:val="000000"/>
        </w:rPr>
        <w:t xml:space="preserve">, 10.2% of encounters have no usable admission type.</w:t>
      </w:r>
    </w:p>
    <w:p>
      <w:pPr>
        <w:numPr>
          <w:ilvl w:val="0"/>
          <w:numId w:val="1002"/>
        </w:numPr>
        <w:pStyle w:val="Compact"/>
        <w:jc w:val="both"/>
      </w:pPr>
      <w:r>
        <w:rPr>
          <w:bCs/>
          <w:b/>
          <w:color w:val="000000"/>
        </w:rPr>
        <w:t xml:space="preserve">Medication table:</w:t>
      </w:r>
      <w:r>
        <w:rPr>
          <w:color w:val="000000"/>
        </w:rPr>
        <w:t xml:space="preserve"> </w:t>
      </w:r>
      <w:r>
        <w:rPr>
          <w:color w:val="000000"/>
        </w:rPr>
        <w:t xml:space="preserve">one row for each encounter and drug where the status is not</w:t>
      </w:r>
      <w:r>
        <w:rPr>
          <w:color w:val="000000"/>
        </w:rPr>
        <w:t xml:space="preserve"> </w:t>
      </w:r>
      <w:r>
        <w:rPr>
          <w:color w:val="000000"/>
        </w:rPr>
        <w:t xml:space="preserve">“</w:t>
      </w:r>
      <w:r>
        <w:rPr>
          <w:color w:val="000000"/>
        </w:rPr>
        <w:t xml:space="preserve">No</w:t>
      </w:r>
      <w:r>
        <w:rPr>
          <w:color w:val="000000"/>
        </w:rPr>
        <w:t xml:space="preserve">”</w:t>
      </w:r>
      <w:r>
        <w:rPr>
          <w:color w:val="000000"/>
        </w:rPr>
        <w:t xml:space="preserve"> </w:t>
      </w:r>
      <w:r>
        <w:rPr>
          <w:color w:val="000000"/>
        </w:rPr>
        <w:t xml:space="preserve">(120,054 rows). It includes excluded encounters, so they are filtered out where needed.</w:t>
      </w:r>
    </w:p>
    <w:p>
      <w:pPr>
        <w:numPr>
          <w:ilvl w:val="0"/>
          <w:numId w:val="1002"/>
        </w:numPr>
        <w:pStyle w:val="Compact"/>
        <w:jc w:val="both"/>
      </w:pPr>
      <w:r>
        <w:rPr>
          <w:bCs/>
          <w:b/>
          <w:color w:val="000000"/>
        </w:rPr>
        <w:t xml:space="preserve">Outliers kept:</w:t>
      </w:r>
      <w:r>
        <w:rPr>
          <w:color w:val="000000"/>
        </w:rPr>
        <w:t xml:space="preserve"> </w:t>
      </w:r>
      <w:r>
        <w:rPr>
          <w:color w:val="000000"/>
        </w:rPr>
        <w:t xml:space="preserve">extreme prior-visit counts are plausible for frequent attenders, so they were kept and grouped into open-ended bands. The data does not allow them to be independently confirmed.</w:t>
      </w:r>
    </w:p>
    <w:p>
      <w:pPr>
        <w:numPr>
          <w:ilvl w:val="0"/>
          <w:numId w:val="1002"/>
        </w:numPr>
        <w:pStyle w:val="Compact"/>
        <w:jc w:val="both"/>
      </w:pPr>
      <w:r>
        <w:rPr>
          <w:bCs/>
          <w:b/>
          <w:color w:val="000000"/>
        </w:rPr>
        <w:t xml:space="preserve">No dates:</w:t>
      </w:r>
      <w:r>
        <w:rPr>
          <w:color w:val="000000"/>
        </w:rPr>
        <w:t xml:space="preserve"> </w:t>
      </w:r>
      <w:r>
        <w:rPr>
          <w:rStyle w:val="VerbatimChar"/>
          <w:color w:val="000000"/>
        </w:rPr>
        <w:t xml:space="preserve">encounter_id</w:t>
      </w:r>
      <w:r>
        <w:rPr>
          <w:color w:val="000000"/>
        </w:rPr>
        <w:t xml:space="preserve"> </w:t>
      </w:r>
      <w:r>
        <w:rPr>
          <w:color w:val="000000"/>
        </w:rPr>
        <w:t xml:space="preserve">was used as a stand-in for visit order in one exploratory query (Q10). This has not been confirmed, so Q10 is not used in the findings.</w:t>
      </w:r>
    </w:p>
    <w:bookmarkEnd w:id="26"/>
    <w:bookmarkStart w:id="27" w:name="modelling-choices"/>
    <w:p>
      <w:pPr>
        <w:pStyle w:val="Heading3"/>
      </w:pPr>
      <w:r>
        <w:rPr>
          <w:color w:val="000000"/>
        </w:rPr>
        <w:t xml:space="preserve">3.3 Modelling choices</w:t>
      </w:r>
    </w:p>
    <w:p>
      <w:pPr>
        <w:pStyle w:val="FirstParagraph"/>
        <w:jc w:val="both"/>
      </w:pPr>
      <w:r>
        <w:rPr>
          <w:bCs/>
          <w:b/>
          <w:color w:val="000000"/>
        </w:rPr>
        <w:t xml:space="preserve">Why a rule, not a model.</w:t>
      </w:r>
      <w:r>
        <w:rPr>
          <w:color w:val="000000"/>
        </w:rPr>
        <w:t xml:space="preserve"> </w:t>
      </w:r>
      <w:r>
        <w:rPr>
          <w:color w:val="000000"/>
        </w:rPr>
        <w:t xml:space="preserve">The stakeholder asked for something usable</w:t>
      </w:r>
      <w:r>
        <w:rPr>
          <w:color w:val="000000"/>
        </w:rPr>
        <w:t xml:space="preserve"> </w:t>
      </w:r>
      <w:r>
        <w:rPr>
          <w:color w:val="000000"/>
        </w:rPr>
        <w:t xml:space="preserve">“</w:t>
      </w:r>
      <w:r>
        <w:rPr>
          <w:color w:val="000000"/>
        </w:rPr>
        <w:t xml:space="preserve">on a Tuesday morning</w:t>
      </w:r>
      <w:r>
        <w:rPr>
          <w:color w:val="000000"/>
        </w:rPr>
        <w:t xml:space="preserve">”</w:t>
      </w:r>
      <w:r>
        <w:rPr>
          <w:color w:val="000000"/>
        </w:rPr>
        <w:t xml:space="preserve">. A one-line rule based on a field already in the record can be applied at discharge without software, and anyone can check why a patient was flagged.</w:t>
      </w:r>
    </w:p>
    <w:p>
      <w:pPr>
        <w:pStyle w:val="BodyText"/>
        <w:jc w:val="both"/>
      </w:pPr>
      <w:r>
        <w:rPr>
          <w:bCs/>
          <w:b/>
          <w:color w:val="000000"/>
        </w:rPr>
        <w:t xml:space="preserve">Choosing the cutoff.</w:t>
      </w:r>
      <w:r>
        <w:rPr>
          <w:color w:val="000000"/>
        </w:rPr>
        <w:t xml:space="preserve"> </w:t>
      </w:r>
      <w:r>
        <w:rPr>
          <w:color w:val="000000"/>
        </w:rPr>
        <w:t xml:space="preserve">Patients were split by ID into a 70% build group and a 30% test group (</w:t>
      </w:r>
      <w:r>
        <w:rPr>
          <w:rStyle w:val="VerbatimChar"/>
          <w:color w:val="000000"/>
        </w:rPr>
        <w:t xml:space="preserve">MOD(patient_nbr, 10) &lt; 7</w:t>
      </w:r>
      <w:r>
        <w:rPr>
          <w:color w:val="000000"/>
        </w:rPr>
        <w:t xml:space="preserve">), so no patient appears in both. Cutoffs of 1+, 2+ and 3+ prior inpatient visits were compared in both groups.</w:t>
      </w:r>
      <w:r>
        <w:rPr>
          <w:color w:val="000000"/>
        </w:rPr>
        <w:t xml:space="preserve"> </w:t>
      </w:r>
      <w:r>
        <w:rPr>
          <w:bCs/>
          <w:b/>
          <w:color w:val="000000"/>
        </w:rPr>
        <w:t xml:space="preserve">2+ was chosen</w:t>
      </w:r>
      <w:r>
        <w:rPr>
          <w:color w:val="000000"/>
        </w:rPr>
        <w:t xml:space="preserve"> </w:t>
      </w:r>
      <w:r>
        <w:rPr>
          <w:color w:val="000000"/>
        </w:rPr>
        <w:t xml:space="preserve">as a balance between coverage and workload: it reaches over a quarter of readmissions while flagging about one encounter in seven. Because the cutoffs were compared in both groups, the test group is a consistency check rather than a fully independent test.</w:t>
      </w:r>
    </w:p>
    <w:p>
      <w:pPr>
        <w:pStyle w:val="BodyText"/>
        <w:jc w:val="both"/>
      </w:pPr>
      <w:r>
        <w:rPr>
          <w:bCs/>
          <w:b/>
          <w:color w:val="000000"/>
        </w:rPr>
        <w:t xml:space="preserve">Workload.</w:t>
      </w:r>
      <w:r>
        <w:rPr>
          <w:color w:val="000000"/>
        </w:rPr>
        <w:t xml:space="preserve"> </w:t>
      </w:r>
      <w:r>
        <w:rPr>
          <w:color w:val="000000"/>
        </w:rPr>
        <w:t xml:space="preserve">Staff hours assume two contacts of 20 minutes for each eligible discharge (encounter), so a patient with several stays is counted once for each discharge. Both values are adjustable on the dashboard’s Workload page, where the contacts slider is labelled</w:t>
      </w:r>
      <w:r>
        <w:rPr>
          <w:color w:val="000000"/>
        </w:rPr>
        <w:t xml:space="preserve"> </w:t>
      </w:r>
      <w:r>
        <w:rPr>
          <w:color w:val="000000"/>
        </w:rPr>
        <w:t xml:space="preserve">“</w:t>
      </w:r>
      <w:r>
        <w:rPr>
          <w:color w:val="000000"/>
        </w:rPr>
        <w:t xml:space="preserve">contacts per patient</w:t>
      </w:r>
      <w:r>
        <w:rPr>
          <w:color w:val="000000"/>
        </w:rPr>
        <w:t xml:space="preserve">”</w:t>
      </w:r>
      <w:r>
        <w:rPr>
          <w:color w:val="000000"/>
        </w:rPr>
        <w:t xml:space="preserve"> </w:t>
      </w:r>
      <w:r>
        <w:rPr>
          <w:color w:val="000000"/>
        </w:rPr>
        <w:t xml:space="preserve">but applies to each discharge.</w:t>
      </w:r>
    </w:p>
    <w:bookmarkEnd w:id="27"/>
    <w:bookmarkStart w:id="28" w:name="limitations"/>
    <w:p>
      <w:pPr>
        <w:pStyle w:val="Heading3"/>
      </w:pPr>
      <w:r>
        <w:rPr>
          <w:color w:val="000000"/>
        </w:rPr>
        <w:t xml:space="preserve">3.4 Limitations</w:t>
      </w:r>
    </w:p>
    <w:p>
      <w:pPr>
        <w:numPr>
          <w:ilvl w:val="0"/>
          <w:numId w:val="1003"/>
        </w:numPr>
        <w:pStyle w:val="Compact"/>
        <w:jc w:val="both"/>
      </w:pPr>
      <w:r>
        <w:rPr>
          <w:bCs/>
          <w:b/>
          <w:color w:val="000000"/>
        </w:rPr>
        <w:t xml:space="preserve">Association, not causation.</w:t>
      </w:r>
      <w:r>
        <w:rPr>
          <w:color w:val="000000"/>
        </w:rPr>
        <w:t xml:space="preserve"> </w:t>
      </w:r>
      <w:r>
        <w:rPr>
          <w:color w:val="000000"/>
        </w:rPr>
        <w:t xml:space="preserve">The analysis shows which groups had higher observed rates, not why.</w:t>
      </w:r>
    </w:p>
    <w:p>
      <w:pPr>
        <w:numPr>
          <w:ilvl w:val="0"/>
          <w:numId w:val="1003"/>
        </w:numPr>
        <w:pStyle w:val="Compact"/>
        <w:jc w:val="both"/>
      </w:pPr>
      <w:r>
        <w:rPr>
          <w:bCs/>
          <w:b/>
          <w:color w:val="000000"/>
        </w:rPr>
        <w:t xml:space="preserve">Historical data (1999 to 2008).</w:t>
      </w:r>
      <w:r>
        <w:rPr>
          <w:color w:val="000000"/>
        </w:rPr>
        <w:t xml:space="preserve"> </w:t>
      </w:r>
      <w:r>
        <w:rPr>
          <w:color w:val="000000"/>
        </w:rPr>
        <w:t xml:space="preserve">Current rates and practice may differ.</w:t>
      </w:r>
    </w:p>
    <w:p>
      <w:pPr>
        <w:numPr>
          <w:ilvl w:val="0"/>
          <w:numId w:val="1003"/>
        </w:numPr>
        <w:pStyle w:val="Compact"/>
        <w:jc w:val="both"/>
      </w:pPr>
      <w:r>
        <w:rPr>
          <w:bCs/>
          <w:b/>
          <w:color w:val="000000"/>
        </w:rPr>
        <w:t xml:space="preserve">No dates,</w:t>
      </w:r>
      <w:r>
        <w:rPr>
          <w:color w:val="000000"/>
        </w:rPr>
        <w:t xml:space="preserve"> </w:t>
      </w:r>
      <w:r>
        <w:rPr>
          <w:color w:val="000000"/>
        </w:rPr>
        <w:t xml:space="preserve">so trends over time, including when any increase started, cannot be measured.</w:t>
      </w:r>
    </w:p>
    <w:p>
      <w:pPr>
        <w:numPr>
          <w:ilvl w:val="0"/>
          <w:numId w:val="1003"/>
        </w:numPr>
        <w:pStyle w:val="Compact"/>
        <w:jc w:val="both"/>
      </w:pPr>
      <w:r>
        <w:rPr>
          <w:bCs/>
          <w:b/>
          <w:color w:val="000000"/>
        </w:rPr>
        <w:t xml:space="preserve">Recorded readmissions only.</w:t>
      </w:r>
      <w:r>
        <w:rPr>
          <w:color w:val="000000"/>
        </w:rPr>
        <w:t xml:space="preserve"> </w:t>
      </w:r>
      <w:r>
        <w:rPr>
          <w:color w:val="000000"/>
        </w:rPr>
        <w:t xml:space="preserve">Returns to hospitals outside the dataset may not be captured.</w:t>
      </w:r>
    </w:p>
    <w:p>
      <w:pPr>
        <w:numPr>
          <w:ilvl w:val="0"/>
          <w:numId w:val="1003"/>
        </w:numPr>
        <w:pStyle w:val="Compact"/>
        <w:jc w:val="both"/>
      </w:pPr>
      <w:r>
        <w:rPr>
          <w:bCs/>
          <w:b/>
          <w:color w:val="000000"/>
        </w:rPr>
        <w:t xml:space="preserve">Encounters, not patients.</w:t>
      </w:r>
      <w:r>
        <w:rPr>
          <w:color w:val="000000"/>
        </w:rPr>
        <w:t xml:space="preserve"> </w:t>
      </w:r>
      <w:r>
        <w:rPr>
          <w:color w:val="000000"/>
        </w:rPr>
        <w:t xml:space="preserve">One patient can appear several times.</w:t>
      </w:r>
    </w:p>
    <w:p>
      <w:pPr>
        <w:numPr>
          <w:ilvl w:val="0"/>
          <w:numId w:val="1003"/>
        </w:numPr>
        <w:pStyle w:val="Compact"/>
        <w:jc w:val="both"/>
      </w:pPr>
      <w:r>
        <w:rPr>
          <w:bCs/>
          <w:b/>
          <w:color w:val="000000"/>
        </w:rPr>
        <w:t xml:space="preserve">Repeat stays in the significance test.</w:t>
      </w:r>
      <w:r>
        <w:rPr>
          <w:color w:val="000000"/>
        </w:rPr>
        <w:t xml:space="preserve"> </w:t>
      </w:r>
      <w:r>
        <w:rPr>
          <w:color w:val="000000"/>
        </w:rPr>
        <w:t xml:space="preserve">The chi-square test and confidence intervals treat each encounter as independent, although some patients appear more than once, so they may overstate certainty. The patient-level 70/30 test split partly addresses this.</w:t>
      </w:r>
    </w:p>
    <w:p>
      <w:pPr>
        <w:numPr>
          <w:ilvl w:val="0"/>
          <w:numId w:val="1003"/>
        </w:numPr>
        <w:pStyle w:val="Compact"/>
        <w:jc w:val="both"/>
      </w:pPr>
      <w:r>
        <w:rPr>
          <w:bCs/>
          <w:b/>
          <w:color w:val="000000"/>
        </w:rPr>
        <w:t xml:space="preserve">How the cutoff was chosen.</w:t>
      </w:r>
      <w:r>
        <w:rPr>
          <w:color w:val="000000"/>
        </w:rPr>
        <w:t xml:space="preserve"> </w:t>
      </w:r>
      <w:r>
        <w:rPr>
          <w:color w:val="000000"/>
        </w:rPr>
        <w:t xml:space="preserve">The test group is a consistency check, not a fully independent test (see 3.3).</w:t>
      </w:r>
    </w:p>
    <w:p>
      <w:pPr>
        <w:numPr>
          <w:ilvl w:val="0"/>
          <w:numId w:val="1003"/>
        </w:numPr>
        <w:pStyle w:val="Compact"/>
        <w:jc w:val="both"/>
      </w:pPr>
      <w:r>
        <w:rPr>
          <w:bCs/>
          <w:b/>
          <w:color w:val="000000"/>
        </w:rPr>
        <w:t xml:space="preserve">Concentration is partly built in.</w:t>
      </w:r>
      <w:r>
        <w:rPr>
          <w:color w:val="000000"/>
        </w:rPr>
        <w:t xml:space="preserve"> </w:t>
      </w:r>
      <w:r>
        <w:rPr>
          <w:color w:val="000000"/>
        </w:rPr>
        <w:t xml:space="preserve">Patients who are readmitted naturally have more encounters on record.</w:t>
      </w:r>
    </w:p>
    <w:p>
      <w:pPr>
        <w:numPr>
          <w:ilvl w:val="0"/>
          <w:numId w:val="1003"/>
        </w:numPr>
        <w:pStyle w:val="Compact"/>
        <w:jc w:val="both"/>
      </w:pPr>
      <w:r>
        <w:rPr>
          <w:bCs/>
          <w:b/>
          <w:color w:val="000000"/>
        </w:rPr>
        <w:t xml:space="preserve">Missing and grouped information.</w:t>
      </w:r>
      <w:r>
        <w:rPr>
          <w:color w:val="000000"/>
        </w:rPr>
        <w:t xml:space="preserve"> </w:t>
      </w:r>
      <w:r>
        <w:rPr>
          <w:color w:val="000000"/>
        </w:rPr>
        <w:t xml:space="preserve">Some fields are largely missing, and broad groups (such as the combined other-discharge group) can hide differences.</w:t>
      </w:r>
    </w:p>
    <w:p>
      <w:pPr>
        <w:numPr>
          <w:ilvl w:val="0"/>
          <w:numId w:val="1003"/>
        </w:numPr>
        <w:pStyle w:val="Compact"/>
        <w:jc w:val="both"/>
      </w:pPr>
      <w:r>
        <w:rPr>
          <w:bCs/>
          <w:b/>
          <w:color w:val="000000"/>
        </w:rPr>
        <w:t xml:space="preserve">One factor at a time.</w:t>
      </w:r>
      <w:r>
        <w:rPr>
          <w:color w:val="000000"/>
        </w:rPr>
        <w:t xml:space="preserve"> </w:t>
      </w:r>
      <w:r>
        <w:rPr>
          <w:color w:val="000000"/>
        </w:rPr>
        <w:t xml:space="preserve">The comparisons do not show how factors combine, or whether a combined approach would target better.</w:t>
      </w:r>
    </w:p>
    <w:p>
      <w:pPr>
        <w:numPr>
          <w:ilvl w:val="0"/>
          <w:numId w:val="1003"/>
        </w:numPr>
        <w:pStyle w:val="Compact"/>
        <w:jc w:val="both"/>
      </w:pPr>
      <w:r>
        <w:rPr>
          <w:bCs/>
          <w:b/>
          <w:color w:val="000000"/>
        </w:rPr>
        <w:t xml:space="preserve">Limited coverage.</w:t>
      </w:r>
      <w:r>
        <w:rPr>
          <w:color w:val="000000"/>
        </w:rPr>
        <w:t xml:space="preserve"> </w:t>
      </w:r>
      <w:r>
        <w:rPr>
          <w:color w:val="000000"/>
        </w:rPr>
        <w:t xml:space="preserve">72.5% of readmissions fall outside the flagged group.</w:t>
      </w:r>
    </w:p>
    <w:p>
      <w:pPr>
        <w:numPr>
          <w:ilvl w:val="0"/>
          <w:numId w:val="1003"/>
        </w:numPr>
        <w:pStyle w:val="Compact"/>
        <w:jc w:val="both"/>
      </w:pPr>
      <w:r>
        <w:rPr>
          <w:bCs/>
          <w:b/>
          <w:color w:val="000000"/>
        </w:rPr>
        <w:t xml:space="preserve">Workload is an estimate.</w:t>
      </w:r>
      <w:r>
        <w:rPr>
          <w:color w:val="000000"/>
        </w:rPr>
        <w:t xml:space="preserve"> </w:t>
      </w:r>
      <w:r>
        <w:rPr>
          <w:color w:val="000000"/>
        </w:rPr>
        <w:t xml:space="preserve">Hours cover the whole dataset rather than one year, and leave out administration and failed contact attempts. They estimate effort, not readmissions prevented.</w:t>
      </w:r>
    </w:p>
    <w:p>
      <w:pPr>
        <w:numPr>
          <w:ilvl w:val="0"/>
          <w:numId w:val="1003"/>
        </w:numPr>
        <w:pStyle w:val="Compact"/>
        <w:jc w:val="both"/>
      </w:pPr>
      <w:r>
        <w:rPr>
          <w:bCs/>
          <w:b/>
          <w:color w:val="000000"/>
        </w:rPr>
        <w:t xml:space="preserve">The tier is not clinically validated.</w:t>
      </w:r>
      <w:r>
        <w:rPr>
          <w:color w:val="000000"/>
        </w:rPr>
        <w:t xml:space="preserve"> </w:t>
      </w:r>
      <w:r>
        <w:rPr>
          <w:color w:val="000000"/>
        </w:rPr>
        <w:t xml:space="preserve">It is an analytical flag, not a prediction model or a diagnosis.</w:t>
      </w:r>
    </w:p>
    <w:bookmarkEnd w:id="28"/>
    <w:bookmarkEnd w:id="29"/>
    <w:bookmarkStart w:id="47" w:name="results"/>
    <w:p>
      <w:pPr>
        <w:pStyle w:val="Heading2"/>
      </w:pPr>
      <w:r>
        <w:rPr>
          <w:color w:val="000000"/>
        </w:rPr>
        <w:t xml:space="preserve">4. Results</w:t>
      </w:r>
    </w:p>
    <w:p>
      <w:pPr>
        <w:pStyle w:val="CaptionedFigure"/>
      </w:pPr>
      <w:r>
        <w:rPr>
          <w:color w:val="000000"/>
        </w:rPr>
        <w:drawing>
          <wp:inline>
            <wp:extent cx="5334000" cy="2993394"/>
            <wp:effectExtent b="0" l="0" r="0" t="0"/>
            <wp:docPr descr="Overview page" title="" id="31" name="Picture"/>
            <a:graphic>
              <a:graphicData uri="http://schemas.openxmlformats.org/drawingml/2006/picture">
                <pic:pic>
                  <pic:nvPicPr>
                    <pic:cNvPr descr="../Screenshots/PowerBi/01_overview.png" id="32" name="Picture"/>
                    <pic:cNvPicPr>
                      <a:picLocks noChangeArrowheads="1" noChangeAspect="1"/>
                    </pic:cNvPicPr>
                  </pic:nvPicPr>
                  <pic:blipFill>
                    <a:blip r:embed="rId30"/>
                    <a:stretch>
                      <a:fillRect/>
                    </a:stretch>
                  </pic:blipFill>
                  <pic:spPr bwMode="auto">
                    <a:xfrm>
                      <a:off x="0" y="0"/>
                      <a:ext cx="5334000" cy="2993394"/>
                    </a:xfrm>
                    <a:prstGeom prst="rect">
                      <a:avLst/>
                    </a:prstGeom>
                    <a:noFill/>
                    <a:ln w="9525">
                      <a:noFill/>
                      <a:headEnd/>
                      <a:tailEnd/>
                    </a:ln>
                  </pic:spPr>
                </pic:pic>
              </a:graphicData>
            </a:graphic>
          </wp:inline>
        </w:drawing>
      </w:r>
    </w:p>
    <w:p>
      <w:pPr>
        <w:pStyle w:val="ImageCaption"/>
      </w:pPr>
      <w:r>
        <w:rPr>
          <w:color w:val="000000"/>
        </w:rPr>
        <w:t xml:space="preserve">Overview page</w:t>
      </w:r>
    </w:p>
    <w:bookmarkStart w:id="33" w:name="the-number"/>
    <w:p>
      <w:pPr>
        <w:pStyle w:val="Heading3"/>
      </w:pPr>
      <w:r>
        <w:rPr>
          <w:color w:val="000000"/>
        </w:rPr>
        <w:t xml:space="preserve">4.1 The number</w:t>
      </w:r>
    </w:p>
    <w:tbl>
      <w:tblPr>
        <w:tblStyle w:val="Table"/>
        <w:tblW w:type="auto" w:w="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spacing w:after="40"/>
              <w:jc w:val="left"/>
            </w:pPr>
            <w:r>
              <w:rPr>
                <w:b/>
                <w:color w:val="000000"/>
                <w:sz w:val="20"/>
              </w:rPr>
              <w:t xml:space="preserve">Measure</w:t>
            </w:r>
          </w:p>
        </w:tc>
        <w:tc>
          <w:tcPr/>
          <w:p>
            <w:pPr>
              <w:pStyle w:val="Compact"/>
              <w:spacing w:after="40"/>
              <w:jc w:val="left"/>
            </w:pPr>
            <w:r>
              <w:rPr>
                <w:b/>
                <w:color w:val="000000"/>
                <w:sz w:val="20"/>
              </w:rPr>
              <w:t xml:space="preserve">Value</w:t>
            </w:r>
          </w:p>
        </w:tc>
      </w:tr>
      <w:tr>
        <w:tc>
          <w:tcPr/>
          <w:p>
            <w:pPr>
              <w:pStyle w:val="Compact"/>
              <w:spacing w:after="40"/>
              <w:jc w:val="left"/>
            </w:pPr>
            <w:r>
              <w:rPr>
                <w:color w:val="000000"/>
                <w:sz w:val="20"/>
              </w:rPr>
              <w:t xml:space="preserve">Included encounters</w:t>
            </w:r>
          </w:p>
        </w:tc>
        <w:tc>
          <w:tcPr/>
          <w:p>
            <w:pPr>
              <w:pStyle w:val="Compact"/>
              <w:spacing w:after="40"/>
              <w:jc w:val="left"/>
            </w:pPr>
            <w:r>
              <w:rPr>
                <w:color w:val="000000"/>
                <w:sz w:val="20"/>
              </w:rPr>
              <w:t xml:space="preserve">99,343</w:t>
            </w:r>
          </w:p>
        </w:tc>
      </w:tr>
      <w:tr>
        <w:tc>
          <w:tcPr/>
          <w:p>
            <w:pPr>
              <w:pStyle w:val="Compact"/>
              <w:spacing w:after="40"/>
              <w:jc w:val="left"/>
            </w:pPr>
            <w:r>
              <w:rPr>
                <w:color w:val="000000"/>
                <w:sz w:val="20"/>
              </w:rPr>
              <w:t xml:space="preserve">Unique patients</w:t>
            </w:r>
          </w:p>
        </w:tc>
        <w:tc>
          <w:tcPr/>
          <w:p>
            <w:pPr>
              <w:pStyle w:val="Compact"/>
              <w:spacing w:after="40"/>
              <w:jc w:val="left"/>
            </w:pPr>
            <w:r>
              <w:rPr>
                <w:color w:val="000000"/>
                <w:sz w:val="20"/>
              </w:rPr>
              <w:t xml:space="preserve">69,990</w:t>
            </w:r>
          </w:p>
        </w:tc>
      </w:tr>
      <w:tr>
        <w:tc>
          <w:tcPr/>
          <w:p>
            <w:pPr>
              <w:pStyle w:val="Compact"/>
              <w:spacing w:after="40"/>
              <w:jc w:val="left"/>
            </w:pPr>
            <w:r>
              <w:rPr>
                <w:color w:val="000000"/>
                <w:sz w:val="20"/>
              </w:rPr>
              <w:t xml:space="preserve">30-day readmissions</w:t>
            </w:r>
          </w:p>
        </w:tc>
        <w:tc>
          <w:tcPr/>
          <w:p>
            <w:pPr>
              <w:pStyle w:val="Compact"/>
              <w:spacing w:after="40"/>
              <w:jc w:val="left"/>
            </w:pPr>
            <w:r>
              <w:rPr>
                <w:color w:val="000000"/>
                <w:sz w:val="20"/>
              </w:rPr>
              <w:t xml:space="preserve">11,314</w:t>
            </w:r>
          </w:p>
        </w:tc>
      </w:tr>
      <w:tr>
        <w:tc>
          <w:tcPr/>
          <w:p>
            <w:pPr>
              <w:pStyle w:val="Compact"/>
              <w:spacing w:after="40"/>
              <w:jc w:val="left"/>
            </w:pPr>
            <w:r>
              <w:rPr>
                <w:bCs/>
                <w:b/>
                <w:color w:val="000000"/>
                <w:sz w:val="20"/>
              </w:rPr>
              <w:t xml:space="preserve">30-day readmission rate</w:t>
            </w:r>
          </w:p>
        </w:tc>
        <w:tc>
          <w:tcPr/>
          <w:p>
            <w:pPr>
              <w:pStyle w:val="Compact"/>
              <w:spacing w:after="40"/>
              <w:jc w:val="left"/>
            </w:pPr>
            <w:r>
              <w:rPr>
                <w:bCs/>
                <w:b/>
                <w:color w:val="000000"/>
                <w:sz w:val="20"/>
              </w:rPr>
              <w:t xml:space="preserve">11.4%</w:t>
            </w:r>
          </w:p>
        </w:tc>
      </w:tr>
    </w:tbl>
    <w:bookmarkEnd w:id="33"/>
    <w:bookmarkStart w:id="37" w:name="the-pattern"/>
    <w:p>
      <w:pPr>
        <w:pStyle w:val="Heading3"/>
      </w:pPr>
      <w:r>
        <w:rPr>
          <w:color w:val="000000"/>
        </w:rPr>
        <w:t xml:space="preserve">4.2 The pattern</w:t>
      </w:r>
    </w:p>
    <w:p>
      <w:pPr>
        <w:pStyle w:val="CaptionedFigure"/>
      </w:pPr>
      <w:r>
        <w:rPr>
          <w:color w:val="000000"/>
        </w:rPr>
        <w:drawing>
          <wp:inline>
            <wp:extent cx="5334000" cy="2993394"/>
            <wp:effectExtent b="0" l="0" r="0" t="0"/>
            <wp:docPr descr="Patterns page" title="" id="35" name="Picture"/>
            <a:graphic>
              <a:graphicData uri="http://schemas.openxmlformats.org/drawingml/2006/picture">
                <pic:pic>
                  <pic:nvPicPr>
                    <pic:cNvPr descr="../Screenshots/PowerBi/02_patterns.png" id="36" name="Picture"/>
                    <pic:cNvPicPr>
                      <a:picLocks noChangeArrowheads="1" noChangeAspect="1"/>
                    </pic:cNvPicPr>
                  </pic:nvPicPr>
                  <pic:blipFill>
                    <a:blip r:embed="rId34"/>
                    <a:stretch>
                      <a:fillRect/>
                    </a:stretch>
                  </pic:blipFill>
                  <pic:spPr bwMode="auto">
                    <a:xfrm>
                      <a:off x="0" y="0"/>
                      <a:ext cx="5334000" cy="2993394"/>
                    </a:xfrm>
                    <a:prstGeom prst="rect">
                      <a:avLst/>
                    </a:prstGeom>
                    <a:noFill/>
                    <a:ln w="9525">
                      <a:noFill/>
                      <a:headEnd/>
                      <a:tailEnd/>
                    </a:ln>
                  </pic:spPr>
                </pic:pic>
              </a:graphicData>
            </a:graphic>
          </wp:inline>
        </w:drawing>
      </w:r>
    </w:p>
    <w:p>
      <w:pPr>
        <w:pStyle w:val="ImageCaption"/>
      </w:pPr>
      <w:r>
        <w:rPr>
          <w:color w:val="000000"/>
        </w:rPr>
        <w:t xml:space="preserve">Patterns page</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spacing w:after="40"/>
              <w:jc w:val="left"/>
            </w:pPr>
            <w:r>
              <w:rPr>
                <w:b/>
                <w:color w:val="000000"/>
                <w:sz w:val="20"/>
              </w:rPr>
              <w:t xml:space="preserve">Factor</w:t>
            </w:r>
          </w:p>
        </w:tc>
        <w:tc>
          <w:tcPr/>
          <w:p>
            <w:pPr>
              <w:pStyle w:val="Compact"/>
              <w:spacing w:after="40"/>
              <w:jc w:val="left"/>
            </w:pPr>
            <w:r>
              <w:rPr>
                <w:b/>
                <w:color w:val="000000"/>
                <w:sz w:val="20"/>
              </w:rPr>
              <w:t xml:space="preserve">Lowest group</w:t>
            </w:r>
          </w:p>
        </w:tc>
        <w:tc>
          <w:tcPr/>
          <w:p>
            <w:pPr>
              <w:pStyle w:val="Compact"/>
              <w:spacing w:after="40"/>
              <w:jc w:val="left"/>
            </w:pPr>
            <w:r>
              <w:rPr>
                <w:b/>
                <w:color w:val="000000"/>
                <w:sz w:val="20"/>
              </w:rPr>
              <w:t xml:space="preserve">Highest group</w:t>
            </w:r>
          </w:p>
        </w:tc>
        <w:tc>
          <w:tcPr/>
          <w:p>
            <w:pPr>
              <w:pStyle w:val="Compact"/>
              <w:spacing w:after="40"/>
              <w:jc w:val="left"/>
            </w:pPr>
            <w:r>
              <w:rPr>
                <w:b/>
                <w:color w:val="000000"/>
                <w:sz w:val="20"/>
              </w:rPr>
              <w:t xml:space="preserve">Spread</w:t>
            </w:r>
          </w:p>
        </w:tc>
      </w:tr>
      <w:tr>
        <w:tc>
          <w:tcPr/>
          <w:p>
            <w:pPr>
              <w:pStyle w:val="Compact"/>
              <w:spacing w:after="40"/>
              <w:jc w:val="left"/>
            </w:pPr>
            <w:r>
              <w:rPr>
                <w:bCs/>
                <w:b/>
                <w:color w:val="000000"/>
                <w:sz w:val="20"/>
              </w:rPr>
              <w:t xml:space="preserve">Prior inpatient visits</w:t>
            </w:r>
          </w:p>
        </w:tc>
        <w:tc>
          <w:tcPr/>
          <w:p>
            <w:pPr>
              <w:pStyle w:val="Compact"/>
              <w:spacing w:after="40"/>
              <w:jc w:val="left"/>
            </w:pPr>
            <w:r>
              <w:rPr>
                <w:color w:val="000000"/>
                <w:sz w:val="20"/>
              </w:rPr>
              <w:t xml:space="preserve">0 visits: 8.6%</w:t>
            </w:r>
          </w:p>
        </w:tc>
        <w:tc>
          <w:tcPr/>
          <w:p>
            <w:pPr>
              <w:pStyle w:val="Compact"/>
              <w:spacing w:after="40"/>
              <w:jc w:val="left"/>
            </w:pPr>
            <w:r>
              <w:rPr>
                <w:color w:val="000000"/>
                <w:sz w:val="20"/>
              </w:rPr>
              <w:t xml:space="preserve">6+ visits: 40.6%</w:t>
            </w:r>
          </w:p>
        </w:tc>
        <w:tc>
          <w:tcPr/>
          <w:p>
            <w:pPr>
              <w:pStyle w:val="Compact"/>
              <w:spacing w:after="40"/>
              <w:jc w:val="left"/>
            </w:pPr>
            <w:r>
              <w:rPr>
                <w:bCs/>
                <w:b/>
                <w:color w:val="000000"/>
                <w:sz w:val="20"/>
              </w:rPr>
              <w:t xml:space="preserve">32.0 points</w:t>
            </w:r>
          </w:p>
        </w:tc>
      </w:tr>
      <w:tr>
        <w:tc>
          <w:tcPr/>
          <w:p>
            <w:pPr>
              <w:pStyle w:val="Compact"/>
              <w:spacing w:after="40"/>
              <w:jc w:val="left"/>
            </w:pPr>
            <w:r>
              <w:rPr>
                <w:bCs/>
                <w:b/>
                <w:color w:val="000000"/>
                <w:sz w:val="20"/>
              </w:rPr>
              <w:t xml:space="preserve">Discharge destination</w:t>
            </w:r>
          </w:p>
        </w:tc>
        <w:tc>
          <w:tcPr/>
          <w:p>
            <w:pPr>
              <w:pStyle w:val="Compact"/>
              <w:spacing w:after="40"/>
              <w:jc w:val="left"/>
            </w:pPr>
            <w:r>
              <w:rPr>
                <w:color w:val="000000"/>
                <w:sz w:val="20"/>
              </w:rPr>
              <w:t xml:space="preserve">Home: 9.3%</w:t>
            </w:r>
          </w:p>
        </w:tc>
        <w:tc>
          <w:tcPr/>
          <w:p>
            <w:pPr>
              <w:pStyle w:val="Compact"/>
              <w:spacing w:after="40"/>
              <w:jc w:val="left"/>
            </w:pPr>
            <w:r>
              <w:rPr>
                <w:color w:val="000000"/>
                <w:sz w:val="20"/>
              </w:rPr>
              <w:t xml:space="preserve">Other discharge codes, including transfers: 20.0%</w:t>
            </w:r>
          </w:p>
        </w:tc>
        <w:tc>
          <w:tcPr/>
          <w:p>
            <w:pPr>
              <w:pStyle w:val="Compact"/>
              <w:spacing w:after="40"/>
              <w:jc w:val="left"/>
            </w:pPr>
            <w:r>
              <w:rPr>
                <w:bCs/>
                <w:b/>
                <w:color w:val="000000"/>
                <w:sz w:val="20"/>
              </w:rPr>
              <w:t xml:space="preserve">10.7 points</w:t>
            </w:r>
          </w:p>
        </w:tc>
      </w:tr>
      <w:tr>
        <w:tc>
          <w:tcPr/>
          <w:p>
            <w:pPr>
              <w:pStyle w:val="Compact"/>
              <w:spacing w:after="40"/>
              <w:jc w:val="left"/>
            </w:pPr>
            <w:r>
              <w:rPr>
                <w:color w:val="000000"/>
                <w:sz w:val="20"/>
              </w:rPr>
              <w:t xml:space="preserve">Length of stay</w:t>
            </w:r>
          </w:p>
        </w:tc>
        <w:tc>
          <w:tcPr/>
          <w:p>
            <w:pPr>
              <w:pStyle w:val="Compact"/>
              <w:spacing w:after="40"/>
              <w:jc w:val="left"/>
            </w:pPr>
            <w:r>
              <w:rPr>
                <w:color w:val="000000"/>
                <w:sz w:val="20"/>
              </w:rPr>
              <w:t xml:space="preserve">1 to 2 days: 9.3%</w:t>
            </w:r>
          </w:p>
        </w:tc>
        <w:tc>
          <w:tcPr/>
          <w:p>
            <w:pPr>
              <w:pStyle w:val="Compact"/>
              <w:spacing w:after="40"/>
              <w:jc w:val="left"/>
            </w:pPr>
            <w:r>
              <w:rPr>
                <w:color w:val="000000"/>
                <w:sz w:val="20"/>
              </w:rPr>
              <w:t xml:space="preserve">8 to 14 days: 13.8%</w:t>
            </w:r>
          </w:p>
        </w:tc>
        <w:tc>
          <w:tcPr/>
          <w:p>
            <w:pPr>
              <w:pStyle w:val="Compact"/>
              <w:spacing w:after="40"/>
              <w:jc w:val="left"/>
            </w:pPr>
            <w:r>
              <w:rPr>
                <w:color w:val="000000"/>
                <w:sz w:val="20"/>
              </w:rPr>
              <w:t xml:space="preserve">4.5 points</w:t>
            </w:r>
          </w:p>
        </w:tc>
      </w:tr>
      <w:tr>
        <w:tc>
          <w:tcPr/>
          <w:p>
            <w:pPr>
              <w:pStyle w:val="Compact"/>
              <w:spacing w:after="40"/>
              <w:jc w:val="left"/>
            </w:pPr>
            <w:r>
              <w:rPr>
                <w:color w:val="000000"/>
                <w:sz w:val="20"/>
              </w:rPr>
              <w:t xml:space="preserve">Medications</w:t>
            </w:r>
          </w:p>
        </w:tc>
        <w:tc>
          <w:tcPr/>
          <w:p>
            <w:pPr>
              <w:pStyle w:val="Compact"/>
              <w:spacing w:after="40"/>
              <w:jc w:val="left"/>
            </w:pPr>
            <w:r>
              <w:rPr>
                <w:color w:val="000000"/>
                <w:sz w:val="20"/>
              </w:rPr>
              <w:t xml:space="preserve">1 to 10: 9.2%</w:t>
            </w:r>
          </w:p>
        </w:tc>
        <w:tc>
          <w:tcPr/>
          <w:p>
            <w:pPr>
              <w:pStyle w:val="Compact"/>
              <w:spacing w:after="40"/>
              <w:jc w:val="left"/>
            </w:pPr>
            <w:r>
              <w:rPr>
                <w:color w:val="000000"/>
                <w:sz w:val="20"/>
              </w:rPr>
              <w:t xml:space="preserve">21 to 30: 13.2%</w:t>
            </w:r>
          </w:p>
        </w:tc>
        <w:tc>
          <w:tcPr/>
          <w:p>
            <w:pPr>
              <w:pStyle w:val="Compact"/>
              <w:spacing w:after="40"/>
              <w:jc w:val="left"/>
            </w:pPr>
            <w:r>
              <w:rPr>
                <w:color w:val="000000"/>
                <w:sz w:val="20"/>
              </w:rPr>
              <w:t xml:space="preserve">4.0 points</w:t>
            </w:r>
          </w:p>
        </w:tc>
      </w:tr>
      <w:tr>
        <w:tc>
          <w:tcPr/>
          <w:p>
            <w:pPr>
              <w:pStyle w:val="Compact"/>
              <w:spacing w:after="40"/>
              <w:jc w:val="left"/>
            </w:pPr>
            <w:r>
              <w:rPr>
                <w:color w:val="000000"/>
                <w:sz w:val="20"/>
              </w:rPr>
              <w:t xml:space="preserve">Diagnosis group</w:t>
            </w:r>
          </w:p>
        </w:tc>
        <w:tc>
          <w:tcPr/>
          <w:p>
            <w:pPr>
              <w:pStyle w:val="Compact"/>
              <w:spacing w:after="40"/>
              <w:jc w:val="left"/>
            </w:pPr>
            <w:r>
              <w:rPr>
                <w:color w:val="000000"/>
                <w:sz w:val="20"/>
              </w:rPr>
              <w:t xml:space="preserve">Musculoskeletal: 9.5%</w:t>
            </w:r>
          </w:p>
        </w:tc>
        <w:tc>
          <w:tcPr/>
          <w:p>
            <w:pPr>
              <w:pStyle w:val="Compact"/>
              <w:spacing w:after="40"/>
              <w:jc w:val="left"/>
            </w:pPr>
            <w:r>
              <w:rPr>
                <w:color w:val="000000"/>
                <w:sz w:val="20"/>
              </w:rPr>
              <w:t xml:space="preserve">Diabetes: 13.1%</w:t>
            </w:r>
          </w:p>
        </w:tc>
        <w:tc>
          <w:tcPr/>
          <w:p>
            <w:pPr>
              <w:pStyle w:val="Compact"/>
              <w:spacing w:after="40"/>
              <w:jc w:val="left"/>
            </w:pPr>
            <w:r>
              <w:rPr>
                <w:color w:val="000000"/>
                <w:sz w:val="20"/>
              </w:rPr>
              <w:t xml:space="preserve">3.6 points</w:t>
            </w:r>
          </w:p>
        </w:tc>
      </w:tr>
      <w:tr>
        <w:tc>
          <w:tcPr/>
          <w:p>
            <w:pPr>
              <w:pStyle w:val="Compact"/>
              <w:spacing w:after="40"/>
              <w:jc w:val="left"/>
            </w:pPr>
            <w:r>
              <w:rPr>
                <w:color w:val="000000"/>
                <w:sz w:val="20"/>
              </w:rPr>
              <w:t xml:space="preserve">Age (30 to 99)</w:t>
            </w:r>
          </w:p>
        </w:tc>
        <w:tc>
          <w:tcPr/>
          <w:p>
            <w:pPr>
              <w:pStyle w:val="Compact"/>
              <w:spacing w:after="40"/>
              <w:jc w:val="left"/>
            </w:pPr>
            <w:r>
              <w:rPr>
                <w:color w:val="000000"/>
                <w:sz w:val="20"/>
              </w:rPr>
              <w:t xml:space="preserve">50 to 59: 9.8%</w:t>
            </w:r>
          </w:p>
        </w:tc>
        <w:tc>
          <w:tcPr/>
          <w:p>
            <w:pPr>
              <w:pStyle w:val="Compact"/>
              <w:spacing w:after="40"/>
              <w:jc w:val="left"/>
            </w:pPr>
            <w:r>
              <w:rPr>
                <w:color w:val="000000"/>
                <w:sz w:val="20"/>
              </w:rPr>
              <w:t xml:space="preserve">80 to 89: 12.6%</w:t>
            </w:r>
          </w:p>
        </w:tc>
        <w:tc>
          <w:tcPr/>
          <w:p>
            <w:pPr>
              <w:pStyle w:val="Compact"/>
              <w:spacing w:after="40"/>
              <w:jc w:val="left"/>
            </w:pPr>
            <w:r>
              <w:rPr>
                <w:color w:val="000000"/>
                <w:sz w:val="20"/>
              </w:rPr>
              <w:t xml:space="preserve">2.8 points</w:t>
            </w:r>
          </w:p>
        </w:tc>
      </w:tr>
      <w:tr>
        <w:tc>
          <w:tcPr/>
          <w:p>
            <w:pPr>
              <w:pStyle w:val="Compact"/>
              <w:spacing w:after="40"/>
              <w:jc w:val="left"/>
            </w:pPr>
            <w:r>
              <w:rPr>
                <w:color w:val="000000"/>
                <w:sz w:val="20"/>
              </w:rPr>
              <w:t xml:space="preserve">Admission type</w:t>
            </w:r>
          </w:p>
        </w:tc>
        <w:tc>
          <w:tcPr/>
          <w:p>
            <w:pPr>
              <w:pStyle w:val="Compact"/>
              <w:spacing w:after="40"/>
              <w:jc w:val="left"/>
            </w:pPr>
            <w:r>
              <w:rPr>
                <w:color w:val="000000"/>
                <w:sz w:val="20"/>
              </w:rPr>
              <w:t xml:space="preserve">Elective: 10.5%</w:t>
            </w:r>
          </w:p>
        </w:tc>
        <w:tc>
          <w:tcPr/>
          <w:p>
            <w:pPr>
              <w:pStyle w:val="Compact"/>
              <w:spacing w:after="40"/>
              <w:jc w:val="left"/>
            </w:pPr>
            <w:r>
              <w:rPr>
                <w:color w:val="000000"/>
                <w:sz w:val="20"/>
              </w:rPr>
              <w:t xml:space="preserve">Emergency: 11.8%</w:t>
            </w:r>
          </w:p>
        </w:tc>
        <w:tc>
          <w:tcPr/>
          <w:p>
            <w:pPr>
              <w:pStyle w:val="Compact"/>
              <w:spacing w:after="40"/>
              <w:jc w:val="left"/>
            </w:pPr>
            <w:r>
              <w:rPr>
                <w:color w:val="000000"/>
                <w:sz w:val="20"/>
              </w:rPr>
              <w:t xml:space="preserve">1.3 points</w:t>
            </w:r>
          </w:p>
        </w:tc>
      </w:tr>
    </w:tbl>
    <w:p>
      <w:pPr>
        <w:pStyle w:val="BodyText"/>
        <w:jc w:val="both"/>
      </w:pPr>
      <w:r>
        <w:rPr>
          <w:color w:val="000000"/>
        </w:rPr>
        <w:t xml:space="preserve">Prior inpatient visits stand out by a wide margin, and the correlation analysis agrees: its Spearman correlation with readmission (0.14) is more than twice that of any other numeric field. On the Explorer page, flagged encounters have a higher rate than the rest</w:t>
      </w:r>
      <w:r>
        <w:rPr>
          <w:color w:val="000000"/>
        </w:rPr>
        <w:t xml:space="preserve"> </w:t>
      </w:r>
      <w:r>
        <w:rPr>
          <w:bCs/>
          <w:b/>
          <w:color w:val="000000"/>
        </w:rPr>
        <w:t xml:space="preserve">within every diagnosis group</w:t>
      </w:r>
      <w:r>
        <w:rPr>
          <w:color w:val="000000"/>
        </w:rPr>
        <w:t xml:space="preserve">.</w:t>
      </w:r>
    </w:p>
    <w:p>
      <w:pPr>
        <w:pStyle w:val="BodyText"/>
        <w:jc w:val="both"/>
      </w:pPr>
      <w:r>
        <w:rPr>
          <w:color w:val="000000"/>
        </w:rPr>
        <w:t xml:space="preserve">Ten insights with their supporting queries are listed in</w:t>
      </w:r>
      <w:r>
        <w:rPr>
          <w:color w:val="000000"/>
        </w:rPr>
        <w:t xml:space="preserve"> </w:t>
      </w:r>
      <w:r>
        <w:rPr>
          <w:rStyle w:val="VerbatimChar"/>
          <w:color w:val="000000"/>
        </w:rPr>
        <w:t xml:space="preserve">docs/eda_report.md</w:t>
      </w:r>
      <w:r>
        <w:rPr>
          <w:color w:val="000000"/>
        </w:rPr>
        <w:t xml:space="preserve">.</w:t>
      </w:r>
    </w:p>
    <w:bookmarkEnd w:id="37"/>
    <w:bookmarkStart w:id="41" w:name="the-risk-tier"/>
    <w:p>
      <w:pPr>
        <w:pStyle w:val="Heading3"/>
      </w:pPr>
      <w:r>
        <w:rPr>
          <w:color w:val="000000"/>
        </w:rPr>
        <w:t xml:space="preserve">4.3 The risk tier</w:t>
      </w:r>
    </w:p>
    <w:p>
      <w:pPr>
        <w:pStyle w:val="CaptionedFigure"/>
      </w:pPr>
      <w:r>
        <w:rPr>
          <w:color w:val="000000"/>
        </w:rPr>
        <w:drawing>
          <wp:inline>
            <wp:extent cx="5334000" cy="2993394"/>
            <wp:effectExtent b="0" l="0" r="0" t="0"/>
            <wp:docPr descr="Risk Tier page" title="" id="39" name="Picture"/>
            <a:graphic>
              <a:graphicData uri="http://schemas.openxmlformats.org/drawingml/2006/picture">
                <pic:pic>
                  <pic:nvPicPr>
                    <pic:cNvPr descr="../Screenshots/PowerBi/03_risk_tier.png" id="40" name="Picture"/>
                    <pic:cNvPicPr>
                      <a:picLocks noChangeArrowheads="1" noChangeAspect="1"/>
                    </pic:cNvPicPr>
                  </pic:nvPicPr>
                  <pic:blipFill>
                    <a:blip r:embed="rId38"/>
                    <a:stretch>
                      <a:fillRect/>
                    </a:stretch>
                  </pic:blipFill>
                  <pic:spPr bwMode="auto">
                    <a:xfrm>
                      <a:off x="0" y="0"/>
                      <a:ext cx="5334000" cy="2993394"/>
                    </a:xfrm>
                    <a:prstGeom prst="rect">
                      <a:avLst/>
                    </a:prstGeom>
                    <a:noFill/>
                    <a:ln w="9525">
                      <a:noFill/>
                      <a:headEnd/>
                      <a:tailEnd/>
                    </a:ln>
                  </pic:spPr>
                </pic:pic>
              </a:graphicData>
            </a:graphic>
          </wp:inline>
        </w:drawing>
      </w:r>
    </w:p>
    <w:p>
      <w:pPr>
        <w:pStyle w:val="ImageCaption"/>
      </w:pPr>
      <w:r>
        <w:rPr>
          <w:color w:val="000000"/>
        </w:rPr>
        <w:t xml:space="preserve">Risk Tier page</w:t>
      </w:r>
    </w:p>
    <w:tbl>
      <w:tblPr>
        <w:tblStyle w:val="Table"/>
        <w:tblW w:type="auto" w:w="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spacing w:after="40"/>
              <w:jc w:val="left"/>
            </w:pPr>
            <w:r>
              <w:rPr>
                <w:b/>
                <w:color w:val="000000"/>
                <w:sz w:val="20"/>
              </w:rPr>
              <w:t xml:space="preserve">Measure</w:t>
            </w:r>
          </w:p>
        </w:tc>
        <w:tc>
          <w:tcPr/>
          <w:p>
            <w:pPr>
              <w:pStyle w:val="Compact"/>
              <w:spacing w:after="40"/>
              <w:jc w:val="left"/>
            </w:pPr>
            <w:r>
              <w:rPr>
                <w:b/>
                <w:color w:val="000000"/>
                <w:sz w:val="20"/>
              </w:rPr>
              <w:t xml:space="preserve">Tier (2+ prior visits)</w:t>
            </w:r>
          </w:p>
        </w:tc>
        <w:tc>
          <w:tcPr/>
          <w:p>
            <w:pPr>
              <w:pStyle w:val="Compact"/>
              <w:spacing w:after="40"/>
              <w:jc w:val="left"/>
            </w:pPr>
            <w:r>
              <w:rPr>
                <w:b/>
                <w:color w:val="000000"/>
                <w:sz w:val="20"/>
              </w:rPr>
              <w:t xml:space="preserve">Everyone else</w:t>
            </w:r>
          </w:p>
        </w:tc>
      </w:tr>
      <w:tr>
        <w:tc>
          <w:tcPr/>
          <w:p>
            <w:pPr>
              <w:pStyle w:val="Compact"/>
              <w:spacing w:after="40"/>
              <w:jc w:val="left"/>
            </w:pPr>
            <w:r>
              <w:rPr>
                <w:color w:val="000000"/>
                <w:sz w:val="20"/>
              </w:rPr>
              <w:t xml:space="preserve">Encounters</w:t>
            </w:r>
          </w:p>
        </w:tc>
        <w:tc>
          <w:tcPr/>
          <w:p>
            <w:pPr>
              <w:pStyle w:val="Compact"/>
              <w:spacing w:after="40"/>
              <w:jc w:val="left"/>
            </w:pPr>
            <w:r>
              <w:rPr>
                <w:color w:val="000000"/>
                <w:sz w:val="20"/>
              </w:rPr>
              <w:t xml:space="preserve">14,114 (14.2%)</w:t>
            </w:r>
          </w:p>
        </w:tc>
        <w:tc>
          <w:tcPr/>
          <w:p>
            <w:pPr>
              <w:pStyle w:val="Compact"/>
              <w:spacing w:after="40"/>
              <w:jc w:val="left"/>
            </w:pPr>
            <w:r>
              <w:rPr>
                <w:color w:val="000000"/>
                <w:sz w:val="20"/>
              </w:rPr>
              <w:t xml:space="preserve">85,229 (85.8%)</w:t>
            </w:r>
          </w:p>
        </w:tc>
      </w:tr>
      <w:tr>
        <w:tc>
          <w:tcPr/>
          <w:p>
            <w:pPr>
              <w:pStyle w:val="Compact"/>
              <w:spacing w:after="40"/>
              <w:jc w:val="left"/>
            </w:pPr>
            <w:r>
              <w:rPr>
                <w:color w:val="000000"/>
                <w:sz w:val="20"/>
              </w:rPr>
              <w:t xml:space="preserve">Readmissions</w:t>
            </w:r>
          </w:p>
        </w:tc>
        <w:tc>
          <w:tcPr/>
          <w:p>
            <w:pPr>
              <w:pStyle w:val="Compact"/>
              <w:spacing w:after="40"/>
              <w:jc w:val="left"/>
            </w:pPr>
            <w:r>
              <w:rPr>
                <w:color w:val="000000"/>
                <w:sz w:val="20"/>
              </w:rPr>
              <w:t xml:space="preserve">3,108 (27.5%)</w:t>
            </w:r>
          </w:p>
        </w:tc>
        <w:tc>
          <w:tcPr/>
          <w:p>
            <w:pPr>
              <w:pStyle w:val="Compact"/>
              <w:spacing w:after="40"/>
              <w:jc w:val="left"/>
            </w:pPr>
            <w:r>
              <w:rPr>
                <w:color w:val="000000"/>
                <w:sz w:val="20"/>
              </w:rPr>
              <w:t xml:space="preserve">8,206 (72.5%)</w:t>
            </w:r>
          </w:p>
        </w:tc>
      </w:tr>
      <w:tr>
        <w:tc>
          <w:tcPr/>
          <w:p>
            <w:pPr>
              <w:pStyle w:val="Compact"/>
              <w:spacing w:after="40"/>
              <w:jc w:val="left"/>
            </w:pPr>
            <w:r>
              <w:rPr>
                <w:color w:val="000000"/>
                <w:sz w:val="20"/>
              </w:rPr>
              <w:t xml:space="preserve">30-day rate</w:t>
            </w:r>
          </w:p>
        </w:tc>
        <w:tc>
          <w:tcPr/>
          <w:p>
            <w:pPr>
              <w:pStyle w:val="Compact"/>
              <w:spacing w:after="40"/>
              <w:jc w:val="left"/>
            </w:pPr>
            <w:r>
              <w:rPr>
                <w:bCs/>
                <w:b/>
                <w:color w:val="000000"/>
                <w:sz w:val="20"/>
              </w:rPr>
              <w:t xml:space="preserve">22.0%</w:t>
            </w:r>
          </w:p>
        </w:tc>
        <w:tc>
          <w:tcPr/>
          <w:p>
            <w:pPr>
              <w:pStyle w:val="Compact"/>
              <w:spacing w:after="40"/>
              <w:jc w:val="left"/>
            </w:pPr>
            <w:r>
              <w:rPr>
                <w:bCs/>
                <w:b/>
                <w:color w:val="000000"/>
                <w:sz w:val="20"/>
              </w:rPr>
              <w:t xml:space="preserve">9.6%</w:t>
            </w:r>
          </w:p>
        </w:tc>
      </w:tr>
      <w:tr>
        <w:tc>
          <w:tcPr/>
          <w:p>
            <w:pPr>
              <w:pStyle w:val="Compact"/>
              <w:spacing w:after="40"/>
              <w:jc w:val="left"/>
            </w:pPr>
            <w:r>
              <w:rPr>
                <w:color w:val="000000"/>
                <w:sz w:val="20"/>
              </w:rPr>
              <w:t xml:space="preserve">95% confidence interval</w:t>
            </w:r>
          </w:p>
        </w:tc>
        <w:tc>
          <w:tcPr/>
          <w:p>
            <w:pPr>
              <w:pStyle w:val="Compact"/>
              <w:spacing w:after="40"/>
              <w:jc w:val="left"/>
            </w:pPr>
            <w:r>
              <w:rPr>
                <w:color w:val="000000"/>
                <w:sz w:val="20"/>
              </w:rPr>
              <w:t xml:space="preserve">21.3% to 22.7%</w:t>
            </w:r>
          </w:p>
        </w:tc>
        <w:tc>
          <w:tcPr/>
          <w:p>
            <w:pPr>
              <w:pStyle w:val="Compact"/>
              <w:spacing w:after="40"/>
              <w:jc w:val="left"/>
            </w:pPr>
            <w:r>
              <w:rPr>
                <w:color w:val="000000"/>
                <w:sz w:val="20"/>
              </w:rPr>
              <w:t xml:space="preserve">9.4% to 9.8%</w:t>
            </w:r>
          </w:p>
        </w:tc>
      </w:tr>
    </w:tbl>
    <w:p>
      <w:pPr>
        <w:pStyle w:val="BodyText"/>
        <w:jc w:val="both"/>
      </w:pPr>
      <w:r>
        <w:rPr>
          <w:bCs/>
          <w:b/>
          <w:color w:val="000000"/>
        </w:rPr>
        <w:t xml:space="preserve">Statistical significance.</w:t>
      </w:r>
      <w:r>
        <w:rPr>
          <w:color w:val="000000"/>
        </w:rPr>
        <w:t xml:space="preserve"> </w:t>
      </w:r>
      <w:r>
        <w:rPr>
          <w:color w:val="000000"/>
        </w:rPr>
        <w:t xml:space="preserve">The difference between the tier and everyone else is very unlikely to be chance (chi-square = 1,841.5, p &lt; 0.001). The confidence intervals do not come close to overlapping. Both measures treat each encounter as independent (see 3.4).</w:t>
      </w:r>
    </w:p>
    <w:p>
      <w:pPr>
        <w:pStyle w:val="BodyText"/>
        <w:jc w:val="both"/>
      </w:pPr>
      <w:r>
        <w:rPr>
          <w:bCs/>
          <w:b/>
          <w:color w:val="000000"/>
        </w:rPr>
        <w:t xml:space="preserve">Validation on held-out patients</w:t>
      </w:r>
    </w:p>
    <w:tbl>
      <w:tblPr>
        <w:tblStyle w:val="Table"/>
        <w:tblW w:type="auto" w:w="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spacing w:after="40"/>
            </w:pPr>
          </w:p>
        </w:tc>
        <w:tc>
          <w:tcPr/>
          <w:p>
            <w:pPr>
              <w:pStyle w:val="Compact"/>
              <w:spacing w:after="40"/>
              <w:jc w:val="left"/>
            </w:pPr>
            <w:r>
              <w:rPr>
                <w:b/>
                <w:color w:val="000000"/>
                <w:sz w:val="20"/>
              </w:rPr>
              <w:t xml:space="preserve">Build group (70%)</w:t>
            </w:r>
          </w:p>
        </w:tc>
        <w:tc>
          <w:tcPr/>
          <w:p>
            <w:pPr>
              <w:pStyle w:val="Compact"/>
              <w:spacing w:after="40"/>
              <w:jc w:val="left"/>
            </w:pPr>
            <w:r>
              <w:rPr>
                <w:b/>
                <w:color w:val="000000"/>
                <w:sz w:val="20"/>
              </w:rPr>
              <w:t xml:space="preserve">Test group (30%)</w:t>
            </w:r>
          </w:p>
        </w:tc>
      </w:tr>
      <w:tr>
        <w:tc>
          <w:tcPr/>
          <w:p>
            <w:pPr>
              <w:pStyle w:val="Compact"/>
              <w:spacing w:after="40"/>
              <w:jc w:val="left"/>
            </w:pPr>
            <w:r>
              <w:rPr>
                <w:color w:val="000000"/>
                <w:sz w:val="20"/>
              </w:rPr>
              <w:t xml:space="preserve">Tier rate</w:t>
            </w:r>
          </w:p>
        </w:tc>
        <w:tc>
          <w:tcPr/>
          <w:p>
            <w:pPr>
              <w:pStyle w:val="Compact"/>
              <w:spacing w:after="40"/>
              <w:jc w:val="left"/>
            </w:pPr>
            <w:r>
              <w:rPr>
                <w:color w:val="000000"/>
                <w:sz w:val="20"/>
              </w:rPr>
              <w:t xml:space="preserve">22.8%</w:t>
            </w:r>
          </w:p>
        </w:tc>
        <w:tc>
          <w:tcPr/>
          <w:p>
            <w:pPr>
              <w:pStyle w:val="Compact"/>
              <w:spacing w:after="40"/>
              <w:jc w:val="left"/>
            </w:pPr>
            <w:r>
              <w:rPr>
                <w:color w:val="000000"/>
                <w:sz w:val="20"/>
              </w:rPr>
              <w:t xml:space="preserve">20.2%</w:t>
            </w:r>
          </w:p>
        </w:tc>
      </w:tr>
      <w:tr>
        <w:tc>
          <w:tcPr/>
          <w:p>
            <w:pPr>
              <w:pStyle w:val="Compact"/>
              <w:spacing w:after="40"/>
              <w:jc w:val="left"/>
            </w:pPr>
            <w:r>
              <w:rPr>
                <w:color w:val="000000"/>
                <w:sz w:val="20"/>
              </w:rPr>
              <w:t xml:space="preserve">Rest rate</w:t>
            </w:r>
          </w:p>
        </w:tc>
        <w:tc>
          <w:tcPr/>
          <w:p>
            <w:pPr>
              <w:pStyle w:val="Compact"/>
              <w:spacing w:after="40"/>
              <w:jc w:val="left"/>
            </w:pPr>
            <w:r>
              <w:rPr>
                <w:color w:val="000000"/>
                <w:sz w:val="20"/>
              </w:rPr>
              <w:t xml:space="preserve">9.6%</w:t>
            </w:r>
          </w:p>
        </w:tc>
        <w:tc>
          <w:tcPr/>
          <w:p>
            <w:pPr>
              <w:pStyle w:val="Compact"/>
              <w:spacing w:after="40"/>
              <w:jc w:val="left"/>
            </w:pPr>
            <w:r>
              <w:rPr>
                <w:color w:val="000000"/>
                <w:sz w:val="20"/>
              </w:rPr>
              <w:t xml:space="preserve">9.8%</w:t>
            </w:r>
          </w:p>
        </w:tc>
      </w:tr>
      <w:tr>
        <w:tc>
          <w:tcPr/>
          <w:p>
            <w:pPr>
              <w:pStyle w:val="Compact"/>
              <w:spacing w:after="40"/>
              <w:jc w:val="left"/>
            </w:pPr>
            <w:r>
              <w:rPr>
                <w:color w:val="000000"/>
                <w:sz w:val="20"/>
              </w:rPr>
              <w:t xml:space="preserve">Tier rate vs rest</w:t>
            </w:r>
          </w:p>
        </w:tc>
        <w:tc>
          <w:tcPr/>
          <w:p>
            <w:pPr>
              <w:pStyle w:val="Compact"/>
              <w:spacing w:after="40"/>
              <w:jc w:val="left"/>
            </w:pPr>
            <w:r>
              <w:rPr>
                <w:color w:val="000000"/>
                <w:sz w:val="20"/>
              </w:rPr>
              <w:t xml:space="preserve">2.38 times</w:t>
            </w:r>
          </w:p>
        </w:tc>
        <w:tc>
          <w:tcPr/>
          <w:p>
            <w:pPr>
              <w:pStyle w:val="Compact"/>
              <w:spacing w:after="40"/>
              <w:jc w:val="left"/>
            </w:pPr>
            <w:r>
              <w:rPr>
                <w:color w:val="000000"/>
                <w:sz w:val="20"/>
              </w:rPr>
              <w:t xml:space="preserve">2.07 times</w:t>
            </w:r>
          </w:p>
        </w:tc>
      </w:tr>
      <w:tr>
        <w:tc>
          <w:tcPr/>
          <w:p>
            <w:pPr>
              <w:pStyle w:val="Compact"/>
              <w:spacing w:after="40"/>
              <w:jc w:val="left"/>
            </w:pPr>
            <w:r>
              <w:rPr>
                <w:color w:val="000000"/>
                <w:sz w:val="20"/>
              </w:rPr>
              <w:t xml:space="preserve">Share of readmissions captured</w:t>
            </w:r>
          </w:p>
        </w:tc>
        <w:tc>
          <w:tcPr/>
          <w:p>
            <w:pPr>
              <w:pStyle w:val="Compact"/>
              <w:spacing w:after="40"/>
              <w:jc w:val="left"/>
            </w:pPr>
            <w:r>
              <w:rPr>
                <w:color w:val="000000"/>
                <w:sz w:val="20"/>
              </w:rPr>
              <w:t xml:space="preserve">28.3%</w:t>
            </w:r>
          </w:p>
        </w:tc>
        <w:tc>
          <w:tcPr/>
          <w:p>
            <w:pPr>
              <w:pStyle w:val="Compact"/>
              <w:spacing w:after="40"/>
              <w:jc w:val="left"/>
            </w:pPr>
            <w:r>
              <w:rPr>
                <w:color w:val="000000"/>
                <w:sz w:val="20"/>
              </w:rPr>
              <w:t xml:space="preserve">25.6%</w:t>
            </w:r>
          </w:p>
        </w:tc>
      </w:tr>
    </w:tbl>
    <w:p>
      <w:pPr>
        <w:pStyle w:val="BodyText"/>
        <w:jc w:val="both"/>
      </w:pPr>
      <w:r>
        <w:rPr>
          <w:color w:val="000000"/>
        </w:rPr>
        <w:t xml:space="preserve">Performance drops a little on the test group, as expected, but the tier still identifies a group at roughly twice the risk of everyone else. The tier captures</w:t>
      </w:r>
      <w:r>
        <w:rPr>
          <w:color w:val="000000"/>
        </w:rPr>
        <w:t xml:space="preserve"> </w:t>
      </w:r>
      <w:r>
        <w:rPr>
          <w:bCs/>
          <w:b/>
          <w:color w:val="000000"/>
        </w:rPr>
        <w:t xml:space="preserve">1.94 times its share</w:t>
      </w:r>
      <w:r>
        <w:rPr>
          <w:color w:val="000000"/>
        </w:rPr>
        <w:t xml:space="preserve"> </w:t>
      </w:r>
      <w:r>
        <w:rPr>
          <w:color w:val="000000"/>
        </w:rPr>
        <w:t xml:space="preserve">of readmissions (27.5% of readmissions from 14.2% of encounters).</w:t>
      </w:r>
    </w:p>
    <w:bookmarkEnd w:id="41"/>
    <w:bookmarkStart w:id="45" w:name="the-workload"/>
    <w:p>
      <w:pPr>
        <w:pStyle w:val="Heading3"/>
      </w:pPr>
      <w:r>
        <w:rPr>
          <w:color w:val="000000"/>
        </w:rPr>
        <w:t xml:space="preserve">4.4 The workload</w:t>
      </w:r>
    </w:p>
    <w:p>
      <w:pPr>
        <w:pStyle w:val="CaptionedFigure"/>
      </w:pPr>
      <w:r>
        <w:rPr>
          <w:color w:val="000000"/>
        </w:rPr>
        <w:drawing>
          <wp:inline>
            <wp:extent cx="5334000" cy="2993394"/>
            <wp:effectExtent b="0" l="0" r="0" t="0"/>
            <wp:docPr descr="Workload page" title="" id="43" name="Picture"/>
            <a:graphic>
              <a:graphicData uri="http://schemas.openxmlformats.org/drawingml/2006/picture">
                <pic:pic>
                  <pic:nvPicPr>
                    <pic:cNvPr descr="../Screenshots/PowerBi/04_workload.png" id="44" name="Picture"/>
                    <pic:cNvPicPr>
                      <a:picLocks noChangeArrowheads="1" noChangeAspect="1"/>
                    </pic:cNvPicPr>
                  </pic:nvPicPr>
                  <pic:blipFill>
                    <a:blip r:embed="rId42"/>
                    <a:stretch>
                      <a:fillRect/>
                    </a:stretch>
                  </pic:blipFill>
                  <pic:spPr bwMode="auto">
                    <a:xfrm>
                      <a:off x="0" y="0"/>
                      <a:ext cx="5334000" cy="2993394"/>
                    </a:xfrm>
                    <a:prstGeom prst="rect">
                      <a:avLst/>
                    </a:prstGeom>
                    <a:noFill/>
                    <a:ln w="9525">
                      <a:noFill/>
                      <a:headEnd/>
                      <a:tailEnd/>
                    </a:ln>
                  </pic:spPr>
                </pic:pic>
              </a:graphicData>
            </a:graphic>
          </wp:inline>
        </w:drawing>
      </w:r>
    </w:p>
    <w:p>
      <w:pPr>
        <w:pStyle w:val="ImageCaption"/>
      </w:pPr>
      <w:r>
        <w:rPr>
          <w:color w:val="000000"/>
        </w:rPr>
        <w:t xml:space="preserve">Workload page</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trPr>
        <w:tc>
          <w:tcPr/>
          <w:p>
            <w:pPr>
              <w:pStyle w:val="Compact"/>
              <w:spacing w:after="40"/>
              <w:jc w:val="left"/>
            </w:pPr>
            <w:r>
              <w:rPr>
                <w:b/>
                <w:color w:val="000000"/>
                <w:sz w:val="20"/>
              </w:rPr>
              <w:t xml:space="preserve">Option</w:t>
            </w:r>
          </w:p>
        </w:tc>
        <w:tc>
          <w:tcPr/>
          <w:p>
            <w:pPr>
              <w:pStyle w:val="Compact"/>
              <w:spacing w:after="40"/>
              <w:jc w:val="left"/>
            </w:pPr>
            <w:r>
              <w:rPr>
                <w:b/>
                <w:color w:val="000000"/>
                <w:sz w:val="20"/>
              </w:rPr>
              <w:t xml:space="preserve">Encounters</w:t>
            </w:r>
          </w:p>
        </w:tc>
        <w:tc>
          <w:tcPr/>
          <w:p>
            <w:pPr>
              <w:pStyle w:val="Compact"/>
              <w:spacing w:after="40"/>
              <w:jc w:val="left"/>
            </w:pPr>
            <w:r>
              <w:rPr>
                <w:b/>
                <w:color w:val="000000"/>
                <w:sz w:val="20"/>
              </w:rPr>
              <w:t xml:space="preserve">Readmissions reached</w:t>
            </w:r>
          </w:p>
        </w:tc>
        <w:tc>
          <w:tcPr/>
          <w:p>
            <w:pPr>
              <w:pStyle w:val="Compact"/>
              <w:spacing w:after="40"/>
              <w:jc w:val="left"/>
            </w:pPr>
            <w:r>
              <w:rPr>
                <w:b/>
                <w:color w:val="000000"/>
                <w:sz w:val="20"/>
              </w:rPr>
              <w:t xml:space="preserve">Staff hours</w:t>
            </w:r>
          </w:p>
        </w:tc>
        <w:tc>
          <w:tcPr/>
          <w:p>
            <w:pPr>
              <w:pStyle w:val="Compact"/>
              <w:spacing w:after="40"/>
              <w:jc w:val="left"/>
            </w:pPr>
            <w:r>
              <w:rPr>
                <w:b/>
                <w:color w:val="000000"/>
                <w:sz w:val="20"/>
              </w:rPr>
              <w:t xml:space="preserve">Hours per readmission reached</w:t>
            </w:r>
          </w:p>
        </w:tc>
      </w:tr>
      <w:tr>
        <w:tc>
          <w:tcPr/>
          <w:p>
            <w:pPr>
              <w:pStyle w:val="Compact"/>
              <w:spacing w:after="40"/>
              <w:jc w:val="left"/>
            </w:pPr>
            <w:r>
              <w:rPr>
                <w:color w:val="000000"/>
                <w:sz w:val="20"/>
              </w:rPr>
              <w:t xml:space="preserve">Everyone</w:t>
            </w:r>
          </w:p>
        </w:tc>
        <w:tc>
          <w:tcPr/>
          <w:p>
            <w:pPr>
              <w:pStyle w:val="Compact"/>
              <w:spacing w:after="40"/>
              <w:jc w:val="left"/>
            </w:pPr>
            <w:r>
              <w:rPr>
                <w:color w:val="000000"/>
                <w:sz w:val="20"/>
              </w:rPr>
              <w:t xml:space="preserve">99,343</w:t>
            </w:r>
          </w:p>
        </w:tc>
        <w:tc>
          <w:tcPr/>
          <w:p>
            <w:pPr>
              <w:pStyle w:val="Compact"/>
              <w:spacing w:after="40"/>
              <w:jc w:val="left"/>
            </w:pPr>
            <w:r>
              <w:rPr>
                <w:color w:val="000000"/>
                <w:sz w:val="20"/>
              </w:rPr>
              <w:t xml:space="preserve">100%</w:t>
            </w:r>
          </w:p>
        </w:tc>
        <w:tc>
          <w:tcPr/>
          <w:p>
            <w:pPr>
              <w:pStyle w:val="Compact"/>
              <w:spacing w:after="40"/>
              <w:jc w:val="left"/>
            </w:pPr>
            <w:r>
              <w:rPr>
                <w:color w:val="000000"/>
                <w:sz w:val="20"/>
              </w:rPr>
              <w:t xml:space="preserve">66,229</w:t>
            </w:r>
          </w:p>
        </w:tc>
        <w:tc>
          <w:tcPr/>
          <w:p>
            <w:pPr>
              <w:pStyle w:val="Compact"/>
              <w:spacing w:after="40"/>
              <w:jc w:val="left"/>
            </w:pPr>
            <w:r>
              <w:rPr>
                <w:color w:val="000000"/>
                <w:sz w:val="20"/>
              </w:rPr>
              <w:t xml:space="preserve">5.9</w:t>
            </w:r>
          </w:p>
        </w:tc>
      </w:tr>
      <w:tr>
        <w:tc>
          <w:tcPr/>
          <w:p>
            <w:pPr>
              <w:pStyle w:val="Compact"/>
              <w:spacing w:after="40"/>
              <w:jc w:val="left"/>
            </w:pPr>
            <w:r>
              <w:rPr>
                <w:color w:val="000000"/>
                <w:sz w:val="20"/>
              </w:rPr>
              <w:t xml:space="preserve">1+ prior visits</w:t>
            </w:r>
          </w:p>
        </w:tc>
        <w:tc>
          <w:tcPr/>
          <w:p>
            <w:pPr>
              <w:pStyle w:val="Compact"/>
              <w:spacing w:after="40"/>
              <w:jc w:val="left"/>
            </w:pPr>
            <w:r>
              <w:rPr>
                <w:color w:val="000000"/>
                <w:sz w:val="20"/>
              </w:rPr>
              <w:t xml:space="preserve">33,098</w:t>
            </w:r>
          </w:p>
        </w:tc>
        <w:tc>
          <w:tcPr/>
          <w:p>
            <w:pPr>
              <w:pStyle w:val="Compact"/>
              <w:spacing w:after="40"/>
              <w:jc w:val="left"/>
            </w:pPr>
            <w:r>
              <w:rPr>
                <w:color w:val="000000"/>
                <w:sz w:val="20"/>
              </w:rPr>
              <w:t xml:space="preserve">49.7%</w:t>
            </w:r>
          </w:p>
        </w:tc>
        <w:tc>
          <w:tcPr/>
          <w:p>
            <w:pPr>
              <w:pStyle w:val="Compact"/>
              <w:spacing w:after="40"/>
              <w:jc w:val="left"/>
            </w:pPr>
            <w:r>
              <w:rPr>
                <w:color w:val="000000"/>
                <w:sz w:val="20"/>
              </w:rPr>
              <w:t xml:space="preserve">22,065</w:t>
            </w:r>
          </w:p>
        </w:tc>
        <w:tc>
          <w:tcPr/>
          <w:p>
            <w:pPr>
              <w:pStyle w:val="Compact"/>
              <w:spacing w:after="40"/>
              <w:jc w:val="left"/>
            </w:pPr>
            <w:r>
              <w:rPr>
                <w:color w:val="000000"/>
                <w:sz w:val="20"/>
              </w:rPr>
              <w:t xml:space="preserve">3.9</w:t>
            </w:r>
          </w:p>
        </w:tc>
      </w:tr>
      <w:tr>
        <w:tc>
          <w:tcPr/>
          <w:p>
            <w:pPr>
              <w:pStyle w:val="Compact"/>
              <w:spacing w:after="40"/>
              <w:jc w:val="left"/>
            </w:pPr>
            <w:r>
              <w:rPr>
                <w:bCs/>
                <w:b/>
                <w:color w:val="000000"/>
                <w:sz w:val="20"/>
              </w:rPr>
              <w:t xml:space="preserve">2+ prior visits</w:t>
            </w:r>
          </w:p>
        </w:tc>
        <w:tc>
          <w:tcPr/>
          <w:p>
            <w:pPr>
              <w:pStyle w:val="Compact"/>
              <w:spacing w:after="40"/>
              <w:jc w:val="left"/>
            </w:pPr>
            <w:r>
              <w:rPr>
                <w:bCs/>
                <w:b/>
                <w:color w:val="000000"/>
                <w:sz w:val="20"/>
              </w:rPr>
              <w:t xml:space="preserve">14,114</w:t>
            </w:r>
          </w:p>
        </w:tc>
        <w:tc>
          <w:tcPr/>
          <w:p>
            <w:pPr>
              <w:pStyle w:val="Compact"/>
              <w:spacing w:after="40"/>
              <w:jc w:val="left"/>
            </w:pPr>
            <w:r>
              <w:rPr>
                <w:bCs/>
                <w:b/>
                <w:color w:val="000000"/>
                <w:sz w:val="20"/>
              </w:rPr>
              <w:t xml:space="preserve">27.5%</w:t>
            </w:r>
          </w:p>
        </w:tc>
        <w:tc>
          <w:tcPr/>
          <w:p>
            <w:pPr>
              <w:pStyle w:val="Compact"/>
              <w:spacing w:after="40"/>
              <w:jc w:val="left"/>
            </w:pPr>
            <w:r>
              <w:rPr>
                <w:bCs/>
                <w:b/>
                <w:color w:val="000000"/>
                <w:sz w:val="20"/>
              </w:rPr>
              <w:t xml:space="preserve">9,409</w:t>
            </w:r>
          </w:p>
        </w:tc>
        <w:tc>
          <w:tcPr/>
          <w:p>
            <w:pPr>
              <w:pStyle w:val="Compact"/>
              <w:spacing w:after="40"/>
              <w:jc w:val="left"/>
            </w:pPr>
            <w:r>
              <w:rPr>
                <w:bCs/>
                <w:b/>
                <w:color w:val="000000"/>
                <w:sz w:val="20"/>
              </w:rPr>
              <w:t xml:space="preserve">3.0</w:t>
            </w:r>
          </w:p>
        </w:tc>
      </w:tr>
      <w:tr>
        <w:tc>
          <w:tcPr/>
          <w:p>
            <w:pPr>
              <w:pStyle w:val="Compact"/>
              <w:spacing w:after="40"/>
              <w:jc w:val="left"/>
            </w:pPr>
            <w:r>
              <w:rPr>
                <w:color w:val="000000"/>
                <w:sz w:val="20"/>
              </w:rPr>
              <w:t xml:space="preserve">3+ prior visits</w:t>
            </w:r>
          </w:p>
        </w:tc>
        <w:tc>
          <w:tcPr/>
          <w:p>
            <w:pPr>
              <w:pStyle w:val="Compact"/>
              <w:spacing w:after="40"/>
              <w:jc w:val="left"/>
            </w:pPr>
            <w:r>
              <w:rPr>
                <w:color w:val="000000"/>
                <w:sz w:val="20"/>
              </w:rPr>
              <w:t xml:space="preserve">6,814</w:t>
            </w:r>
          </w:p>
        </w:tc>
        <w:tc>
          <w:tcPr/>
          <w:p>
            <w:pPr>
              <w:pStyle w:val="Compact"/>
              <w:spacing w:after="40"/>
              <w:jc w:val="left"/>
            </w:pPr>
            <w:r>
              <w:rPr>
                <w:color w:val="000000"/>
                <w:sz w:val="20"/>
              </w:rPr>
              <w:t xml:space="preserve">15.9%</w:t>
            </w:r>
          </w:p>
        </w:tc>
        <w:tc>
          <w:tcPr/>
          <w:p>
            <w:pPr>
              <w:pStyle w:val="Compact"/>
              <w:spacing w:after="40"/>
              <w:jc w:val="left"/>
            </w:pPr>
            <w:r>
              <w:rPr>
                <w:color w:val="000000"/>
                <w:sz w:val="20"/>
              </w:rPr>
              <w:t xml:space="preserve">4,543</w:t>
            </w:r>
          </w:p>
        </w:tc>
        <w:tc>
          <w:tcPr/>
          <w:p>
            <w:pPr>
              <w:pStyle w:val="Compact"/>
              <w:spacing w:after="40"/>
              <w:jc w:val="left"/>
            </w:pPr>
            <w:r>
              <w:rPr>
                <w:color w:val="000000"/>
                <w:sz w:val="20"/>
              </w:rPr>
              <w:t xml:space="preserve">2.5</w:t>
            </w:r>
          </w:p>
        </w:tc>
      </w:tr>
    </w:tbl>
    <w:p>
      <w:pPr>
        <w:pStyle w:val="BodyText"/>
        <w:jc w:val="both"/>
      </w:pPr>
      <w:r>
        <w:rPr>
          <w:color w:val="000000"/>
        </w:rPr>
        <w:t xml:space="preserve">Each step up the cutoff makes the team’s time more efficient but reaches fewer readmissions. The 2+ tier needs an estimated 86% fewer contact hours than contacting every encounter. The effect of follow-up on readmissions has not been tested.</w:t>
      </w:r>
    </w:p>
    <w:bookmarkEnd w:id="45"/>
    <w:bookmarkStart w:id="46" w:name="fairness"/>
    <w:p>
      <w:pPr>
        <w:pStyle w:val="Heading3"/>
      </w:pPr>
      <w:r>
        <w:rPr>
          <w:color w:val="000000"/>
        </w:rPr>
        <w:t xml:space="preserve">4.5 Fairness</w:t>
      </w:r>
    </w:p>
    <w:p>
      <w:pPr>
        <w:pStyle w:val="FirstParagraph"/>
        <w:jc w:val="both"/>
      </w:pPr>
      <w:r>
        <w:rPr>
          <w:color w:val="000000"/>
        </w:rPr>
        <w:t xml:space="preserve">The tier uses no demographic fields, but that alone does not make it fair. Prior hospital use can differ between groups because of differences in need and in access to care, so the flag could reach some groups more than others. The share flagged by race and gender was not measured in this analysis. It should be measured on current local data before any pilot, and monitored throughout (see 5.2).</w:t>
      </w:r>
    </w:p>
    <w:bookmarkEnd w:id="46"/>
    <w:bookmarkEnd w:id="47"/>
    <w:bookmarkStart w:id="51" w:name="action-plan"/>
    <w:p>
      <w:pPr>
        <w:pStyle w:val="Heading2"/>
      </w:pPr>
      <w:r>
        <w:rPr>
          <w:color w:val="000000"/>
        </w:rPr>
        <w:t xml:space="preserve">5. Action plan</w:t>
      </w:r>
    </w:p>
    <w:bookmarkStart w:id="48" w:name="prioritised-next-steps"/>
    <w:p>
      <w:pPr>
        <w:pStyle w:val="Heading3"/>
      </w:pPr>
      <w:r>
        <w:rPr>
          <w:color w:val="000000"/>
        </w:rPr>
        <w:t xml:space="preserve">5.1 Prioritised next steps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trPr>
        <w:tc>
          <w:tcPr/>
          <w:p>
            <w:pPr>
              <w:pStyle w:val="Compact"/>
              <w:spacing w:after="40"/>
              <w:jc w:val="left"/>
            </w:pPr>
            <w:r>
              <w:rPr>
                <w:b/>
                <w:color w:val="000000"/>
                <w:sz w:val="20"/>
              </w:rPr>
              <w:t xml:space="preserve">Priority</w:t>
            </w:r>
          </w:p>
        </w:tc>
        <w:tc>
          <w:tcPr/>
          <w:p>
            <w:pPr>
              <w:pStyle w:val="Compact"/>
              <w:spacing w:after="40"/>
              <w:jc w:val="left"/>
            </w:pPr>
            <w:r>
              <w:rPr>
                <w:b/>
                <w:color w:val="000000"/>
                <w:sz w:val="20"/>
              </w:rPr>
              <w:t xml:space="preserve">Action</w:t>
            </w:r>
          </w:p>
        </w:tc>
        <w:tc>
          <w:tcPr/>
          <w:p>
            <w:pPr>
              <w:pStyle w:val="Compact"/>
              <w:spacing w:after="40"/>
              <w:jc w:val="left"/>
            </w:pPr>
            <w:r>
              <w:rPr>
                <w:b/>
                <w:color w:val="000000"/>
                <w:sz w:val="20"/>
              </w:rPr>
              <w:t xml:space="preserve">Owner</w:t>
            </w:r>
          </w:p>
        </w:tc>
        <w:tc>
          <w:tcPr/>
          <w:p>
            <w:pPr>
              <w:pStyle w:val="Compact"/>
              <w:spacing w:after="40"/>
              <w:jc w:val="left"/>
            </w:pPr>
            <w:r>
              <w:rPr>
                <w:b/>
                <w:color w:val="000000"/>
                <w:sz w:val="20"/>
              </w:rPr>
              <w:t xml:space="preserve">Timescale</w:t>
            </w:r>
          </w:p>
        </w:tc>
      </w:tr>
      <w:tr>
        <w:tc>
          <w:tcPr/>
          <w:p>
            <w:pPr>
              <w:pStyle w:val="Compact"/>
              <w:spacing w:after="40"/>
              <w:jc w:val="left"/>
            </w:pPr>
            <w:r>
              <w:rPr>
                <w:color w:val="000000"/>
                <w:sz w:val="20"/>
              </w:rPr>
              <w:t xml:space="preserve">1</w:t>
            </w:r>
          </w:p>
        </w:tc>
        <w:tc>
          <w:tcPr/>
          <w:p>
            <w:pPr>
              <w:pStyle w:val="Compact"/>
              <w:spacing w:after="40"/>
              <w:jc w:val="left"/>
            </w:pPr>
            <w:r>
              <w:rPr>
                <w:color w:val="000000"/>
                <w:sz w:val="20"/>
              </w:rPr>
              <w:t xml:space="preserve">Pilot the 2+ flag on one ward: add</w:t>
            </w:r>
            <w:r>
              <w:rPr>
                <w:color w:val="000000"/>
                <w:sz w:val="20"/>
              </w:rPr>
              <w:t xml:space="preserve"> </w:t>
            </w:r>
            <w:r>
              <w:rPr>
                <w:color w:val="000000"/>
                <w:sz w:val="20"/>
              </w:rPr>
              <w:t xml:space="preserve">“</w:t>
            </w:r>
            <w:r>
              <w:rPr>
                <w:color w:val="000000"/>
                <w:sz w:val="20"/>
              </w:rPr>
              <w:t xml:space="preserve">inpatient stays in the last 12 months</w:t>
            </w:r>
            <w:r>
              <w:rPr>
                <w:color w:val="000000"/>
                <w:sz w:val="20"/>
              </w:rPr>
              <w:t xml:space="preserve">”</w:t>
            </w:r>
            <w:r>
              <w:rPr>
                <w:color w:val="000000"/>
                <w:sz w:val="20"/>
              </w:rPr>
              <w:t xml:space="preserve"> </w:t>
            </w:r>
            <w:r>
              <w:rPr>
                <w:color w:val="000000"/>
                <w:sz w:val="20"/>
              </w:rPr>
              <w:t xml:space="preserve">to the discharge checklist</w:t>
            </w:r>
          </w:p>
        </w:tc>
        <w:tc>
          <w:tcPr/>
          <w:p>
            <w:pPr>
              <w:pStyle w:val="Compact"/>
              <w:spacing w:after="40"/>
              <w:jc w:val="left"/>
            </w:pPr>
            <w:r>
              <w:rPr>
                <w:color w:val="000000"/>
                <w:sz w:val="20"/>
              </w:rPr>
              <w:t xml:space="preserve">Discharge planning</w:t>
            </w:r>
          </w:p>
        </w:tc>
        <w:tc>
          <w:tcPr/>
          <w:p>
            <w:pPr>
              <w:pStyle w:val="Compact"/>
              <w:spacing w:after="40"/>
              <w:jc w:val="left"/>
            </w:pPr>
            <w:r>
              <w:rPr>
                <w:color w:val="000000"/>
                <w:sz w:val="20"/>
              </w:rPr>
              <w:t xml:space="preserve">1 month</w:t>
            </w:r>
          </w:p>
        </w:tc>
      </w:tr>
      <w:tr>
        <w:tc>
          <w:tcPr/>
          <w:p>
            <w:pPr>
              <w:pStyle w:val="Compact"/>
              <w:spacing w:after="40"/>
              <w:jc w:val="left"/>
            </w:pPr>
            <w:r>
              <w:rPr>
                <w:color w:val="000000"/>
                <w:sz w:val="20"/>
              </w:rPr>
              <w:t xml:space="preserve">2</w:t>
            </w:r>
          </w:p>
        </w:tc>
        <w:tc>
          <w:tcPr/>
          <w:p>
            <w:pPr>
              <w:pStyle w:val="Compact"/>
              <w:spacing w:after="40"/>
              <w:jc w:val="left"/>
            </w:pPr>
            <w:r>
              <w:rPr>
                <w:color w:val="000000"/>
                <w:sz w:val="20"/>
              </w:rPr>
              <w:t xml:space="preserve">Give each flagged discharge two follow-up contacts within 30 days</w:t>
            </w:r>
          </w:p>
        </w:tc>
        <w:tc>
          <w:tcPr/>
          <w:p>
            <w:pPr>
              <w:pStyle w:val="Compact"/>
              <w:spacing w:after="40"/>
              <w:jc w:val="left"/>
            </w:pPr>
            <w:r>
              <w:rPr>
                <w:color w:val="000000"/>
                <w:sz w:val="20"/>
              </w:rPr>
              <w:t xml:space="preserve">Care coordination</w:t>
            </w:r>
          </w:p>
        </w:tc>
        <w:tc>
          <w:tcPr/>
          <w:p>
            <w:pPr>
              <w:pStyle w:val="Compact"/>
              <w:spacing w:after="40"/>
              <w:jc w:val="left"/>
            </w:pPr>
            <w:r>
              <w:rPr>
                <w:color w:val="000000"/>
                <w:sz w:val="20"/>
              </w:rPr>
              <w:t xml:space="preserve">During the pilot</w:t>
            </w:r>
          </w:p>
        </w:tc>
      </w:tr>
      <w:tr>
        <w:tc>
          <w:tcPr/>
          <w:p>
            <w:pPr>
              <w:pStyle w:val="Compact"/>
              <w:spacing w:after="40"/>
              <w:jc w:val="left"/>
            </w:pPr>
            <w:r>
              <w:rPr>
                <w:color w:val="000000"/>
                <w:sz w:val="20"/>
              </w:rPr>
              <w:t xml:space="preserve">3</w:t>
            </w:r>
          </w:p>
        </w:tc>
        <w:tc>
          <w:tcPr/>
          <w:p>
            <w:pPr>
              <w:pStyle w:val="Compact"/>
              <w:spacing w:after="40"/>
              <w:jc w:val="left"/>
            </w:pPr>
            <w:r>
              <w:rPr>
                <w:color w:val="000000"/>
                <w:sz w:val="20"/>
              </w:rPr>
              <w:t xml:space="preserve">Break down the combined other-discharge group by code, to see whether discharge destination could become a second prompt</w:t>
            </w:r>
          </w:p>
        </w:tc>
        <w:tc>
          <w:tcPr/>
          <w:p>
            <w:pPr>
              <w:pStyle w:val="Compact"/>
              <w:spacing w:after="40"/>
              <w:jc w:val="left"/>
            </w:pPr>
            <w:r>
              <w:rPr>
                <w:color w:val="000000"/>
                <w:sz w:val="20"/>
              </w:rPr>
              <w:t xml:space="preserve">Population Health analytics</w:t>
            </w:r>
          </w:p>
        </w:tc>
        <w:tc>
          <w:tcPr/>
          <w:p>
            <w:pPr>
              <w:pStyle w:val="Compact"/>
              <w:spacing w:after="40"/>
              <w:jc w:val="left"/>
            </w:pPr>
            <w:r>
              <w:rPr>
                <w:color w:val="000000"/>
                <w:sz w:val="20"/>
              </w:rPr>
              <w:t xml:space="preserve">Before the pilot</w:t>
            </w:r>
          </w:p>
        </w:tc>
      </w:tr>
      <w:tr>
        <w:tc>
          <w:tcPr/>
          <w:p>
            <w:pPr>
              <w:pStyle w:val="Compact"/>
              <w:spacing w:after="40"/>
              <w:jc w:val="left"/>
            </w:pPr>
            <w:r>
              <w:rPr>
                <w:color w:val="000000"/>
                <w:sz w:val="20"/>
              </w:rPr>
              <w:t xml:space="preserve">4</w:t>
            </w:r>
          </w:p>
        </w:tc>
        <w:tc>
          <w:tcPr/>
          <w:p>
            <w:pPr>
              <w:pStyle w:val="Compact"/>
              <w:spacing w:after="40"/>
              <w:jc w:val="left"/>
            </w:pPr>
            <w:r>
              <w:rPr>
                <w:color w:val="000000"/>
                <w:sz w:val="20"/>
              </w:rPr>
              <w:t xml:space="preserve">Compare pilot readmission rates with a similar ward not using the flag</w:t>
            </w:r>
          </w:p>
        </w:tc>
        <w:tc>
          <w:tcPr/>
          <w:p>
            <w:pPr>
              <w:pStyle w:val="Compact"/>
              <w:spacing w:after="40"/>
              <w:jc w:val="left"/>
            </w:pPr>
            <w:r>
              <w:rPr>
                <w:color w:val="000000"/>
                <w:sz w:val="20"/>
              </w:rPr>
              <w:t xml:space="preserve">Population Health analytics</w:t>
            </w:r>
          </w:p>
        </w:tc>
        <w:tc>
          <w:tcPr/>
          <w:p>
            <w:pPr>
              <w:pStyle w:val="Compact"/>
              <w:spacing w:after="40"/>
              <w:jc w:val="left"/>
            </w:pPr>
            <w:r>
              <w:rPr>
                <w:color w:val="000000"/>
                <w:sz w:val="20"/>
              </w:rPr>
              <w:t xml:space="preserve">3 months</w:t>
            </w:r>
          </w:p>
        </w:tc>
      </w:tr>
      <w:tr>
        <w:tc>
          <w:tcPr/>
          <w:p>
            <w:pPr>
              <w:pStyle w:val="Compact"/>
              <w:spacing w:after="40"/>
              <w:jc w:val="left"/>
            </w:pPr>
            <w:r>
              <w:rPr>
                <w:color w:val="000000"/>
                <w:sz w:val="20"/>
              </w:rPr>
              <w:t xml:space="preserve">5</w:t>
            </w:r>
          </w:p>
        </w:tc>
        <w:tc>
          <w:tcPr/>
          <w:p>
            <w:pPr>
              <w:pStyle w:val="Compact"/>
              <w:spacing w:after="40"/>
              <w:jc w:val="left"/>
            </w:pPr>
            <w:r>
              <w:rPr>
                <w:color w:val="000000"/>
                <w:sz w:val="20"/>
              </w:rPr>
              <w:t xml:space="preserve">Roll out more widely, or move to the 1+ or 3+ option, depending on results and capacity</w:t>
            </w:r>
          </w:p>
        </w:tc>
        <w:tc>
          <w:tcPr/>
          <w:p>
            <w:pPr>
              <w:pStyle w:val="Compact"/>
              <w:spacing w:after="40"/>
              <w:jc w:val="left"/>
            </w:pPr>
            <w:r>
              <w:rPr>
                <w:color w:val="000000"/>
                <w:sz w:val="20"/>
              </w:rPr>
              <w:t xml:space="preserve">VP of Population Health</w:t>
            </w:r>
          </w:p>
        </w:tc>
        <w:tc>
          <w:tcPr/>
          <w:p>
            <w:pPr>
              <w:pStyle w:val="Compact"/>
              <w:spacing w:after="40"/>
              <w:jc w:val="left"/>
            </w:pPr>
            <w:r>
              <w:rPr>
                <w:color w:val="000000"/>
                <w:sz w:val="20"/>
              </w:rPr>
              <w:t xml:space="preserve">6 months</w:t>
            </w:r>
          </w:p>
        </w:tc>
      </w:tr>
    </w:tbl>
    <w:bookmarkEnd w:id="48"/>
    <w:bookmarkStart w:id="49" w:name="monitoring-plan"/>
    <w:p>
      <w:pPr>
        <w:pStyle w:val="Heading3"/>
      </w:pPr>
      <w:r>
        <w:rPr>
          <w:color w:val="000000"/>
        </w:rPr>
        <w:t xml:space="preserve">5.2 Monitoring plan</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trPr>
        <w:tc>
          <w:tcPr/>
          <w:p>
            <w:pPr>
              <w:pStyle w:val="Compact"/>
              <w:spacing w:after="40"/>
              <w:jc w:val="left"/>
            </w:pPr>
            <w:r>
              <w:rPr>
                <w:b/>
                <w:color w:val="000000"/>
                <w:sz w:val="20"/>
              </w:rPr>
              <w:t xml:space="preserve">What to track</w:t>
            </w:r>
          </w:p>
        </w:tc>
        <w:tc>
          <w:tcPr/>
          <w:p>
            <w:pPr>
              <w:pStyle w:val="Compact"/>
              <w:spacing w:after="40"/>
              <w:jc w:val="left"/>
            </w:pPr>
            <w:r>
              <w:rPr>
                <w:b/>
                <w:color w:val="000000"/>
                <w:sz w:val="20"/>
              </w:rPr>
              <w:t xml:space="preserve">How often</w:t>
            </w:r>
          </w:p>
        </w:tc>
        <w:tc>
          <w:tcPr/>
          <w:p>
            <w:pPr>
              <w:pStyle w:val="Compact"/>
              <w:spacing w:after="40"/>
              <w:jc w:val="left"/>
            </w:pPr>
            <w:r>
              <w:rPr>
                <w:b/>
                <w:color w:val="000000"/>
                <w:sz w:val="20"/>
              </w:rPr>
              <w:t xml:space="preserve">Warning sign</w:t>
            </w:r>
          </w:p>
        </w:tc>
      </w:tr>
      <w:tr>
        <w:tc>
          <w:tcPr/>
          <w:p>
            <w:pPr>
              <w:pStyle w:val="Compact"/>
              <w:spacing w:after="40"/>
              <w:jc w:val="left"/>
            </w:pPr>
            <w:r>
              <w:rPr>
                <w:color w:val="000000"/>
                <w:sz w:val="20"/>
              </w:rPr>
              <w:t xml:space="preserve">Share of discharges flagged</w:t>
            </w:r>
          </w:p>
        </w:tc>
        <w:tc>
          <w:tcPr/>
          <w:p>
            <w:pPr>
              <w:pStyle w:val="Compact"/>
              <w:spacing w:after="40"/>
              <w:jc w:val="left"/>
            </w:pPr>
            <w:r>
              <w:rPr>
                <w:color w:val="000000"/>
                <w:sz w:val="20"/>
              </w:rPr>
              <w:t xml:space="preserve">Monthly</w:t>
            </w:r>
          </w:p>
        </w:tc>
        <w:tc>
          <w:tcPr/>
          <w:p>
            <w:pPr>
              <w:pStyle w:val="Compact"/>
              <w:spacing w:after="40"/>
              <w:jc w:val="left"/>
            </w:pPr>
            <w:r>
              <w:rPr>
                <w:color w:val="000000"/>
                <w:sz w:val="20"/>
              </w:rPr>
              <w:t xml:space="preserve">Far from about 14%</w:t>
            </w:r>
          </w:p>
        </w:tc>
      </w:tr>
      <w:tr>
        <w:tc>
          <w:tcPr/>
          <w:p>
            <w:pPr>
              <w:pStyle w:val="Compact"/>
              <w:spacing w:after="40"/>
              <w:jc w:val="left"/>
            </w:pPr>
            <w:r>
              <w:rPr>
                <w:color w:val="000000"/>
                <w:sz w:val="20"/>
              </w:rPr>
              <w:t xml:space="preserve">Tier rate vs rest</w:t>
            </w:r>
          </w:p>
        </w:tc>
        <w:tc>
          <w:tcPr/>
          <w:p>
            <w:pPr>
              <w:pStyle w:val="Compact"/>
              <w:spacing w:after="40"/>
              <w:jc w:val="left"/>
            </w:pPr>
            <w:r>
              <w:rPr>
                <w:color w:val="000000"/>
                <w:sz w:val="20"/>
              </w:rPr>
              <w:t xml:space="preserve">Quarterly</w:t>
            </w:r>
          </w:p>
        </w:tc>
        <w:tc>
          <w:tcPr/>
          <w:p>
            <w:pPr>
              <w:pStyle w:val="Compact"/>
              <w:spacing w:after="40"/>
              <w:jc w:val="left"/>
            </w:pPr>
            <w:r>
              <w:rPr>
                <w:color w:val="000000"/>
                <w:sz w:val="20"/>
              </w:rPr>
              <w:t xml:space="preserve">Ratio falls well below 2</w:t>
            </w:r>
          </w:p>
        </w:tc>
      </w:tr>
      <w:tr>
        <w:tc>
          <w:tcPr/>
          <w:p>
            <w:pPr>
              <w:pStyle w:val="Compact"/>
              <w:spacing w:after="40"/>
              <w:jc w:val="left"/>
            </w:pPr>
            <w:r>
              <w:rPr>
                <w:color w:val="000000"/>
                <w:sz w:val="20"/>
              </w:rPr>
              <w:t xml:space="preserve">Readmissions reached and staff hours used</w:t>
            </w:r>
          </w:p>
        </w:tc>
        <w:tc>
          <w:tcPr/>
          <w:p>
            <w:pPr>
              <w:pStyle w:val="Compact"/>
              <w:spacing w:after="40"/>
              <w:jc w:val="left"/>
            </w:pPr>
            <w:r>
              <w:rPr>
                <w:color w:val="000000"/>
                <w:sz w:val="20"/>
              </w:rPr>
              <w:t xml:space="preserve">Monthly</w:t>
            </w:r>
          </w:p>
        </w:tc>
        <w:tc>
          <w:tcPr/>
          <w:p>
            <w:pPr>
              <w:pStyle w:val="Compact"/>
              <w:spacing w:after="40"/>
              <w:jc w:val="left"/>
            </w:pPr>
            <w:r>
              <w:rPr>
                <w:color w:val="000000"/>
                <w:sz w:val="20"/>
              </w:rPr>
              <w:t xml:space="preserve">Hours per readmission reached rises above 3.0</w:t>
            </w:r>
          </w:p>
        </w:tc>
      </w:tr>
      <w:tr>
        <w:tc>
          <w:tcPr/>
          <w:p>
            <w:pPr>
              <w:pStyle w:val="Compact"/>
              <w:spacing w:after="40"/>
              <w:jc w:val="left"/>
            </w:pPr>
            <w:r>
              <w:rPr>
                <w:color w:val="000000"/>
                <w:sz w:val="20"/>
              </w:rPr>
              <w:t xml:space="preserve">Share flagged by race and gender</w:t>
            </w:r>
          </w:p>
        </w:tc>
        <w:tc>
          <w:tcPr/>
          <w:p>
            <w:pPr>
              <w:pStyle w:val="Compact"/>
              <w:spacing w:after="40"/>
              <w:jc w:val="left"/>
            </w:pPr>
            <w:r>
              <w:rPr>
                <w:color w:val="000000"/>
                <w:sz w:val="20"/>
              </w:rPr>
              <w:t xml:space="preserve">Quarterly</w:t>
            </w:r>
          </w:p>
        </w:tc>
        <w:tc>
          <w:tcPr/>
          <w:p>
            <w:pPr>
              <w:pStyle w:val="Compact"/>
              <w:spacing w:after="40"/>
              <w:jc w:val="left"/>
            </w:pPr>
            <w:r>
              <w:rPr>
                <w:color w:val="000000"/>
                <w:sz w:val="20"/>
              </w:rPr>
              <w:t xml:space="preserve">Gaps widen, or flagged groups do not see better outcomes</w:t>
            </w:r>
          </w:p>
        </w:tc>
      </w:tr>
      <w:tr>
        <w:tc>
          <w:tcPr/>
          <w:p>
            <w:pPr>
              <w:pStyle w:val="Compact"/>
              <w:spacing w:after="40"/>
              <w:jc w:val="left"/>
            </w:pPr>
            <w:r>
              <w:rPr>
                <w:color w:val="000000"/>
                <w:sz w:val="20"/>
              </w:rPr>
              <w:t xml:space="preserve">Contacts actually completed</w:t>
            </w:r>
          </w:p>
        </w:tc>
        <w:tc>
          <w:tcPr/>
          <w:p>
            <w:pPr>
              <w:pStyle w:val="Compact"/>
              <w:spacing w:after="40"/>
              <w:jc w:val="left"/>
            </w:pPr>
            <w:r>
              <w:rPr>
                <w:color w:val="000000"/>
                <w:sz w:val="20"/>
              </w:rPr>
              <w:t xml:space="preserve">Monthly</w:t>
            </w:r>
          </w:p>
        </w:tc>
        <w:tc>
          <w:tcPr/>
          <w:p>
            <w:pPr>
              <w:pStyle w:val="Compact"/>
              <w:spacing w:after="40"/>
              <w:jc w:val="left"/>
            </w:pPr>
            <w:r>
              <w:rPr>
                <w:color w:val="000000"/>
                <w:sz w:val="20"/>
              </w:rPr>
              <w:t xml:space="preserve">Below 80% of flagged discharges</w:t>
            </w:r>
          </w:p>
        </w:tc>
      </w:tr>
    </w:tbl>
    <w:bookmarkEnd w:id="49"/>
    <w:bookmarkStart w:id="50" w:name="risks"/>
    <w:p>
      <w:pPr>
        <w:pStyle w:val="Heading3"/>
      </w:pPr>
      <w:r>
        <w:rPr>
          <w:color w:val="000000"/>
        </w:rPr>
        <w:t xml:space="preserve">5.3 Risks</w:t>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960"/>
        <w:gridCol w:w="3960"/>
      </w:tblGrid>
      <w:tr>
        <w:trPr>
          <w:tblHeader w:val="true"/>
        </w:trPr>
        <w:tc>
          <w:tcPr/>
          <w:p>
            <w:pPr>
              <w:pStyle w:val="Compact"/>
              <w:spacing w:after="40"/>
              <w:jc w:val="left"/>
            </w:pPr>
            <w:r>
              <w:rPr>
                <w:b/>
                <w:color w:val="000000"/>
                <w:sz w:val="20"/>
              </w:rPr>
              <w:t xml:space="preserve">Risk</w:t>
            </w:r>
          </w:p>
        </w:tc>
        <w:tc>
          <w:tcPr/>
          <w:p>
            <w:pPr>
              <w:pStyle w:val="Compact"/>
              <w:spacing w:after="40"/>
              <w:jc w:val="left"/>
            </w:pPr>
            <w:r>
              <w:rPr>
                <w:b/>
                <w:color w:val="000000"/>
                <w:sz w:val="20"/>
              </w:rPr>
              <w:t xml:space="preserve">Mitigation</w:t>
            </w:r>
          </w:p>
        </w:tc>
      </w:tr>
      <w:tr>
        <w:tc>
          <w:tcPr/>
          <w:p>
            <w:pPr>
              <w:pStyle w:val="Compact"/>
              <w:spacing w:after="40"/>
              <w:jc w:val="left"/>
            </w:pPr>
            <w:r>
              <w:rPr>
                <w:color w:val="000000"/>
                <w:sz w:val="20"/>
              </w:rPr>
              <w:t xml:space="preserve">Patterns from 1999 to 2008 no longer hold</w:t>
            </w:r>
          </w:p>
        </w:tc>
        <w:tc>
          <w:tcPr/>
          <w:p>
            <w:pPr>
              <w:pStyle w:val="Compact"/>
              <w:spacing w:after="40"/>
              <w:jc w:val="left"/>
            </w:pPr>
            <w:r>
              <w:rPr>
                <w:color w:val="000000"/>
                <w:sz w:val="20"/>
              </w:rPr>
              <w:t xml:space="preserve">Re-run the analysis on current local data before rollout</w:t>
            </w:r>
          </w:p>
        </w:tc>
      </w:tr>
      <w:tr>
        <w:tc>
          <w:tcPr/>
          <w:p>
            <w:pPr>
              <w:pStyle w:val="Compact"/>
              <w:spacing w:after="40"/>
              <w:jc w:val="left"/>
            </w:pPr>
            <w:r>
              <w:rPr>
                <w:color w:val="000000"/>
                <w:sz w:val="20"/>
              </w:rPr>
              <w:t xml:space="preserve">The flag misses 72.5% of readmissions</w:t>
            </w:r>
          </w:p>
        </w:tc>
        <w:tc>
          <w:tcPr/>
          <w:p>
            <w:pPr>
              <w:pStyle w:val="Compact"/>
              <w:spacing w:after="40"/>
              <w:jc w:val="left"/>
            </w:pPr>
            <w:r>
              <w:rPr>
                <w:color w:val="000000"/>
                <w:sz w:val="20"/>
              </w:rPr>
              <w:t xml:space="preserve">Keep clinical judgement in the loop; staff can refer unflagged patients</w:t>
            </w:r>
          </w:p>
        </w:tc>
      </w:tr>
      <w:tr>
        <w:tc>
          <w:tcPr/>
          <w:p>
            <w:pPr>
              <w:pStyle w:val="Compact"/>
              <w:spacing w:after="40"/>
              <w:jc w:val="left"/>
            </w:pPr>
            <w:r>
              <w:rPr>
                <w:color w:val="000000"/>
                <w:sz w:val="20"/>
              </w:rPr>
              <w:t xml:space="preserve">Staff treat the flag as a diagnosis</w:t>
            </w:r>
          </w:p>
        </w:tc>
        <w:tc>
          <w:tcPr/>
          <w:p>
            <w:pPr>
              <w:pStyle w:val="Compact"/>
              <w:spacing w:after="40"/>
              <w:jc w:val="left"/>
            </w:pPr>
            <w:r>
              <w:rPr>
                <w:color w:val="000000"/>
                <w:sz w:val="20"/>
              </w:rPr>
              <w:t xml:space="preserve">Train staff that it prioritises follow-up only</w:t>
            </w:r>
          </w:p>
        </w:tc>
      </w:tr>
      <w:tr>
        <w:tc>
          <w:tcPr/>
          <w:p>
            <w:pPr>
              <w:pStyle w:val="Compact"/>
              <w:spacing w:after="40"/>
              <w:jc w:val="left"/>
            </w:pPr>
            <w:r>
              <w:rPr>
                <w:color w:val="000000"/>
                <w:sz w:val="20"/>
              </w:rPr>
              <w:t xml:space="preserve">Unequal flagging by group</w:t>
            </w:r>
          </w:p>
        </w:tc>
        <w:tc>
          <w:tcPr/>
          <w:p>
            <w:pPr>
              <w:pStyle w:val="Compact"/>
              <w:spacing w:after="40"/>
              <w:jc w:val="left"/>
            </w:pPr>
            <w:r>
              <w:rPr>
                <w:color w:val="000000"/>
                <w:sz w:val="20"/>
              </w:rPr>
              <w:t xml:space="preserve">Monitor quarterly and review the rule if gaps widen</w:t>
            </w:r>
          </w:p>
        </w:tc>
      </w:tr>
      <w:tr>
        <w:tc>
          <w:tcPr/>
          <w:p>
            <w:pPr>
              <w:pStyle w:val="Compact"/>
              <w:spacing w:after="40"/>
              <w:jc w:val="left"/>
            </w:pPr>
            <w:r>
              <w:rPr>
                <w:color w:val="000000"/>
                <w:sz w:val="20"/>
              </w:rPr>
              <w:t xml:space="preserve">Capacity is lower than assumed</w:t>
            </w:r>
          </w:p>
        </w:tc>
        <w:tc>
          <w:tcPr/>
          <w:p>
            <w:pPr>
              <w:pStyle w:val="Compact"/>
              <w:spacing w:after="40"/>
              <w:jc w:val="left"/>
            </w:pPr>
            <w:r>
              <w:rPr>
                <w:color w:val="000000"/>
                <w:sz w:val="20"/>
              </w:rPr>
              <w:t xml:space="preserve">Use the Workload page to switch to the 3+ option</w:t>
            </w:r>
          </w:p>
        </w:tc>
      </w:tr>
    </w:tbl>
    <w:bookmarkEnd w:id="50"/>
    <w:bookmarkEnd w:id="51"/>
    <w:bookmarkStart w:id="52" w:name="ethics-and-privacy"/>
    <w:p>
      <w:pPr>
        <w:pStyle w:val="Heading2"/>
      </w:pPr>
      <w:r>
        <w:rPr>
          <w:color w:val="000000"/>
        </w:rPr>
        <w:t xml:space="preserve">6. Ethics and privacy</w:t>
      </w:r>
    </w:p>
    <w:p>
      <w:pPr>
        <w:numPr>
          <w:ilvl w:val="0"/>
          <w:numId w:val="1004"/>
        </w:numPr>
        <w:pStyle w:val="Compact"/>
        <w:jc w:val="both"/>
      </w:pPr>
      <w:r>
        <w:rPr>
          <w:bCs/>
          <w:b/>
          <w:color w:val="000000"/>
        </w:rPr>
        <w:t xml:space="preserve">De-identified data.</w:t>
      </w:r>
      <w:r>
        <w:rPr>
          <w:color w:val="000000"/>
        </w:rPr>
        <w:t xml:space="preserve"> </w:t>
      </w:r>
      <w:r>
        <w:rPr>
          <w:color w:val="000000"/>
        </w:rPr>
        <w:t xml:space="preserve">The dataset contains no names, addresses or dates. Patient and encounter IDs are anonymised numbers.</w:t>
      </w:r>
    </w:p>
    <w:p>
      <w:pPr>
        <w:numPr>
          <w:ilvl w:val="0"/>
          <w:numId w:val="1004"/>
        </w:numPr>
        <w:pStyle w:val="Compact"/>
        <w:jc w:val="both"/>
      </w:pPr>
      <w:r>
        <w:rPr>
          <w:bCs/>
          <w:b/>
          <w:color w:val="000000"/>
        </w:rPr>
        <w:t xml:space="preserve">Licence.</w:t>
      </w:r>
      <w:r>
        <w:rPr>
          <w:color w:val="000000"/>
        </w:rPr>
        <w:t xml:space="preserve"> </w:t>
      </w:r>
      <w:r>
        <w:rPr>
          <w:color w:val="000000"/>
        </w:rPr>
        <w:t xml:space="preserve">Used under CC BY 4.0, with the source cited.</w:t>
      </w:r>
    </w:p>
    <w:p>
      <w:pPr>
        <w:numPr>
          <w:ilvl w:val="0"/>
          <w:numId w:val="1004"/>
        </w:numPr>
        <w:pStyle w:val="Compact"/>
        <w:jc w:val="both"/>
      </w:pPr>
      <w:r>
        <w:rPr>
          <w:bCs/>
          <w:b/>
          <w:color w:val="000000"/>
        </w:rPr>
        <w:t xml:space="preserve">Purpose limitation.</w:t>
      </w:r>
      <w:r>
        <w:rPr>
          <w:color w:val="000000"/>
        </w:rPr>
        <w:t xml:space="preserve"> </w:t>
      </w:r>
      <w:r>
        <w:rPr>
          <w:color w:val="000000"/>
        </w:rPr>
        <w:t xml:space="preserve">The flag is for prioritising support, never for denying care or for decisions about individuals without clinical review.</w:t>
      </w:r>
    </w:p>
    <w:p>
      <w:pPr>
        <w:numPr>
          <w:ilvl w:val="0"/>
          <w:numId w:val="1004"/>
        </w:numPr>
        <w:pStyle w:val="Compact"/>
        <w:jc w:val="both"/>
      </w:pPr>
      <w:r>
        <w:rPr>
          <w:bCs/>
          <w:b/>
          <w:color w:val="000000"/>
        </w:rPr>
        <w:t xml:space="preserve">Fairness.</w:t>
      </w:r>
      <w:r>
        <w:rPr>
          <w:color w:val="000000"/>
        </w:rPr>
        <w:t xml:space="preserve"> </w:t>
      </w:r>
      <w:r>
        <w:rPr>
          <w:color w:val="000000"/>
        </w:rPr>
        <w:t xml:space="preserve">The tier uses only prior hospital use, not race or gender, but its effects may still differ by group, so measurement and monitoring are built into the plan.</w:t>
      </w:r>
    </w:p>
    <w:p>
      <w:pPr>
        <w:numPr>
          <w:ilvl w:val="0"/>
          <w:numId w:val="1004"/>
        </w:numPr>
        <w:pStyle w:val="Compact"/>
        <w:jc w:val="both"/>
      </w:pPr>
      <w:r>
        <w:rPr>
          <w:bCs/>
          <w:b/>
          <w:color w:val="000000"/>
        </w:rPr>
        <w:t xml:space="preserve">Transparency.</w:t>
      </w:r>
      <w:r>
        <w:rPr>
          <w:color w:val="000000"/>
        </w:rPr>
        <w:t xml:space="preserve"> </w:t>
      </w:r>
      <w:r>
        <w:rPr>
          <w:color w:val="000000"/>
        </w:rPr>
        <w:t xml:space="preserve">The rule is one line, the code is public in this repository, and anyone can check why a patient was flagged.</w:t>
      </w:r>
    </w:p>
    <w:p>
      <w:pPr>
        <w:numPr>
          <w:ilvl w:val="0"/>
          <w:numId w:val="1004"/>
        </w:numPr>
        <w:pStyle w:val="Compact"/>
        <w:jc w:val="both"/>
      </w:pPr>
      <w:r>
        <w:rPr>
          <w:bCs/>
          <w:b/>
          <w:color w:val="000000"/>
        </w:rPr>
        <w:t xml:space="preserve">Real-world use.</w:t>
      </w:r>
      <w:r>
        <w:rPr>
          <w:color w:val="000000"/>
        </w:rPr>
        <w:t xml:space="preserve"> </w:t>
      </w:r>
      <w:r>
        <w:rPr>
          <w:color w:val="000000"/>
        </w:rPr>
        <w:t xml:space="preserve">Applying this to real patient data would need a data protection impact assessment, information governance approval and local clinical validation.</w:t>
      </w:r>
    </w:p>
    <w:bookmarkEnd w:id="52"/>
    <w:bookmarkStart w:id="53" w:name="conclusion"/>
    <w:p>
      <w:pPr>
        <w:pStyle w:val="Heading2"/>
      </w:pPr>
      <w:r>
        <w:rPr>
          <w:color w:val="000000"/>
        </w:rPr>
        <w:t xml:space="preserve">7. Conclusion</w:t>
      </w:r>
    </w:p>
    <w:p>
      <w:pPr>
        <w:pStyle w:val="FirstParagraph"/>
        <w:jc w:val="both"/>
      </w:pPr>
      <w:r>
        <w:rPr>
          <w:color w:val="000000"/>
        </w:rPr>
        <w:t xml:space="preserve">Diabetic readmissions in this data cluster among patients who have already been in hospital. A simple rule, two or more inpatient stays in the past year, picks out about one encounter in seven at more than twice the rate of encounters outside the flagged group, and would let a care-coordination team reach over a quarter of readmissions for about a seventh of the contact hours. The next step is to test it on current local data with a small pilot, measure the effect, and keep a close eye on fairness.</w:t>
      </w:r>
    </w:p>
    <w:p>
      <w:pPr>
        <w:pStyle w:val="BodyText"/>
        <w:jc w:val="both"/>
      </w:pPr>
      <w:r>
        <w:rPr>
          <w:bCs/>
          <w:b/>
          <w:color w:val="000000"/>
        </w:rPr>
        <w:t xml:space="preserve">Repository:</w:t>
      </w:r>
      <w:r>
        <w:rPr>
          <w:color w:val="000000"/>
        </w:rPr>
        <w:t xml:space="preserve"> </w:t>
      </w:r>
      <w:r>
        <w:rPr>
          <w:color w:val="000000"/>
        </w:rPr>
        <w:t xml:space="preserve">dashboard (</w:t>
      </w:r>
      <w:r>
        <w:rPr>
          <w:rStyle w:val="VerbatimChar"/>
          <w:color w:val="000000"/>
        </w:rPr>
        <w:t xml:space="preserve">PowerBi/</w:t>
      </w:r>
      <w:r>
        <w:rPr>
          <w:color w:val="000000"/>
        </w:rPr>
        <w:t xml:space="preserve">), SQL (</w:t>
      </w:r>
      <w:r>
        <w:rPr>
          <w:rStyle w:val="VerbatimChar"/>
          <w:color w:val="000000"/>
        </w:rPr>
        <w:t xml:space="preserve">sql/</w:t>
      </w:r>
      <w:r>
        <w:rPr>
          <w:color w:val="000000"/>
        </w:rPr>
        <w:t xml:space="preserve">), data dictionary, cleaning log and EDA report (</w:t>
      </w:r>
      <w:r>
        <w:rPr>
          <w:rStyle w:val="VerbatimChar"/>
          <w:color w:val="000000"/>
        </w:rPr>
        <w:t xml:space="preserve">docs/</w:t>
      </w:r>
      <w:r>
        <w:rPr>
          <w:color w:val="000000"/>
        </w:rPr>
        <w:t xml:space="preserve">).</w:t>
      </w:r>
    </w:p>
    <w:bookmarkEnd w:id="53"/>
    <w:bookmarkEnd w:id="54"/>
    <w:sectPr>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color w:val="000000"/>
      <w:sz w:val="22"/>
    </w:rPr>
  </w:style>
  <w:style w:styleId="BodyText" w:type="paragraph">
    <w:name w:val="Body Text"/>
    <w:basedOn w:val="Normal"/>
    <w:link w:val="BodyTextChar"/>
    <w:pPr>
      <w:spacing w:after="180" w:before="180"/>
    </w:pPr>
    <w:qFormat/>
    <w:rPr>
      <w:rFonts w:ascii="Calibri" w:hAnsi="Calibri" w:cs="Calibri" w:eastAsia="Calibri"/>
      <w:color w:val="000000"/>
      <w:sz w:val="22"/>
    </w:rPr>
  </w:style>
  <w:style w:customStyle="1" w:styleId="FirstParagraph" w:type="paragraph">
    <w:name w:val="First Paragraph"/>
    <w:basedOn w:val="BodyText"/>
    <w:next w:val="BodyText"/>
    <w:qFormat/>
    <w:rPr>
      <w:rFonts w:ascii="Calibri" w:hAnsi="Calibri" w:cs="Calibri" w:eastAsia="Calibri"/>
      <w:color w:val="000000"/>
      <w:sz w:val="22"/>
    </w:rPr>
  </w:style>
  <w:style w:customStyle="1" w:styleId="Compact" w:type="paragraph">
    <w:name w:val="Compact"/>
    <w:basedOn w:val="BodyText"/>
    <w:qFormat/>
    <w:pPr>
      <w:spacing w:after="36" w:before="36"/>
    </w:pPr>
    <w:rPr>
      <w:rFonts w:ascii="Calibri" w:hAnsi="Calibri" w:cs="Calibri" w:eastAsia="Calibri"/>
      <w:color w:val="00000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val="000000"/>
      <w:sz w:val="44"/>
      <w:szCs w:val="36"/>
    </w:rPr>
  </w:style>
  <w:style w:styleId="Subtitle" w:type="paragraph">
    <w:name w:val="Subtitle"/>
    <w:basedOn w:val="Title"/>
    <w:next w:val="BodyText"/>
    <w:qFormat/>
    <w:pPr>
      <w:keepNext/>
      <w:keepLines/>
      <w:spacing w:after="240" w:before="240"/>
      <w:jc w:val="center"/>
    </w:pPr>
    <w:rPr>
      <w:rFonts w:ascii="Calibri" w:hAnsi="Calibri" w:cs="Calibri" w:eastAsia="Calibri"/>
      <w:color w:val="000000"/>
      <w:sz w:val="30"/>
      <w:szCs w:val="30"/>
    </w:rPr>
  </w:style>
  <w:style w:customStyle="1" w:styleId="Author" w:type="paragraph">
    <w:name w:val="Author"/>
    <w:next w:val="BodyText"/>
    <w:qFormat/>
    <w:pPr>
      <w:keepNext/>
      <w:keepLines/>
      <w:jc w:val="center"/>
    </w:pPr>
    <w:rPr>
      <w:rFonts w:ascii="Calibri" w:hAnsi="Calibri" w:cs="Calibri" w:eastAsia="Calibri"/>
      <w:color w:val="000000"/>
    </w:rPr>
  </w:style>
  <w:style w:styleId="Date" w:type="paragraph">
    <w:name w:val="Date"/>
    <w:next w:val="BodyText"/>
    <w:qFormat/>
    <w:pPr>
      <w:keepNext/>
      <w:keepLines/>
      <w:jc w:val="center"/>
    </w:pPr>
    <w:rPr>
      <w:rFonts w:ascii="Calibri" w:hAnsi="Calibri" w:cs="Calibri" w:eastAsia="Calibri"/>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Calibri" w:hAnsi="Calibri" w:cs="Calibri" w:eastAsia="Calibri"/>
      <w:b/>
    </w:rPr>
  </w:style>
  <w:style w:customStyle="1" w:styleId="Abstract" w:type="paragraph">
    <w:name w:val="Abstract"/>
    <w:basedOn w:val="Normal"/>
    <w:next w:val="BodyText"/>
    <w:qFormat/>
    <w:pPr>
      <w:keepNext/>
      <w:keepLines/>
      <w:spacing w:after="300" w:before="100"/>
    </w:pPr>
    <w:rPr>
      <w:rFonts w:ascii="Calibri" w:hAnsi="Calibri" w:cs="Calibri" w:eastAsia="Calibri"/>
      <w:color w:val="000000"/>
      <w:sz w:val="20"/>
      <w:szCs w:val="20"/>
    </w:rPr>
  </w:style>
  <w:style w:styleId="Bibliography" w:type="paragraph">
    <w:name w:val="Bibliography"/>
    <w:basedOn w:val="Normal"/>
    <w:next w:val="Bibliography"/>
    <w:qFormat/>
    <w:pPr/>
    <w:rPr>
      <w:rFonts w:ascii="Calibri" w:hAnsi="Calibri" w:cs="Calibri" w:eastAsia="Calibri"/>
      <w:color w:val="000000"/>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Calibri" w:hAnsi="Calibri" w:cs="Calibri" w:eastAsia="Calibr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Calibri" w:hAnsi="Calibri" w:cs="Calibri" w:eastAsia="Calibr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Calibri" w:hAnsi="Calibri" w:cs="Calibri" w:eastAsia="Calibr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Calibri" w:hAnsi="Calibri" w:cs="Calibri" w:eastAsia="Calibr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Calibri" w:hAnsi="Calibri" w:cs="Calibri" w:eastAsia="Calibr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Calibri" w:hAnsi="Calibri" w:cs="Calibri" w:eastAsia="Calibr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Calibri" w:hAnsi="Calibri" w:cs="Calibri" w:eastAsia="Calibr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Calibri" w:hAnsi="Calibri" w:cs="Calibri" w:eastAsia="Calibr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Calibri" w:hAnsi="Calibri" w:cs="Calibri" w:eastAsia="Calibri"/>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cs="Calibri" w:eastAsia="Calibri"/>
      <w:color w:val="000000"/>
    </w:rPr>
  </w:style>
  <w:style w:styleId="FootnoteText" w:type="paragraph">
    <w:name w:val="Footnote Text"/>
    <w:basedOn w:val="Normal"/>
    <w:next w:val="FootnoteText"/>
    <w:uiPriority w:val="9"/>
    <w:unhideWhenUsed/>
    <w:qFormat/>
    <w:rPr>
      <w:rFonts w:ascii="Calibri" w:hAnsi="Calibri" w:cs="Calibri" w:eastAsia="Calibri"/>
      <w:color w:val="000000"/>
    </w:rPr>
  </w:style>
  <w:style w:default="1" w:styleId="DefaultParagraphFont" w:type="character">
    <w:name w:val="Default Paragraph Font"/>
    <w:semiHidden/>
    <w:unhideWhenUsed/>
    <w:rPr>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Calibri" w:hAnsi="Calibri" w:cs="Calibri" w:eastAsia="Calibri"/>
      <w:b/>
      <w:color w:val="000000"/>
    </w:rPr>
  </w:style>
  <w:style w:customStyle="1" w:styleId="Definition" w:type="paragraph">
    <w:name w:val="Definition"/>
    <w:basedOn w:val="Normal"/>
    <w:rPr>
      <w:rFonts w:ascii="Calibri" w:hAnsi="Calibri" w:cs="Calibri" w:eastAsia="Calibri"/>
      <w:color w:val="000000"/>
    </w:rPr>
  </w:style>
  <w:style w:styleId="Caption" w:type="paragraph">
    <w:name w:val="Caption"/>
    <w:basedOn w:val="Normal"/>
    <w:link w:val="BodyTextChar"/>
    <w:pPr>
      <w:spacing w:after="120" w:before="0"/>
    </w:pPr>
    <w:rPr>
      <w:rFonts w:ascii="Calibri" w:hAnsi="Calibri" w:cs="Calibri" w:eastAsia="Calibri"/>
      <w:i/>
      <w:color w:val="000000"/>
    </w:rPr>
  </w:style>
  <w:style w:customStyle="1" w:styleId="TableCaption" w:type="paragraph">
    <w:name w:val="Table Caption"/>
    <w:basedOn w:val="Caption"/>
    <w:pPr>
      <w:keepNext/>
    </w:pPr>
    <w:rPr>
      <w:rFonts w:ascii="Calibri" w:hAnsi="Calibri" w:cs="Calibri" w:eastAsia="Calibri"/>
      <w:color w:val="000000"/>
    </w:rPr>
  </w:style>
  <w:style w:customStyle="1" w:styleId="ImageCaption" w:type="paragraph">
    <w:name w:val="Image Caption"/>
    <w:basedOn w:val="Caption"/>
    <w:rPr>
      <w:rFonts w:ascii="Calibri" w:hAnsi="Calibri" w:cs="Calibri" w:eastAsia="Calibri"/>
      <w:color w:val="000000"/>
      <w:sz w:val="18"/>
    </w:rPr>
  </w:style>
  <w:style w:customStyle="1" w:styleId="Figure" w:type="paragraph">
    <w:name w:val="Figure"/>
    <w:basedOn w:val="Normal"/>
    <w:rPr>
      <w:rFonts w:ascii="Calibri" w:hAnsi="Calibri" w:cs="Calibri" w:eastAsia="Calibri"/>
      <w:color w:val="000000"/>
    </w:rPr>
  </w:style>
  <w:style w:customStyle="1" w:styleId="CaptionedFigure" w:type="paragraph">
    <w:name w:val="Captioned Figure"/>
    <w:basedOn w:val="Figure"/>
    <w:pPr>
      <w:keepNext/>
    </w:pPr>
    <w:rPr>
      <w:rFonts w:ascii="Calibri" w:hAnsi="Calibri" w:cs="Calibri" w:eastAsia="Calibri"/>
      <w:color w:val="000000"/>
    </w:rPr>
  </w:style>
  <w:style w:customStyle="1" w:styleId="BodyTextChar" w:type="character">
    <w:name w:val="Body Text Char"/>
    <w:basedOn w:val="DefaultParagraphFont"/>
    <w:link w:val="BodyText"/>
    <w:rPr>
      <w:color w:val="000000"/>
    </w:rPr>
  </w:style>
  <w:style w:customStyle="1" w:styleId="VerbatimChar" w:type="character">
    <w:name w:val="Verbatim Char"/>
    <w:basedOn w:val="BodyTextChar"/>
    <w:rPr>
      <w:rFonts w:ascii="Consolas" w:hAnsi="Consolas"/>
      <w:color w:val="000000"/>
      <w:sz w:val="22"/>
    </w:rPr>
  </w:style>
  <w:style w:customStyle="1" w:styleId="SectionNumber" w:type="character">
    <w:name w:val="Section Number"/>
    <w:basedOn w:val="BodyTextChar"/>
    <w:rPr>
      <w:color w:val="000000"/>
    </w:rPr>
  </w:style>
  <w:style w:styleId="FootnoteReference" w:type="character">
    <w:name w:val="Footnote Reference"/>
    <w:basedOn w:val="BodyTextChar"/>
    <w:rPr>
      <w:color w:val="000000"/>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Calibri" w:hAnsi="Calibri" w:cs="Calibri" w:eastAsia="Calibri"/>
      <w:b w:val="0"/>
      <w:bCs w:val="0"/>
      <w:color w:val="000000"/>
    </w:rPr>
  </w:style>
  <w:style w:type="paragraph" w:customStyle="1" w:styleId="SourceCode">
    <w:name w:val="Source Code"/>
    <w:basedOn w:val="Normal"/>
    <w:link w:val="VerbatimChar"/>
    <w:pPr>
      <w:wordWrap w:val="off"/>
    </w:pPr>
    <w:rPr>
      <w:rFonts w:ascii="Calibri" w:hAnsi="Calibri" w:cs="Calibri" w:eastAsia="Calibri"/>
      <w:color w:val="000000"/>
    </w:r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color w:val="000000"/>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color w:val="000000"/>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4" Type="http://schemas.openxmlformats.org/officeDocument/2006/relationships/image" Target="media/rId34.png"/><Relationship Id="rId38" Type="http://schemas.openxmlformats.org/officeDocument/2006/relationships/image" Target="media/rId38.png"/><Relationship Id="rId42" Type="http://schemas.openxmlformats.org/officeDocument/2006/relationships/image" Target="media/rId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2026-10-17T11:05:16Z</dcterms:created>
  <dcterms:modified xsi:type="dcterms:W3CDTF">2026-10-17T11:05:16Z</dcterms:modified>
</cp:coreProperties>
</file>

<file path=docProps/custom.xml><?xml version="1.0" encoding="utf-8"?>
<Properties xmlns="http://schemas.openxmlformats.org/officeDocument/2006/custom-properties" xmlns:vt="http://schemas.openxmlformats.org/officeDocument/2006/docPropsVTypes"/>
</file>