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9be995ffab2c509ba4f6a8c471cee13a761e1b0"/>
    <w:p>
      <w:pPr>
        <w:pStyle w:val="Heading1"/>
      </w:pPr>
      <w:r>
        <w:rPr>
          <w:color w:val="000000"/>
        </w:rPr>
        <w:t xml:space="preserve">Diabetic 30-Day Readmissions: Final Report</w:t>
      </w:r>
    </w:p>
    <w:p>
      <w:pPr>
        <w:pStyle w:val="FirstParagraph"/>
        <w:jc w:val="both"/>
      </w:pPr>
      <w:r>
        <w:rPr>
          <w:bCs/>
          <w:b/>
          <w:color w:val="000000"/>
        </w:rPr>
        <w:t xml:space="preserve">Meridian Care Network (fictional) · Population Health</w:t>
      </w:r>
    </w:p>
    <w:bookmarkStart w:id="20" w:name="executive-summary"/>
    <w:p>
      <w:pPr>
        <w:pStyle w:val="Heading2"/>
      </w:pPr>
      <w:r>
        <w:rPr>
          <w:color w:val="000000"/>
        </w:rPr>
        <w:t xml:space="preserve">1. Executive summary</w:t>
      </w:r>
    </w:p>
    <w:p>
      <w:pPr>
        <w:pStyle w:val="FirstParagraph"/>
        <w:jc w:val="both"/>
      </w:pPr>
      <w:r>
        <w:rPr>
          <w:bCs/>
          <w:b/>
          <w:color w:val="000000"/>
        </w:rPr>
        <w:t xml:space="preserve">Context.</w:t>
      </w:r>
      <w:r>
        <w:rPr>
          <w:color w:val="000000"/>
        </w:rPr>
        <w:t xml:space="preserve"> </w:t>
      </w:r>
      <w:r>
        <w:rPr>
          <w:color w:val="000000"/>
        </w:rPr>
        <w:t xml:space="preserve">Meridian Care Network’s quality committee has flagged diabetic readmissions again. The VP of Population Health asked for a way to identify patients at elevated risk before discharge, and a case for where to spend a limited care-coordination budget.</w:t>
      </w:r>
    </w:p>
    <w:p>
      <w:pPr>
        <w:pStyle w:val="BodyText"/>
        <w:jc w:val="both"/>
      </w:pPr>
      <w:r>
        <w:rPr>
          <w:bCs/>
          <w:b/>
          <w:color w:val="000000"/>
        </w:rPr>
        <w:t xml:space="preserve">Objective.</w:t>
      </w:r>
      <w:r>
        <w:rPr>
          <w:color w:val="000000"/>
        </w:rPr>
        <w:t xml:space="preserve"> </w:t>
      </w:r>
      <w:r>
        <w:rPr>
          <w:color w:val="000000"/>
        </w:rPr>
        <w:t xml:space="preserve">Measure the 30-day readmission rate, find the patterns associated with higher rates, and turn them into a simple flag the discharge planning team can use, with a cost in staff time.</w:t>
      </w:r>
    </w:p>
    <w:p>
      <w:pPr>
        <w:pStyle w:val="BodyText"/>
        <w:jc w:val="both"/>
      </w:pPr>
      <w:r>
        <w:rPr>
          <w:bCs/>
          <w:b/>
          <w:color w:val="000000"/>
        </w:rPr>
        <w:t xml:space="preserve">Key findings</w:t>
      </w:r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  <w:color w:val="000000"/>
        </w:rPr>
        <w:t xml:space="preserve">11.4% of included encounters</w:t>
      </w:r>
      <w:r>
        <w:rPr>
          <w:color w:val="000000"/>
        </w:rPr>
        <w:t xml:space="preserve"> </w:t>
      </w:r>
      <w:r>
        <w:rPr>
          <w:color w:val="000000"/>
        </w:rPr>
        <w:t xml:space="preserve">(11,314 of 99,343) were readmitted within 30 days.</w:t>
      </w:r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  <w:color w:val="000000"/>
        </w:rPr>
        <w:t xml:space="preserve">Prior inpatient visits are the strongest signal.</w:t>
      </w:r>
      <w:r>
        <w:rPr>
          <w:color w:val="000000"/>
        </w:rPr>
        <w:t xml:space="preserve"> </w:t>
      </w:r>
      <w:r>
        <w:rPr>
          <w:color w:val="000000"/>
        </w:rPr>
        <w:t xml:space="preserve">The rate rises from 8.6% with no prior visits to 40.6% with six or more.</w:t>
      </w:r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  <w:color w:val="000000"/>
        </w:rPr>
        <w:t xml:space="preserve">Readmissions are concentrated.</w:t>
      </w:r>
      <w:r>
        <w:rPr>
          <w:color w:val="000000"/>
        </w:rPr>
        <w:t xml:space="preserve"> </w:t>
      </w:r>
      <w:r>
        <w:rPr>
          <w:color w:val="000000"/>
        </w:rPr>
        <w:t xml:space="preserve">Patients with two or more encounters are 23.4% of patients but account for 79.8% of readmissions.</w:t>
      </w:r>
    </w:p>
    <w:p>
      <w:pPr>
        <w:numPr>
          <w:ilvl w:val="0"/>
          <w:numId w:val="1001"/>
        </w:numPr>
        <w:pStyle w:val="Compact"/>
        <w:jc w:val="both"/>
      </w:pPr>
      <w:r>
        <w:rPr>
          <w:bCs/>
          <w:b/>
          <w:color w:val="000000"/>
        </w:rPr>
        <w:t xml:space="preserve">Most other factors are weak.</w:t>
      </w:r>
      <w:r>
        <w:rPr>
          <w:color w:val="000000"/>
        </w:rPr>
        <w:t xml:space="preserve"> </w:t>
      </w:r>
      <w:r>
        <w:rPr>
          <w:color w:val="000000"/>
        </w:rPr>
        <w:t xml:space="preserve">Age, diagnosis group, admission type, medications and length of stay each move the rate by only a few points. Discharge destination is the exception: encounters transferred to other care had a 20.0% rate, against 9.3% for those discharged home.</w:t>
      </w:r>
    </w:p>
    <w:p>
      <w:pPr>
        <w:pStyle w:val="FirstParagraph"/>
        <w:jc w:val="both"/>
      </w:pPr>
      <w:r>
        <w:rPr>
          <w:bCs/>
          <w:b/>
          <w:color w:val="000000"/>
        </w:rPr>
        <w:t xml:space="preserve">Top recommendation.</w:t>
      </w:r>
      <w:r>
        <w:rPr>
          <w:color w:val="000000"/>
        </w:rPr>
        <w:t xml:space="preserve"> </w:t>
      </w:r>
      <w:r>
        <w:rPr>
          <w:color w:val="000000"/>
        </w:rPr>
        <w:t xml:space="preserve">Flag every encounter with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two or more prior inpatient visits</w:t>
      </w:r>
      <w:r>
        <w:rPr>
          <w:color w:val="000000"/>
        </w:rPr>
        <w:t xml:space="preserve"> </w:t>
      </w:r>
      <w:r>
        <w:rPr>
          <w:color w:val="000000"/>
        </w:rPr>
        <w:t xml:space="preserve">at discharge for care-coordination follow-up.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40"/>
            </w:pP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Flag 2+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Contact everyone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Encounters to contact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14,114 (14.2%)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99,343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Readmissions reached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3,108 (27.5%)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11,314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Staff hours (2 contacts of 20 minutes)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9,409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66,229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Hours per readmission reached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5.9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The tier’s rate (22.0%) is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2.29 times</w:t>
      </w:r>
      <w:r>
        <w:rPr>
          <w:color w:val="000000"/>
        </w:rPr>
        <w:t xml:space="preserve"> </w:t>
      </w:r>
      <w:r>
        <w:rPr>
          <w:color w:val="000000"/>
        </w:rPr>
        <w:t xml:space="preserve">the rate of everyone else (9.6%), and the rule held up on patients it was not built on (2.07 times).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Illustrative impact:</w:t>
      </w:r>
      <w:r>
        <w:rPr>
          <w:color w:val="000000"/>
        </w:rPr>
        <w:t xml:space="preserve"> </w:t>
      </w:r>
      <w:r>
        <w:rPr>
          <w:color w:val="000000"/>
        </w:rPr>
        <w:t xml:space="preserve">if follow-up prevented one in ten readmissions in the tier, that would mean about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311 fewer readmissions</w:t>
      </w:r>
      <w:r>
        <w:rPr>
          <w:color w:val="000000"/>
        </w:rPr>
        <w:t xml:space="preserve"> </w:t>
      </w:r>
      <w:r>
        <w:rPr>
          <w:color w:val="000000"/>
        </w:rPr>
        <w:t xml:space="preserve">for 9,409 staff hours. This is an assumption to test, not a measured effect.</w:t>
      </w:r>
    </w:p>
    <w:bookmarkEnd w:id="20"/>
    <w:bookmarkStart w:id="24" w:name="project-overview"/>
    <w:p>
      <w:pPr>
        <w:pStyle w:val="Heading2"/>
      </w:pPr>
      <w:r>
        <w:rPr>
          <w:color w:val="000000"/>
        </w:rPr>
        <w:t xml:space="preserve">2. Project overview</w:t>
      </w:r>
    </w:p>
    <w:bookmarkStart w:id="21" w:name="business-problem"/>
    <w:p>
      <w:pPr>
        <w:pStyle w:val="Heading3"/>
      </w:pPr>
      <w:r>
        <w:rPr>
          <w:color w:val="000000"/>
        </w:rPr>
        <w:t xml:space="preserve">2.1 Business problem</w:t>
      </w:r>
    </w:p>
    <w:p>
      <w:pPr>
        <w:pStyle w:val="FirstParagraph"/>
        <w:jc w:val="both"/>
      </w:pPr>
      <w:r>
        <w:rPr>
          <w:color w:val="000000"/>
        </w:rPr>
        <w:t xml:space="preserve">The stakeholder was clear that another chart showing the number going up would not help. The brief broke down into three questions: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Need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Number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How often are diabetic patients readmitted within 30 days?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Pattern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Which characteristics are associated with higher observed rates?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How could the care-coordination team target its limited time?</w:t>
            </w:r>
          </w:p>
        </w:tc>
      </w:tr>
    </w:tbl>
    <w:bookmarkEnd w:id="21"/>
    <w:bookmarkStart w:id="22" w:name="defining-the-outcome"/>
    <w:p>
      <w:pPr>
        <w:pStyle w:val="Heading3"/>
      </w:pPr>
      <w:r>
        <w:rPr>
          <w:color w:val="000000"/>
        </w:rPr>
        <w:t xml:space="preserve">2.2 Defining the outcome</w:t>
      </w:r>
    </w:p>
    <w:p>
      <w:pPr>
        <w:pStyle w:val="FirstParagraph"/>
        <w:jc w:val="both"/>
      </w:pPr>
      <w:r>
        <w:rPr>
          <w:color w:val="000000"/>
        </w:rPr>
        <w:t xml:space="preserve">A readmission here means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a recorded return within 30 days of discharge</w:t>
      </w:r>
      <w:r>
        <w:rPr>
          <w:color w:val="000000"/>
        </w:rPr>
        <w:t xml:space="preserve"> </w:t>
      </w:r>
      <w:r>
        <w:rPr>
          <w:color w:val="000000"/>
        </w:rPr>
        <w:t xml:space="preserve">(</w:t>
      </w:r>
      <w:r>
        <w:rPr>
          <w:rStyle w:val="VerbatimChar"/>
          <w:color w:val="000000"/>
        </w:rPr>
        <w:t xml:space="preserve">readmitted = "&lt;30"</w:t>
      </w:r>
      <w:r>
        <w:rPr>
          <w:color w:val="000000"/>
        </w:rPr>
        <w:t xml:space="preserve">). Returns after 30 days are counted as not readmitted for this analysis, and are never merged into the 30-day group.</w:t>
      </w:r>
    </w:p>
    <w:bookmarkEnd w:id="22"/>
    <w:bookmarkStart w:id="23" w:name="data-source"/>
    <w:p>
      <w:pPr>
        <w:pStyle w:val="Heading3"/>
      </w:pPr>
      <w:r>
        <w:rPr>
          <w:color w:val="000000"/>
        </w:rPr>
        <w:t xml:space="preserve">2.3 Data source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Diabetes 130-US Hospitals for Years 1999-2008, UCI Machine Learning Repository (Clore et al., 2014), CC BY 4.0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Size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101,766 encounters, 50 fields, 71,518 patients, 130 US hospitals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Lookup file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IDS_mapping.csv, with code tables for admission type, discharge disposition and admission source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Grain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One row is one encounter, not one patient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The data is historical and de-identified. Findings are for analytical learning and do not describe any real organisation.</w:t>
      </w:r>
    </w:p>
    <w:bookmarkEnd w:id="23"/>
    <w:bookmarkEnd w:id="24"/>
    <w:bookmarkStart w:id="29" w:name="methods"/>
    <w:p>
      <w:pPr>
        <w:pStyle w:val="Heading2"/>
      </w:pPr>
      <w:r>
        <w:rPr>
          <w:color w:val="000000"/>
        </w:rPr>
        <w:t xml:space="preserve">3. Methods</w:t>
      </w:r>
    </w:p>
    <w:bookmarkStart w:id="25" w:name="pipeline"/>
    <w:p>
      <w:pPr>
        <w:pStyle w:val="Heading3"/>
      </w:pPr>
      <w:r>
        <w:rPr>
          <w:color w:val="000000"/>
        </w:rPr>
        <w:t xml:space="preserve">3.1 Pipeline</w:t>
      </w:r>
    </w:p>
    <w:p>
      <w:pPr>
        <w:pStyle w:val="FirstParagraph"/>
        <w:jc w:val="both"/>
      </w:pPr>
      <w:r>
        <w:rPr>
          <w:color w:val="000000"/>
        </w:rPr>
        <w:t xml:space="preserve">Raw data → clean data → questions → analysis → insights → recommendation.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Stage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Tool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Load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MySQL (</w:t>
            </w:r>
            <w:r>
              <w:rPr>
                <w:rStyle w:val="VerbatimChar"/>
                <w:color w:val="000000"/>
                <w:sz w:val="20"/>
              </w:rPr>
              <w:t xml:space="preserve">01_load_raw.sql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Text-only staging tables, exact copies of the files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Clean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MySQL (</w:t>
            </w:r>
            <w:r>
              <w:rPr>
                <w:rStyle w:val="VerbatimChar"/>
                <w:color w:val="000000"/>
                <w:sz w:val="20"/>
              </w:rPr>
              <w:t xml:space="preserve">02_clean.sql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Typed table, explicit missing values, exclusion flag, three lookup tables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Model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MySQL (</w:t>
            </w:r>
            <w:r>
              <w:rPr>
                <w:rStyle w:val="VerbatimChar"/>
                <w:color w:val="000000"/>
                <w:sz w:val="20"/>
              </w:rPr>
              <w:t xml:space="preserve">03_model.sql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Star schema: two fact tables and five dimensions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Check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MySQL (</w:t>
            </w:r>
            <w:r>
              <w:rPr>
                <w:rStyle w:val="VerbatimChar"/>
                <w:color w:val="000000"/>
                <w:sz w:val="20"/>
              </w:rPr>
              <w:t xml:space="preserve">04_quality_checks.sql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Row counts, nulls, duplicates and referential integrity, all passing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Tier and validation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MySQL (</w:t>
            </w:r>
            <w:r>
              <w:rPr>
                <w:rStyle w:val="VerbatimChar"/>
                <w:color w:val="000000"/>
                <w:sz w:val="20"/>
              </w:rPr>
              <w:t xml:space="preserve">05_risk_tier.sql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Cutoff comparison, build and test validation, capture curve, workload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Analysis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MySQL (</w:t>
            </w:r>
            <w:r>
              <w:rPr>
                <w:rStyle w:val="VerbatimChar"/>
                <w:color w:val="000000"/>
                <w:sz w:val="20"/>
              </w:rPr>
              <w:t xml:space="preserve">06_analysis.sql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Ten exploratory questions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Statistics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Python in Google Colab (</w:t>
            </w:r>
            <w:r>
              <w:rPr>
                <w:rStyle w:val="VerbatimChar"/>
                <w:color w:val="000000"/>
                <w:sz w:val="20"/>
              </w:rPr>
              <w:t xml:space="preserve">eda_stats.ipynb</w:t>
            </w:r>
            <w:r>
              <w:rPr>
                <w:color w:val="000000"/>
                <w:sz w:val="20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Summary statistics, correlation, significance test, validation check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Dashboard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Power BI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Five interactive pages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SQL techniques include CTEs, window functions (</w:t>
      </w:r>
      <w:r>
        <w:rPr>
          <w:rStyle w:val="VerbatimChar"/>
          <w:color w:val="000000"/>
        </w:rPr>
        <w:t xml:space="preserve">ROW_NUMBER</w:t>
      </w:r>
      <w:r>
        <w:rPr>
          <w:color w:val="000000"/>
        </w:rPr>
        <w:t xml:space="preserve">,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RANK</w:t>
      </w:r>
      <w:r>
        <w:rPr>
          <w:color w:val="000000"/>
        </w:rPr>
        <w:t xml:space="preserve">,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SUM OVER</w:t>
      </w:r>
      <w:r>
        <w:rPr>
          <w:color w:val="000000"/>
        </w:rPr>
        <w:t xml:space="preserve">), joins,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CASE</w:t>
      </w:r>
      <w:r>
        <w:rPr>
          <w:color w:val="000000"/>
        </w:rPr>
        <w:t xml:space="preserve">,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COALESCE</w:t>
      </w:r>
      <w:r>
        <w:rPr>
          <w:color w:val="000000"/>
        </w:rPr>
        <w:t xml:space="preserve">, casting, a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CROSS JOIN</w:t>
      </w:r>
      <w:r>
        <w:rPr>
          <w:color w:val="000000"/>
        </w:rPr>
        <w:t xml:space="preserve"> </w:t>
      </w:r>
      <w:r>
        <w:rPr>
          <w:color w:val="000000"/>
        </w:rPr>
        <w:t xml:space="preserve">unpivot, primary keys and indexes.</w:t>
      </w:r>
    </w:p>
    <w:bookmarkEnd w:id="25"/>
    <w:bookmarkStart w:id="26" w:name="key-cleaning-decisions"/>
    <w:p>
      <w:pPr>
        <w:pStyle w:val="Heading3"/>
      </w:pPr>
      <w:r>
        <w:rPr>
          <w:color w:val="000000"/>
        </w:rPr>
        <w:t xml:space="preserve">3.2 Key cleaning decisions</w:t>
      </w:r>
    </w:p>
    <w:p>
      <w:pPr>
        <w:pStyle w:val="FirstParagraph"/>
        <w:jc w:val="both"/>
      </w:pPr>
      <w:r>
        <w:rPr>
          <w:color w:val="000000"/>
        </w:rPr>
        <w:t xml:space="preserve">Full details are in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docs/cleaning_log.md</w:t>
      </w:r>
      <w:r>
        <w:rPr>
          <w:color w:val="000000"/>
        </w:rP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  <w:color w:val="000000"/>
        </w:rPr>
        <w:t xml:space="preserve">Exclusions:</w:t>
      </w:r>
      <w:r>
        <w:rPr>
          <w:color w:val="000000"/>
        </w:rPr>
        <w:t xml:space="preserve"> </w:t>
      </w:r>
      <w:r>
        <w:rPr>
          <w:color w:val="000000"/>
        </w:rPr>
        <w:t xml:space="preserve">2,423 encounters ending in death or hospice were flagged and left out of rates, because those patients cannot or are very unlikely to return. Rows were flagged, not deleted.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  <w:color w:val="000000"/>
        </w:rPr>
        <w:t xml:space="preserve">“</w:t>
      </w:r>
      <w:r>
        <w:rPr>
          <w:bCs/>
          <w:b/>
          <w:color w:val="000000"/>
        </w:rPr>
        <w:t xml:space="preserve">None</w:t>
      </w:r>
      <w:r>
        <w:rPr>
          <w:bCs/>
          <w:b/>
          <w:color w:val="000000"/>
        </w:rPr>
        <w:t xml:space="preserve">”</w:t>
      </w:r>
      <w:r>
        <w:rPr>
          <w:bCs/>
          <w:b/>
          <w:color w:val="000000"/>
        </w:rPr>
        <w:t xml:space="preserve"> </w:t>
      </w:r>
      <w:r>
        <w:rPr>
          <w:bCs/>
          <w:b/>
          <w:color w:val="000000"/>
        </w:rPr>
        <w:t xml:space="preserve">is not missing:</w:t>
      </w:r>
      <w:r>
        <w:rPr>
          <w:color w:val="000000"/>
        </w:rPr>
        <w:t xml:space="preserve"> </w:t>
      </w:r>
      <w:r>
        <w:rPr>
          <w:color w:val="000000"/>
        </w:rPr>
        <w:t xml:space="preserve">in the HbA1c field,</w:t>
      </w:r>
      <w:r>
        <w:rPr>
          <w:color w:val="000000"/>
        </w:rPr>
        <w:t xml:space="preserve"> </w:t>
      </w:r>
      <w:r>
        <w:rPr>
          <w:color w:val="000000"/>
        </w:rPr>
        <w:t xml:space="preserve">“</w:t>
      </w:r>
      <w:r>
        <w:rPr>
          <w:color w:val="000000"/>
        </w:rPr>
        <w:t xml:space="preserve">None</w:t>
      </w:r>
      <w:r>
        <w:rPr>
          <w:color w:val="000000"/>
        </w:rPr>
        <w:t xml:space="preserve">”</w:t>
      </w:r>
      <w:r>
        <w:rPr>
          <w:color w:val="000000"/>
        </w:rPr>
        <w:t xml:space="preserve"> </w:t>
      </w:r>
      <w:r>
        <w:rPr>
          <w:color w:val="000000"/>
        </w:rPr>
        <w:t xml:space="preserve">means the test was not done (83.1% of encounters). It was relabelled</w:t>
      </w:r>
      <w:r>
        <w:rPr>
          <w:color w:val="000000"/>
        </w:rPr>
        <w:t xml:space="preserve"> </w:t>
      </w:r>
      <w:r>
        <w:rPr>
          <w:color w:val="000000"/>
        </w:rPr>
        <w:t xml:space="preserve">“</w:t>
      </w:r>
      <w:r>
        <w:rPr>
          <w:color w:val="000000"/>
        </w:rPr>
        <w:t xml:space="preserve">Not tested</w:t>
      </w:r>
      <w:r>
        <w:rPr>
          <w:color w:val="000000"/>
        </w:rPr>
        <w:t xml:space="preserve">”</w:t>
      </w:r>
      <w:r>
        <w:rPr>
          <w:color w:val="000000"/>
        </w:rPr>
        <w:t xml:space="preserve">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  <w:color w:val="000000"/>
        </w:rPr>
        <w:t xml:space="preserve">Dropped fields:</w:t>
      </w:r>
      <w:r>
        <w:rPr>
          <w:color w:val="000000"/>
        </w:rPr>
        <w:t xml:space="preserve"> </w:t>
      </w:r>
      <w:r>
        <w:rPr>
          <w:color w:val="000000"/>
        </w:rPr>
        <w:t xml:space="preserve">weight (96.9% missing), examide and citoglipton (one value only).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  <w:color w:val="000000"/>
        </w:rPr>
        <w:t xml:space="preserve">Outliers kept:</w:t>
      </w:r>
      <w:r>
        <w:rPr>
          <w:color w:val="000000"/>
        </w:rPr>
        <w:t xml:space="preserve"> </w:t>
      </w:r>
      <w:r>
        <w:rPr>
          <w:color w:val="000000"/>
        </w:rPr>
        <w:t xml:space="preserve">extreme prior-visit counts are real frequent attenders, so they were grouped into open-ended bands rather than removed.</w:t>
      </w:r>
    </w:p>
    <w:p>
      <w:pPr>
        <w:numPr>
          <w:ilvl w:val="0"/>
          <w:numId w:val="1002"/>
        </w:numPr>
        <w:pStyle w:val="Compact"/>
        <w:jc w:val="both"/>
      </w:pPr>
      <w:r>
        <w:rPr>
          <w:bCs/>
          <w:b/>
          <w:color w:val="000000"/>
        </w:rPr>
        <w:t xml:space="preserve">No dates: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encounter_id</w:t>
      </w:r>
      <w:r>
        <w:rPr>
          <w:color w:val="000000"/>
        </w:rPr>
        <w:t xml:space="preserve"> </w:t>
      </w:r>
      <w:r>
        <w:rPr>
          <w:color w:val="000000"/>
        </w:rPr>
        <w:t xml:space="preserve">was used as a stand-in for visit order.</w:t>
      </w:r>
    </w:p>
    <w:bookmarkEnd w:id="26"/>
    <w:bookmarkStart w:id="27" w:name="modelling-choices"/>
    <w:p>
      <w:pPr>
        <w:pStyle w:val="Heading3"/>
      </w:pPr>
      <w:r>
        <w:rPr>
          <w:color w:val="000000"/>
        </w:rPr>
        <w:t xml:space="preserve">3.3 Modelling choices</w:t>
      </w:r>
    </w:p>
    <w:p>
      <w:pPr>
        <w:pStyle w:val="FirstParagraph"/>
        <w:jc w:val="both"/>
      </w:pPr>
      <w:r>
        <w:rPr>
          <w:bCs/>
          <w:b/>
          <w:color w:val="000000"/>
        </w:rPr>
        <w:t xml:space="preserve">Why a rule, not a model.</w:t>
      </w:r>
      <w:r>
        <w:rPr>
          <w:color w:val="000000"/>
        </w:rPr>
        <w:t xml:space="preserve"> </w:t>
      </w:r>
      <w:r>
        <w:rPr>
          <w:color w:val="000000"/>
        </w:rPr>
        <w:t xml:space="preserve">The stakeholder asked for something usable</w:t>
      </w:r>
      <w:r>
        <w:rPr>
          <w:color w:val="000000"/>
        </w:rPr>
        <w:t xml:space="preserve"> </w:t>
      </w:r>
      <w:r>
        <w:rPr>
          <w:color w:val="000000"/>
        </w:rPr>
        <w:t xml:space="preserve">“</w:t>
      </w:r>
      <w:r>
        <w:rPr>
          <w:color w:val="000000"/>
        </w:rPr>
        <w:t xml:space="preserve">on a Tuesday morning</w:t>
      </w:r>
      <w:r>
        <w:rPr>
          <w:color w:val="000000"/>
        </w:rPr>
        <w:t xml:space="preserve">”</w:t>
      </w:r>
      <w:r>
        <w:rPr>
          <w:color w:val="000000"/>
        </w:rPr>
        <w:t xml:space="preserve">. A one-line rule based on a field already in the record can be applied at discharge without software, and anyone can check why a patient was flagged.</w:t>
      </w:r>
    </w:p>
    <w:p>
      <w:pPr>
        <w:pStyle w:val="BodyText"/>
        <w:jc w:val="both"/>
      </w:pPr>
      <w:r>
        <w:rPr>
          <w:bCs/>
          <w:b/>
          <w:color w:val="000000"/>
        </w:rPr>
        <w:t xml:space="preserve">Choosing the cutoff.</w:t>
      </w:r>
      <w:r>
        <w:rPr>
          <w:color w:val="000000"/>
        </w:rPr>
        <w:t xml:space="preserve"> </w:t>
      </w:r>
      <w:r>
        <w:rPr>
          <w:color w:val="000000"/>
        </w:rPr>
        <w:t xml:space="preserve">Patients were split by ID into a 70% build group and a 30% test group (</w:t>
      </w:r>
      <w:r>
        <w:rPr>
          <w:rStyle w:val="VerbatimChar"/>
          <w:color w:val="000000"/>
        </w:rPr>
        <w:t xml:space="preserve">MOD(patient_nbr, 10) &lt; 7</w:t>
      </w:r>
      <w:r>
        <w:rPr>
          <w:color w:val="000000"/>
        </w:rPr>
        <w:t xml:space="preserve">), so no patient appears in both. Cutoffs of 1+, 2+ and 3+ prior inpatient visits were compared on the build group.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2+ was chosen</w:t>
      </w:r>
      <w:r>
        <w:rPr>
          <w:color w:val="000000"/>
        </w:rPr>
        <w:t xml:space="preserve"> </w:t>
      </w:r>
      <w:r>
        <w:rPr>
          <w:color w:val="000000"/>
        </w:rPr>
        <w:t xml:space="preserve">as the best balance: it reaches over a quarter of readmissions while flagging only one encounter in seven.</w:t>
      </w:r>
    </w:p>
    <w:p>
      <w:pPr>
        <w:pStyle w:val="BodyText"/>
        <w:jc w:val="both"/>
      </w:pPr>
      <w:r>
        <w:rPr>
          <w:bCs/>
          <w:b/>
          <w:color w:val="000000"/>
        </w:rPr>
        <w:t xml:space="preserve">Workload.</w:t>
      </w:r>
      <w:r>
        <w:rPr>
          <w:color w:val="000000"/>
        </w:rPr>
        <w:t xml:space="preserve"> </w:t>
      </w:r>
      <w:r>
        <w:rPr>
          <w:color w:val="000000"/>
        </w:rPr>
        <w:t xml:space="preserve">Staff hours assume two contacts per patient at 20 minutes each. Both values are adjustable on the dashboard’s Workload page.</w:t>
      </w:r>
    </w:p>
    <w:bookmarkEnd w:id="27"/>
    <w:bookmarkStart w:id="28" w:name="limitations"/>
    <w:p>
      <w:pPr>
        <w:pStyle w:val="Heading3"/>
      </w:pPr>
      <w:r>
        <w:rPr>
          <w:color w:val="000000"/>
        </w:rPr>
        <w:t xml:space="preserve">3.4 Limitations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Association, not causation.</w:t>
      </w:r>
      <w:r>
        <w:rPr>
          <w:color w:val="000000"/>
        </w:rPr>
        <w:t xml:space="preserve"> </w:t>
      </w:r>
      <w:r>
        <w:rPr>
          <w:color w:val="000000"/>
        </w:rPr>
        <w:t xml:space="preserve">The analysis shows which groups had higher observed rates, not why.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Historical data (1999 to 2008).</w:t>
      </w:r>
      <w:r>
        <w:rPr>
          <w:color w:val="000000"/>
        </w:rPr>
        <w:t xml:space="preserve"> </w:t>
      </w:r>
      <w:r>
        <w:rPr>
          <w:color w:val="000000"/>
        </w:rPr>
        <w:t xml:space="preserve">Current rates and practice may differ.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No dates,</w:t>
      </w:r>
      <w:r>
        <w:rPr>
          <w:color w:val="000000"/>
        </w:rPr>
        <w:t xml:space="preserve"> </w:t>
      </w:r>
      <w:r>
        <w:rPr>
          <w:color w:val="000000"/>
        </w:rPr>
        <w:t xml:space="preserve">so trends over time, including when any increase started, cannot be measured.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Readmissions to other hospitals are not captured.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Encounters, not patients.</w:t>
      </w:r>
      <w:r>
        <w:rPr>
          <w:color w:val="000000"/>
        </w:rPr>
        <w:t xml:space="preserve"> </w:t>
      </w:r>
      <w:r>
        <w:rPr>
          <w:color w:val="000000"/>
        </w:rPr>
        <w:t xml:space="preserve">One patient can appear several times.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Concentration is partly built in.</w:t>
      </w:r>
      <w:r>
        <w:rPr>
          <w:color w:val="000000"/>
        </w:rPr>
        <w:t xml:space="preserve"> </w:t>
      </w:r>
      <w:r>
        <w:rPr>
          <w:color w:val="000000"/>
        </w:rPr>
        <w:t xml:space="preserve">Patients who are readmitted naturally have more encounters on record.</w:t>
      </w:r>
    </w:p>
    <w:p>
      <w:pPr>
        <w:numPr>
          <w:ilvl w:val="0"/>
          <w:numId w:val="1003"/>
        </w:numPr>
        <w:pStyle w:val="Compact"/>
        <w:jc w:val="both"/>
      </w:pPr>
      <w:r>
        <w:rPr>
          <w:bCs/>
          <w:b/>
          <w:color w:val="000000"/>
        </w:rPr>
        <w:t xml:space="preserve">The tier is not clinically validated.</w:t>
      </w:r>
      <w:r>
        <w:rPr>
          <w:color w:val="000000"/>
        </w:rPr>
        <w:t xml:space="preserve"> </w:t>
      </w:r>
      <w:r>
        <w:rPr>
          <w:color w:val="000000"/>
        </w:rPr>
        <w:t xml:space="preserve">It is an analytical flag, not a prediction model or a diagnosis.</w:t>
      </w:r>
    </w:p>
    <w:bookmarkEnd w:id="28"/>
    <w:bookmarkEnd w:id="29"/>
    <w:bookmarkStart w:id="47" w:name="results"/>
    <w:p>
      <w:pPr>
        <w:pStyle w:val="Heading2"/>
      </w:pPr>
      <w:r>
        <w:rPr>
          <w:color w:val="000000"/>
        </w:rPr>
        <w:t xml:space="preserve">4. Results</w:t>
      </w:r>
    </w:p>
    <w:p>
      <w:pPr>
        <w:pStyle w:val="CaptionedFigure"/>
      </w:pPr>
      <w:r>
        <w:rPr>
          <w:color w:val="000000"/>
        </w:rPr>
        <w:drawing>
          <wp:inline>
            <wp:extent cx="5334000" cy="2993394"/>
            <wp:effectExtent b="0" l="0" r="0" t="0"/>
            <wp:docPr descr="Overview page" title="" id="31" name="Picture"/>
            <a:graphic>
              <a:graphicData uri="http://schemas.openxmlformats.org/drawingml/2006/picture">
                <pic:pic>
                  <pic:nvPicPr>
                    <pic:cNvPr descr="../Screenshots/PowerBi/01_overvie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color w:val="000000"/>
        </w:rPr>
        <w:t xml:space="preserve">Overview page</w:t>
      </w:r>
    </w:p>
    <w:bookmarkStart w:id="33" w:name="the-number"/>
    <w:p>
      <w:pPr>
        <w:pStyle w:val="Heading3"/>
      </w:pPr>
      <w:r>
        <w:rPr>
          <w:color w:val="000000"/>
        </w:rPr>
        <w:t xml:space="preserve">4.1 The number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Measure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Included encounters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99,343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Unique patients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69,990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30-day readmissions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11,314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30-day readmission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11.4%</w:t>
            </w:r>
          </w:p>
        </w:tc>
      </w:tr>
    </w:tbl>
    <w:bookmarkEnd w:id="33"/>
    <w:bookmarkStart w:id="37" w:name="the-pattern"/>
    <w:p>
      <w:pPr>
        <w:pStyle w:val="Heading3"/>
      </w:pPr>
      <w:r>
        <w:rPr>
          <w:color w:val="000000"/>
        </w:rPr>
        <w:t xml:space="preserve">4.2 The pattern</w:t>
      </w:r>
    </w:p>
    <w:p>
      <w:pPr>
        <w:pStyle w:val="CaptionedFigure"/>
      </w:pPr>
      <w:r>
        <w:rPr>
          <w:color w:val="000000"/>
        </w:rPr>
        <w:drawing>
          <wp:inline>
            <wp:extent cx="5334000" cy="2993394"/>
            <wp:effectExtent b="0" l="0" r="0" t="0"/>
            <wp:docPr descr="Patterns page" title="" id="35" name="Picture"/>
            <a:graphic>
              <a:graphicData uri="http://schemas.openxmlformats.org/drawingml/2006/picture">
                <pic:pic>
                  <pic:nvPicPr>
                    <pic:cNvPr descr="../Screenshots/PowerBi/02_patter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color w:val="000000"/>
        </w:rPr>
        <w:t xml:space="preserve">Patterns page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Factor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Lowest group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Highest group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Spread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Prior inpatient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0 visits: 8.6%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6+ visits: 40.6%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32.0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Discharge destination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Home: 9.3%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Transferred to other care: 20.0%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10.7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Length of stay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 to 2 days: 9.3%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8 to 14 days: 13.8%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4.5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Medications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 to 10: 9.2%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21 to 30: 13.2%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4.0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Diagnosis group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Musculoskeletal: 9.5%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Diabetes: 13.1%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3.6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Age (30 to 99)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50 to 59: 9.8%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80 to 89: 12.6%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2.8 points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Admission type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Elective: 10.5%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Emergency: 11.8%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1.3 points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Prior inpatient visits stand out by a wide margin, and the correlation analysis agrees: its Spearman correlation with readmission (0.14) is more than twice that of any other numeric field. The pattern also holds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within every diagnosis group</w:t>
      </w:r>
      <w:r>
        <w:rPr>
          <w:color w:val="000000"/>
        </w:rPr>
        <w:t xml:space="preserve"> </w:t>
      </w:r>
      <w:r>
        <w:rPr>
          <w:color w:val="000000"/>
        </w:rPr>
        <w:t xml:space="preserve">(see the Explorer page) and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across a patient’s own visits</w:t>
      </w:r>
      <w:r>
        <w:rPr>
          <w:color w:val="000000"/>
        </w:rPr>
        <w:t xml:space="preserve">: 9.0% on a first visit, 14.2% on a second and 20.9% on a third or later.</w:t>
      </w:r>
    </w:p>
    <w:p>
      <w:pPr>
        <w:pStyle w:val="BodyText"/>
        <w:jc w:val="both"/>
      </w:pPr>
      <w:r>
        <w:rPr>
          <w:color w:val="000000"/>
        </w:rPr>
        <w:t xml:space="preserve">Ten insights with their supporting queries are listed in</w:t>
      </w:r>
      <w:r>
        <w:rPr>
          <w:color w:val="000000"/>
        </w:rPr>
        <w:t xml:space="preserve"> </w:t>
      </w:r>
      <w:r>
        <w:rPr>
          <w:rStyle w:val="VerbatimChar"/>
          <w:color w:val="000000"/>
        </w:rPr>
        <w:t xml:space="preserve">docs/eda_report.md</w:t>
      </w:r>
      <w:r>
        <w:rPr>
          <w:color w:val="000000"/>
        </w:rPr>
        <w:t xml:space="preserve">.</w:t>
      </w:r>
    </w:p>
    <w:bookmarkEnd w:id="37"/>
    <w:bookmarkStart w:id="41" w:name="the-risk-tier"/>
    <w:p>
      <w:pPr>
        <w:pStyle w:val="Heading3"/>
      </w:pPr>
      <w:r>
        <w:rPr>
          <w:color w:val="000000"/>
        </w:rPr>
        <w:t xml:space="preserve">4.3 The risk tier</w:t>
      </w:r>
    </w:p>
    <w:p>
      <w:pPr>
        <w:pStyle w:val="CaptionedFigure"/>
      </w:pPr>
      <w:r>
        <w:rPr>
          <w:color w:val="000000"/>
        </w:rPr>
        <w:drawing>
          <wp:inline>
            <wp:extent cx="5334000" cy="2993394"/>
            <wp:effectExtent b="0" l="0" r="0" t="0"/>
            <wp:docPr descr="Risk Tier page" title="" id="39" name="Picture"/>
            <a:graphic>
              <a:graphicData uri="http://schemas.openxmlformats.org/drawingml/2006/picture">
                <pic:pic>
                  <pic:nvPicPr>
                    <pic:cNvPr descr="../Screenshots/PowerBi/03_risk_ti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color w:val="000000"/>
        </w:rPr>
        <w:t xml:space="preserve">Risk Tier page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Measure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Tier (2+ prior visits)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Everyone else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Encounters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14,114 (14.2%)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85,229 (85.8%)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Readmissions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3,108 (27.5%)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8,206 (72.5%)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30-day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22.0%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9.6%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95% confidence interval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21.3% to 22.7%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9.4% to 9.8%</w:t>
            </w:r>
          </w:p>
        </w:tc>
      </w:tr>
    </w:tbl>
    <w:p>
      <w:pPr>
        <w:pStyle w:val="BodyText"/>
        <w:jc w:val="both"/>
      </w:pPr>
      <w:r>
        <w:rPr>
          <w:bCs/>
          <w:b/>
          <w:color w:val="000000"/>
        </w:rPr>
        <w:t xml:space="preserve">Statistical significance.</w:t>
      </w:r>
      <w:r>
        <w:rPr>
          <w:color w:val="000000"/>
        </w:rPr>
        <w:t xml:space="preserve"> </w:t>
      </w:r>
      <w:r>
        <w:rPr>
          <w:color w:val="000000"/>
        </w:rPr>
        <w:t xml:space="preserve">The difference between the tier and everyone else is very unlikely to be chance (chi-square = 1,841, p &lt; 0.001). The confidence intervals do not come close to overlapping.</w:t>
      </w:r>
    </w:p>
    <w:p>
      <w:pPr>
        <w:pStyle w:val="BodyText"/>
        <w:jc w:val="both"/>
      </w:pPr>
      <w:r>
        <w:rPr>
          <w:bCs/>
          <w:b/>
          <w:color w:val="000000"/>
        </w:rPr>
        <w:t xml:space="preserve">Validation on held-out patients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40"/>
            </w:pP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Build group (70%)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Test group (30%)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Tier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22.8%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20.2%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Rest rate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9.6%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9.8%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Tier rate vs rest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2.38 times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2.07 times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Share of readmissions captured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28.3%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25.6%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Performance drops a little on the test group, as expected, but the tier still identifies a group at roughly twice the risk of everyone else. The tier captures</w:t>
      </w:r>
      <w:r>
        <w:rPr>
          <w:color w:val="000000"/>
        </w:rPr>
        <w:t xml:space="preserve"> </w:t>
      </w:r>
      <w:r>
        <w:rPr>
          <w:bCs/>
          <w:b/>
          <w:color w:val="000000"/>
        </w:rPr>
        <w:t xml:space="preserve">1.94 times its share</w:t>
      </w:r>
      <w:r>
        <w:rPr>
          <w:color w:val="000000"/>
        </w:rPr>
        <w:t xml:space="preserve"> </w:t>
      </w:r>
      <w:r>
        <w:rPr>
          <w:color w:val="000000"/>
        </w:rPr>
        <w:t xml:space="preserve">of readmissions (27.5% of readmissions from 14.2% of encounters).</w:t>
      </w:r>
    </w:p>
    <w:bookmarkEnd w:id="41"/>
    <w:bookmarkStart w:id="45" w:name="the-workload"/>
    <w:p>
      <w:pPr>
        <w:pStyle w:val="Heading3"/>
      </w:pPr>
      <w:r>
        <w:rPr>
          <w:color w:val="000000"/>
        </w:rPr>
        <w:t xml:space="preserve">4.4 The workload</w:t>
      </w:r>
    </w:p>
    <w:p>
      <w:pPr>
        <w:pStyle w:val="CaptionedFigure"/>
      </w:pPr>
      <w:r>
        <w:rPr>
          <w:color w:val="000000"/>
        </w:rPr>
        <w:drawing>
          <wp:inline>
            <wp:extent cx="5334000" cy="2993394"/>
            <wp:effectExtent b="0" l="0" r="0" t="0"/>
            <wp:docPr descr="Workload page" title="" id="43" name="Picture"/>
            <a:graphic>
              <a:graphicData uri="http://schemas.openxmlformats.org/drawingml/2006/picture">
                <pic:pic>
                  <pic:nvPicPr>
                    <pic:cNvPr descr="../Screenshots/PowerBi/04_workload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color w:val="000000"/>
        </w:rPr>
        <w:t xml:space="preserve">Workload page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Option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Encounters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Readmissions reached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Staff hours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Hours per readmission reached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Everyone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99,343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100%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66,229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5.9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33,098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49.7%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22,065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3.9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2+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14,114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27.5%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9,409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color w:val="000000"/>
                <w:sz w:val="20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3+ prior visits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6,814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15.9%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4,543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2.5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Each step up the cutoff makes the team’s time more efficient but reaches fewer readmissions. The 2+ tier saves 86% of the effort of contacting everyone.</w:t>
      </w:r>
    </w:p>
    <w:bookmarkEnd w:id="45"/>
    <w:bookmarkStart w:id="46" w:name="fairness-check"/>
    <w:p>
      <w:pPr>
        <w:pStyle w:val="Heading3"/>
      </w:pPr>
      <w:r>
        <w:rPr>
          <w:color w:val="000000"/>
        </w:rPr>
        <w:t xml:space="preserve">4.5 Fairness 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Race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Share of encounters flagged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African American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15.8%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Hispanic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14.7%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Caucasian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14.1%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Other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9.7%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Asian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9.6%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Unknown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6.7%</w:t>
            </w:r>
          </w:p>
        </w:tc>
      </w:tr>
    </w:tbl>
    <w:p>
      <w:pPr>
        <w:pStyle w:val="BodyText"/>
        <w:jc w:val="both"/>
      </w:pPr>
      <w:r>
        <w:rPr>
          <w:color w:val="000000"/>
        </w:rPr>
        <w:t xml:space="preserve">Women were flagged slightly more often than men (14.6% vs 13.8%). The tier uses no demographic fields, so these differences reflect differences in prior hospital use. They still need monitoring, because they decide who receives extra support.</w:t>
      </w:r>
    </w:p>
    <w:bookmarkEnd w:id="46"/>
    <w:bookmarkEnd w:id="47"/>
    <w:bookmarkStart w:id="51" w:name="action-plan"/>
    <w:p>
      <w:pPr>
        <w:pStyle w:val="Heading2"/>
      </w:pPr>
      <w:r>
        <w:rPr>
          <w:color w:val="000000"/>
        </w:rPr>
        <w:t xml:space="preserve">5. Action plan</w:t>
      </w:r>
    </w:p>
    <w:bookmarkStart w:id="48" w:name="prioritised-next-steps"/>
    <w:p>
      <w:pPr>
        <w:pStyle w:val="Heading3"/>
      </w:pPr>
      <w:r>
        <w:rPr>
          <w:color w:val="000000"/>
        </w:rPr>
        <w:t xml:space="preserve">5.1 Prioritised next steps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Priority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Action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Owner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Timescale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Pilot the 2+ flag on one ward: add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“</w:t>
            </w:r>
            <w:r>
              <w:rPr>
                <w:color w:val="000000"/>
                <w:sz w:val="20"/>
              </w:rPr>
              <w:t xml:space="preserve">inpatient stays in the last 12 months</w:t>
            </w:r>
            <w:r>
              <w:rPr>
                <w:color w:val="000000"/>
                <w:sz w:val="20"/>
              </w:rPr>
              <w:t xml:space="preserve">”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to the discharge checklist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Discharge planning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1 month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Give flagged patients two follow-up contacts within 30 days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Care coordination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During the pilot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Add discharge destination as a secondary prompt, especially transfers to other care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Discharge planning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During the pilot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Compare pilot readmission rates with a similar ward not using the flag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Population Health analytics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3 months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Roll out more widely, or move to the 1+ or 3+ option, depending on results and capacity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VP of Population Health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6 months</w:t>
            </w:r>
          </w:p>
        </w:tc>
      </w:tr>
    </w:tbl>
    <w:bookmarkEnd w:id="48"/>
    <w:bookmarkStart w:id="49" w:name="monitoring-plan"/>
    <w:p>
      <w:pPr>
        <w:pStyle w:val="Heading3"/>
      </w:pPr>
      <w:r>
        <w:rPr>
          <w:color w:val="000000"/>
        </w:rPr>
        <w:t xml:space="preserve">5.2 Monitoring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What to track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How often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Warning sign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Share of discharges flagged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Monthly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Far from about 14%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Tier rate vs rest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Quarterly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Ratio falls well below 2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Readmissions reached and staff hours used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Monthly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Hours per readmission reached rises above 3.0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Share flagged by race and gender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Quarterly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Gaps widen, or flagged groups do not see better outcomes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Contacts actually completed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Monthly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Below 80% of flagged patients</w:t>
            </w:r>
          </w:p>
        </w:tc>
      </w:tr>
    </w:tbl>
    <w:bookmarkEnd w:id="49"/>
    <w:bookmarkStart w:id="50" w:name="risks"/>
    <w:p>
      <w:pPr>
        <w:pStyle w:val="Heading3"/>
      </w:pPr>
      <w:r>
        <w:rPr>
          <w:color w:val="000000"/>
        </w:rPr>
        <w:t xml:space="preserve">5.3 Risks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Risk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b/>
                <w:color w:val="000000"/>
                <w:sz w:val="20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Patterns from 1999 to 2008 no longer hold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Re-run the analysis on current local data before rollout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The flag misses 72.5% of readmissions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Keep clinical judgement in the loop; staff can refer unflagged patients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Staff treat the flag as a diagnosis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Train staff that it prioritises follow-up only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Unequal flagging by group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Monitor quarterly and review the rule if gaps widen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Capacity is lower than assumed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color w:val="000000"/>
                <w:sz w:val="20"/>
              </w:rPr>
              <w:t xml:space="preserve">Use the Workload page to switch to the 3+ option</w:t>
            </w:r>
          </w:p>
        </w:tc>
      </w:tr>
    </w:tbl>
    <w:bookmarkEnd w:id="50"/>
    <w:bookmarkEnd w:id="51"/>
    <w:bookmarkStart w:id="52" w:name="ethics-and-privacy"/>
    <w:p>
      <w:pPr>
        <w:pStyle w:val="Heading2"/>
      </w:pPr>
      <w:r>
        <w:rPr>
          <w:color w:val="000000"/>
        </w:rPr>
        <w:t xml:space="preserve">6. Ethics and privacy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  <w:color w:val="000000"/>
        </w:rPr>
        <w:t xml:space="preserve">De-identified data.</w:t>
      </w:r>
      <w:r>
        <w:rPr>
          <w:color w:val="000000"/>
        </w:rPr>
        <w:t xml:space="preserve"> </w:t>
      </w:r>
      <w:r>
        <w:rPr>
          <w:color w:val="000000"/>
        </w:rPr>
        <w:t xml:space="preserve">The dataset contains no names, addresses or dates. Patient and encounter IDs are anonymised numbers.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  <w:color w:val="000000"/>
        </w:rPr>
        <w:t xml:space="preserve">Licence.</w:t>
      </w:r>
      <w:r>
        <w:rPr>
          <w:color w:val="000000"/>
        </w:rPr>
        <w:t xml:space="preserve"> </w:t>
      </w:r>
      <w:r>
        <w:rPr>
          <w:color w:val="000000"/>
        </w:rPr>
        <w:t xml:space="preserve">Used under CC BY 4.0, with the source cited.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  <w:color w:val="000000"/>
        </w:rPr>
        <w:t xml:space="preserve">Purpose limitation.</w:t>
      </w:r>
      <w:r>
        <w:rPr>
          <w:color w:val="000000"/>
        </w:rPr>
        <w:t xml:space="preserve"> </w:t>
      </w:r>
      <w:r>
        <w:rPr>
          <w:color w:val="000000"/>
        </w:rPr>
        <w:t xml:space="preserve">The flag is for prioritising support, never for denying care or for decisions about individuals without clinical review.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  <w:color w:val="000000"/>
        </w:rPr>
        <w:t xml:space="preserve">Fairness.</w:t>
      </w:r>
      <w:r>
        <w:rPr>
          <w:color w:val="000000"/>
        </w:rPr>
        <w:t xml:space="preserve"> </w:t>
      </w:r>
      <w:r>
        <w:rPr>
          <w:color w:val="000000"/>
        </w:rPr>
        <w:t xml:space="preserve">The tier uses only prior hospital use, not race or gender, but its effects still differ by group, so monitoring is built into the plan.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  <w:color w:val="000000"/>
        </w:rPr>
        <w:t xml:space="preserve">Transparency.</w:t>
      </w:r>
      <w:r>
        <w:rPr>
          <w:color w:val="000000"/>
        </w:rPr>
        <w:t xml:space="preserve"> </w:t>
      </w:r>
      <w:r>
        <w:rPr>
          <w:color w:val="000000"/>
        </w:rPr>
        <w:t xml:space="preserve">The rule is one line, the code is public in this repository, and anyone can check why a patient was flagged.</w:t>
      </w:r>
    </w:p>
    <w:p>
      <w:pPr>
        <w:numPr>
          <w:ilvl w:val="0"/>
          <w:numId w:val="1004"/>
        </w:numPr>
        <w:pStyle w:val="Compact"/>
        <w:jc w:val="both"/>
      </w:pPr>
      <w:r>
        <w:rPr>
          <w:bCs/>
          <w:b/>
          <w:color w:val="000000"/>
        </w:rPr>
        <w:t xml:space="preserve">Real-world use.</w:t>
      </w:r>
      <w:r>
        <w:rPr>
          <w:color w:val="000000"/>
        </w:rPr>
        <w:t xml:space="preserve"> </w:t>
      </w:r>
      <w:r>
        <w:rPr>
          <w:color w:val="000000"/>
        </w:rPr>
        <w:t xml:space="preserve">Applying this to real patient data would need a data protection impact assessment, information governance approval and local clinical validation.</w:t>
      </w:r>
    </w:p>
    <w:bookmarkEnd w:id="52"/>
    <w:bookmarkStart w:id="53" w:name="conclusion"/>
    <w:p>
      <w:pPr>
        <w:pStyle w:val="Heading2"/>
      </w:pPr>
      <w:r>
        <w:rPr>
          <w:color w:val="000000"/>
        </w:rPr>
        <w:t xml:space="preserve">7. Conclusion</w:t>
      </w:r>
    </w:p>
    <w:p>
      <w:pPr>
        <w:pStyle w:val="FirstParagraph"/>
        <w:jc w:val="both"/>
      </w:pPr>
      <w:r>
        <w:rPr>
          <w:color w:val="000000"/>
        </w:rPr>
        <w:t xml:space="preserve">Diabetic readmissions in this data cluster among patients who have already been in hospital. A simple rule, two or more inpatient stays in the past year, picks out one encounter in seven at more than double the usual risk, and lets a care-coordination team reach over a quarter of readmissions for about a seventh of the effort of contacting everyone. The next step is to test it on current local data with a small pilot, measure the effect, and keep a close eye on fairness.</w:t>
      </w:r>
    </w:p>
    <w:p>
      <w:pPr>
        <w:pStyle w:val="BodyText"/>
        <w:jc w:val="both"/>
      </w:pPr>
      <w:r>
        <w:rPr>
          <w:bCs/>
          <w:b/>
          <w:color w:val="000000"/>
        </w:rPr>
        <w:t xml:space="preserve">Repository:</w:t>
      </w:r>
      <w:r>
        <w:rPr>
          <w:color w:val="000000"/>
        </w:rPr>
        <w:t xml:space="preserve"> </w:t>
      </w:r>
      <w:r>
        <w:rPr>
          <w:color w:val="000000"/>
        </w:rPr>
        <w:t xml:space="preserve">dashboard (</w:t>
      </w:r>
      <w:r>
        <w:rPr>
          <w:rStyle w:val="VerbatimChar"/>
          <w:color w:val="000000"/>
        </w:rPr>
        <w:t xml:space="preserve">PowerBi/</w:t>
      </w:r>
      <w:r>
        <w:rPr>
          <w:color w:val="000000"/>
        </w:rPr>
        <w:t xml:space="preserve">), SQL (</w:t>
      </w:r>
      <w:r>
        <w:rPr>
          <w:rStyle w:val="VerbatimChar"/>
          <w:color w:val="000000"/>
        </w:rPr>
        <w:t xml:space="preserve">sql/</w:t>
      </w:r>
      <w:r>
        <w:rPr>
          <w:color w:val="000000"/>
        </w:rPr>
        <w:t xml:space="preserve">), data dictionary, cleaning log and EDA report (</w:t>
      </w:r>
      <w:r>
        <w:rPr>
          <w:rStyle w:val="VerbatimChar"/>
          <w:color w:val="000000"/>
        </w:rPr>
        <w:t xml:space="preserve">docs/</w:t>
      </w:r>
      <w:r>
        <w:rPr>
          <w:color w:val="000000"/>
        </w:rPr>
        <w:t xml:space="preserve">).</w:t>
      </w:r>
    </w:p>
    <w:bookmarkEnd w:id="53"/>
    <w:bookmarkEnd w:id="54"/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Calibri" w:hAnsi="Calibri" w:cs="Calibri" w:eastAsia="Calibri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  <w:color w:val="000000"/>
    </w:rPr>
  </w:style>
  <w:style w:default="1" w:styleId="DefaultParagraphFont" w:type="character">
    <w:name w:val="Default Paragraph Font"/>
    <w:semiHidden/>
    <w:unhideWhenUsed/>
    <w:rPr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  <w:color w:val="000000"/>
    </w:rPr>
  </w:style>
  <w:style w:customStyle="1" w:styleId="Definition" w:type="paragraph">
    <w:name w:val="Definition"/>
    <w:basedOn w:val="Normal"/>
    <w:rPr>
      <w:rFonts w:ascii="Calibri" w:hAnsi="Calibri" w:cs="Calibri" w:eastAsia="Calibri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  <w:color w:val="000000"/>
    </w:rPr>
  </w:style>
  <w:style w:customStyle="1" w:styleId="ImageCaption" w:type="paragraph">
    <w:name w:val="Image Caption"/>
    <w:basedOn w:val="Caption"/>
    <w:rPr>
      <w:rFonts w:ascii="Calibri" w:hAnsi="Calibri" w:cs="Calibri" w:eastAsia="Calibri"/>
      <w:color w:val="000000"/>
      <w:sz w:val="18"/>
    </w:rPr>
  </w:style>
  <w:style w:customStyle="1" w:styleId="Figure" w:type="paragraph">
    <w:name w:val="Figure"/>
    <w:basedOn w:val="Normal"/>
    <w:rPr>
      <w:rFonts w:ascii="Calibri" w:hAnsi="Calibri" w:cs="Calibri" w:eastAsia="Calibri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  <w:color w:val="000000"/>
    </w:rPr>
  </w:style>
  <w:style w:customStyle="1" w:styleId="BodyTextChar" w:type="character">
    <w:name w:val="Body Text Char"/>
    <w:basedOn w:val="DefaultParagraphFont"/>
    <w:link w:val="BodyText"/>
    <w:rPr>
      <w:color w:val="000000"/>
    </w:rPr>
  </w:style>
  <w:style w:customStyle="1" w:styleId="VerbatimChar" w:type="character">
    <w:name w:val="Verbatim Char"/>
    <w:basedOn w:val="BodyTextChar"/>
    <w:rPr>
      <w:rFonts w:ascii="Consolas" w:hAnsi="Consolas"/>
      <w:color w:val="000000"/>
      <w:sz w:val="22"/>
    </w:rPr>
  </w:style>
  <w:style w:customStyle="1" w:styleId="SectionNumber" w:type="character">
    <w:name w:val="Section Number"/>
    <w:basedOn w:val="BodyTextChar"/>
    <w:rPr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  <w:color w:val="000000"/>
    </w:r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>
      <w:color w:val="000000"/>
    </w:rPr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>
      <w:color w:val="000000"/>
    </w:rPr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2026-10-17T00:50:12Z</dcterms:created>
  <dcterms:modified xsi:type="dcterms:W3CDTF">2026-10-17T00:50:12Z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