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תאורתיות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תשובות</w:t>
      </w:r>
    </w:p>
    <w:p w:rsidR="00000000" w:rsidDel="00000000" w:rsidP="00000000" w:rsidRDefault="00000000" w:rsidRPr="00000000" w14:paraId="00000002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הסבירו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עקרון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הכימוס</w:t>
      </w:r>
      <w:r w:rsidDel="00000000" w:rsidR="00000000" w:rsidRPr="00000000">
        <w:rPr>
          <w:sz w:val="20"/>
          <w:szCs w:val="20"/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ab/>
      </w:r>
      <w:r w:rsidDel="00000000" w:rsidR="00000000" w:rsidRPr="00000000">
        <w:rPr>
          <w:sz w:val="20"/>
          <w:szCs w:val="20"/>
          <w:rtl w:val="1"/>
        </w:rPr>
        <w:t xml:space="preserve">עקרון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הכימוס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עקרון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בתכנות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מונחה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עצמים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המגביל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ממרכיבים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באובייקט</w:t>
      </w:r>
      <w:r w:rsidDel="00000000" w:rsidR="00000000" w:rsidRPr="00000000">
        <w:rPr>
          <w:sz w:val="20"/>
          <w:szCs w:val="20"/>
          <w:rtl w:val="1"/>
        </w:rPr>
        <w:t xml:space="preserve">   </w:t>
      </w:r>
      <w:r w:rsidDel="00000000" w:rsidR="00000000" w:rsidRPr="00000000">
        <w:rPr>
          <w:sz w:val="20"/>
          <w:szCs w:val="20"/>
          <w:rtl w:val="1"/>
        </w:rPr>
        <w:t xml:space="preserve">כך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מרכיבים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חלקי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הממשק</w:t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ההבדל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אבסטרקטית</w:t>
      </w:r>
      <w:r w:rsidDel="00000000" w:rsidR="00000000" w:rsidRPr="00000000">
        <w:rPr>
          <w:sz w:val="20"/>
          <w:szCs w:val="20"/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מגדירה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התכונות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המשותפות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רגילה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לעומת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אבסטרקטית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אבסטקרטית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יוכלו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אבסטרקטיות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אבסטרקטית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מימוש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מגדירה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ומחזירה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ההבדל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סטטית</w:t>
      </w:r>
      <w:r w:rsidDel="00000000" w:rsidR="00000000" w:rsidRPr="00000000">
        <w:rPr>
          <w:sz w:val="20"/>
          <w:szCs w:val="20"/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מגדירה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התכונות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המשותפות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רגילה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חברי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הסטטית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שייכים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עצמה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משמעות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מופע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נוצרו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מהמחלקה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לחברי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הסטטית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אובייקט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0"/>
        </w:rPr>
        <w:t xml:space="preserve">members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access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modifier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1"/>
        </w:rPr>
        <w:t xml:space="preserve"> ?</w:t>
      </w:r>
    </w:p>
    <w:p w:rsidR="00000000" w:rsidDel="00000000" w:rsidP="00000000" w:rsidRDefault="00000000" w:rsidRPr="00000000" w14:paraId="00000011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0"/>
        </w:rPr>
        <w:t xml:space="preserve">members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Assembly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בתנאי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נמצא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הרחבה</w:t>
      </w:r>
      <w:r w:rsidDel="00000000" w:rsidR="00000000" w:rsidRPr="00000000">
        <w:rPr>
          <w:sz w:val="20"/>
          <w:szCs w:val="20"/>
          <w:rtl w:val="1"/>
        </w:rPr>
        <w:t xml:space="preserve">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באותו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קובץ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בקובץ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מוגדר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member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access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modifier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internal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אליו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באותו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Assembly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assembly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member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access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modifier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וכל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קורא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בתנאי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before="24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נמצא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באותו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מרחב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לארגן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היררכית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ולמנוע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התנגשויות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מחלקות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ופונקציות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240" w:before="0" w:beforeAutospacing="0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הקוד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בשמות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מלאים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כפי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שהוגדרו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במחלקה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member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כולל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המחלקה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member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