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Stocks comparative periodical analysis</w:t>
      </w:r>
    </w:p>
    <w:p>
      <w:r>
        <w:br/>
        <w:t>base path:</w:t>
        <w:br/>
        <w:t>/Users/oristav/Library/CloudStorage/Dropbox/Library/Code/OriFin/#PyCode/Investment Analytics</w:t>
        <w:br/>
        <w:t>export path:</w:t>
        <w:br/>
        <w:t>/Users/oristav/Library/CloudStorage/Dropbox/Library/Code/OriFin/#PyCode/Investment Analytics//report.docx</w:t>
        <w:br/>
        <w:t>invst_dur:</w:t>
        <w:br/>
        <w:t>5</w:t>
        <w:br/>
        <w:t>lst_wthrwl:</w:t>
        <w:br/>
        <w:t>0</w:t>
        <w:br/>
        <w:t>run date:</w:t>
        <w:br/>
        <w:t>2023-02-25</w:t>
        <w:br/>
        <w:t>run duration:</w:t>
        <w:br/>
        <w:t>3.2 seconds</w:t>
        <w:br/>
        <w:t>symbols:</w:t>
        <w:br/>
        <w:t>^GSPC AAPL NFLX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