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40" w:before="240" w:lineRule="auto"/>
        <w:rPr/>
      </w:pPr>
      <w:r w:rsidDel="00000000" w:rsidR="00000000" w:rsidRPr="00000000">
        <w:rPr>
          <w:rtl w:val="0"/>
        </w:rPr>
        <w:t xml:space="preserve">Custom Containers</w:t>
      </w:r>
    </w:p>
    <w:p w:rsidR="00000000" w:rsidDel="00000000" w:rsidP="00000000" w:rsidRDefault="00000000" w:rsidRPr="00000000" w14:paraId="00000003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  <w:t xml:space="preserve">One page can have multiple scroll containers.</w:t>
      </w:r>
    </w:p>
    <w:p w:rsidR="00000000" w:rsidDel="00000000" w:rsidP="00000000" w:rsidRDefault="00000000" w:rsidRPr="00000000" w14:paraId="0000000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 scroll container can be any element (usually a div though), that has scrolling happening inside of it.</w:t>
      </w:r>
    </w:p>
    <w:p w:rsidR="00000000" w:rsidDel="00000000" w:rsidP="00000000" w:rsidRDefault="00000000" w:rsidRPr="00000000" w14:paraId="0000000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While textareas have scrolling enabled by default, it needs to be explicitly set for divs, using the css style overflow: scroll.</w:t>
      </w:r>
    </w:p>
    <w:p w:rsidR="00000000" w:rsidDel="00000000" w:rsidP="00000000" w:rsidRDefault="00000000" w:rsidRPr="00000000" w14:paraId="0000000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for green.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Wait for green.</w:t>
      </w:r>
    </w:p>
    <w:p w:rsidR="00000000" w:rsidDel="00000000" w:rsidP="00000000" w:rsidRDefault="00000000" w:rsidRPr="00000000" w14:paraId="0000000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</w:rPr>
      </w:pPr>
      <w:hyperlink w:anchor="gjdgxs">
        <w:r w:rsidDel="00000000" w:rsidR="00000000" w:rsidRPr="00000000">
          <w:rPr>
            <w:color w:val="0000ee"/>
            <w:u w:val="single"/>
            <w:rtl w:val="0"/>
          </w:rPr>
          <w:t xml:space="preserve">view source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