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48"/>
        <w:tblBorders>
          <w:top w:val="none" w:color="FFFFFF" w:sz="0"/>
          <w:left w:val="none" w:color="FFFFFF" w:sz="0"/>
          <w:bottom w:val="none" w:color="FFFFFF" w:sz="0"/>
          <w:right w:val="none" w:color="FFFFFF" w:sz="0"/>
          <w:insideH w:val="single" w:color="auto" w:sz="4"/>
          <w:insideV w:val="single" w:color="auto" w:sz="4"/>
        </w:tblBorders>
      </w:tblPr>
      <w:tblGrid>
        <w:gridCol w:w="1720"/>
        <w:gridCol w:w="7928"/>
      </w:tblGrid>
      <w:tr>
        <w:tc>
          <w:tcPr>
            <w:tcW w:type="dxa" w:w="9648"/>
            <w:gridSpan w:val="2"/>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60" w:before="0"/>
              <w:jc w:val="left"/>
            </w:pPr>
            <w:r>
              <w:rPr>
                <w:rFonts w:ascii="Calibri" w:cs="Calibri" w:eastAsia="Calibri" w:hAnsi="Calibri"/>
                <w:b/>
                <w:bCs/>
                <w:i w:val="false"/>
                <w:iCs w:val="false"/>
                <w:color w:val="1A1A1A"/>
                <w:sz w:val="60"/>
                <w:szCs w:val="60"/>
              </w:rPr>
              <w:t xml:space="preserve">ORI COHEN</w:t>
            </w:r>
          </w:p>
        </w:tc>
      </w:tr>
      <w:tr>
        <w:tc>
          <w:tcPr>
            <w:tcW w:type="dxa" w:w="9648"/>
            <w:gridSpan w:val="2"/>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60" w:before="0"/>
              <w:jc w:val="left"/>
            </w:pPr>
            <w:r>
              <w:rPr>
                <w:rFonts w:ascii="Calibri" w:cs="Calibri" w:eastAsia="Calibri" w:hAnsi="Calibri"/>
                <w:b w:val="false"/>
                <w:bCs w:val="false"/>
                <w:i w:val="false"/>
                <w:iCs w:val="false"/>
                <w:color w:val="6B7280"/>
                <w:sz w:val="17"/>
                <w:szCs w:val="17"/>
              </w:rPr>
              <w:t xml:space="preserve">Product Designer  ·  Design Team Lead</w:t>
            </w:r>
          </w:p>
          <w:p>
            <w:pPr>
              <w:spacing w:after="0" w:before="0"/>
              <w:jc w:val="left"/>
            </w:pPr>
            <w:hyperlink w:history="1" r:id="rIdv0uaaayatcy0jz3idtq8u">
              <w:r>
                <w:rPr>
                  <w:rStyle w:val="Hyperlink"/>
                  <w:rFonts w:ascii="Calibri" w:cs="Calibri" w:eastAsia="Calibri" w:hAnsi="Calibri"/>
                  <w:color w:val="1558C8"/>
                  <w:sz w:val="17"/>
                  <w:szCs w:val="17"/>
                </w:rPr>
                <w:t xml:space="preserve">oricohenw@gmail.com</w:t>
              </w:r>
            </w:hyperlink>
            <w:r>
              <w:rPr>
                <w:rFonts w:ascii="Calibri" w:cs="Calibri" w:eastAsia="Calibri" w:hAnsi="Calibri"/>
                <w:b w:val="false"/>
                <w:bCs w:val="false"/>
                <w:i w:val="false"/>
                <w:iCs w:val="false"/>
                <w:color w:val="6B7280"/>
                <w:sz w:val="17"/>
                <w:szCs w:val="17"/>
              </w:rPr>
              <w:t xml:space="preserve">   ·   </w:t>
            </w:r>
            <w:hyperlink w:history="1" r:id="rId0cq8l5jvh1mxm2tbzhx94">
              <w:r>
                <w:rPr>
                  <w:rStyle w:val="Hyperlink"/>
                  <w:rFonts w:ascii="Calibri" w:cs="Calibri" w:eastAsia="Calibri" w:hAnsi="Calibri"/>
                  <w:color w:val="1558C8"/>
                  <w:sz w:val="17"/>
                  <w:szCs w:val="17"/>
                </w:rPr>
                <w:t xml:space="preserve">054-3383953</w:t>
              </w:r>
            </w:hyperlink>
            <w:r>
              <w:rPr>
                <w:rFonts w:ascii="Calibri" w:cs="Calibri" w:eastAsia="Calibri" w:hAnsi="Calibri"/>
                <w:b w:val="false"/>
                <w:bCs w:val="false"/>
                <w:i w:val="false"/>
                <w:iCs w:val="false"/>
                <w:color w:val="6B7280"/>
                <w:sz w:val="17"/>
                <w:szCs w:val="17"/>
              </w:rPr>
              <w:t xml:space="preserve">   ·   </w:t>
            </w:r>
            <w:hyperlink w:history="1" r:id="rId1znlssfi9uts383r9hvo9">
              <w:r>
                <w:rPr>
                  <w:rStyle w:val="Hyperlink"/>
                  <w:rFonts w:ascii="Calibri" w:cs="Calibri" w:eastAsia="Calibri" w:hAnsi="Calibri"/>
                  <w:color w:val="1558C8"/>
                  <w:sz w:val="17"/>
                  <w:szCs w:val="17"/>
                </w:rPr>
                <w:t xml:space="preserve">Portfolio</w:t>
              </w:r>
            </w:hyperlink>
            <w:r>
              <w:rPr>
                <w:rFonts w:ascii="Calibri" w:cs="Calibri" w:eastAsia="Calibri" w:hAnsi="Calibri"/>
                <w:b w:val="false"/>
                <w:bCs w:val="false"/>
                <w:i w:val="false"/>
                <w:iCs w:val="false"/>
                <w:color w:val="6B7280"/>
                <w:sz w:val="17"/>
                <w:szCs w:val="17"/>
              </w:rPr>
              <w:t xml:space="preserve">   ·   </w:t>
            </w:r>
            <w:hyperlink w:history="1" r:id="rIddibotx1ynia1pxiib3mft">
              <w:r>
                <w:rPr>
                  <w:rStyle w:val="Hyperlink"/>
                  <w:rFonts w:ascii="Calibri" w:cs="Calibri" w:eastAsia="Calibri" w:hAnsi="Calibri"/>
                  <w:color w:val="1558C8"/>
                  <w:sz w:val="17"/>
                  <w:szCs w:val="17"/>
                </w:rPr>
                <w:t xml:space="preserve">LinkedIn</w:t>
              </w:r>
            </w:hyperlink>
          </w:p>
        </w:tc>
      </w:tr>
      <w:tr>
        <w:tc>
          <w:tcPr>
            <w:tcW w:type="dxa" w:w="9648"/>
            <w:gridSpan w:val="2"/>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440"/>
              <w:jc w:val="left"/>
            </w:pPr>
            <w:r>
              <w:rPr>
                <w:rFonts w:ascii="Calibri" w:cs="Calibri" w:eastAsia="Calibri" w:hAnsi="Calibri"/>
                <w:b w:val="false"/>
                <w:bCs w:val="false"/>
                <w:i w:val="false"/>
                <w:iCs w:val="false"/>
                <w:color w:val="1A1A1A"/>
                <w:sz w:val="18"/>
                <w:szCs w:val="18"/>
              </w:rPr>
              <w:t xml:space="preserve"/>
            </w:r>
          </w:p>
        </w:tc>
      </w:tr>
      <w:tr>
        <w:tc>
          <w:tcPr>
            <w:tcW w:type="dxa" w:w="1720"/>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spacing w:after="8" w:before="0"/>
              <w:jc w:val="left"/>
            </w:pPr>
            <w:r>
              <w:rPr>
                <w:rFonts w:ascii="Calibri" w:cs="Calibri" w:eastAsia="Calibri" w:hAnsi="Calibri"/>
                <w:b/>
                <w:bCs/>
                <w:i w:val="false"/>
                <w:iCs w:val="false"/>
                <w:color w:val="1558C8"/>
                <w:sz w:val="16"/>
                <w:szCs w:val="16"/>
              </w:rPr>
              <w:t xml:space="preserve">ABOUT</w:t>
            </w:r>
          </w:p>
        </w:tc>
        <w:tc>
          <w:tcPr>
            <w:tcW w:type="dxa" w:w="792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Product Designer and Design Team Lead with 5+ years of experience building enterprise products end-to-end. From discovery and user research to final delivery - bringing the same level of care to strategy and execution. Currently leading a team of designers at Verint, driving mobile UX and new product features.</w:t>
            </w:r>
          </w:p>
        </w:tc>
      </w:tr>
      <w:tr>
        <w:tc>
          <w:tcPr>
            <w:tcW w:type="dxa" w:w="1720"/>
            <w:tcBorders>
              <w:top w:val="none" w:color="FFFFFF" w:sz="0"/>
              <w:left w:val="none" w:color="FFFFFF" w:sz="0"/>
              <w:bottom w:val="none" w:color="FFFFFF" w:sz="0"/>
              <w:right w:val="none" w:color="FFFFFF" w:sz="0"/>
            </w:tcBorders>
            <w:tcMar>
              <w:top w:type="dxa" w:w="400"/>
              <w:left w:type="dxa" w:w="0"/>
              <w:bottom w:type="dxa" w:w="0"/>
              <w:right w:type="dxa" w:w="100"/>
            </w:tcMar>
            <w:vAlign w:val="top"/>
          </w:tcPr>
          <w:p>
            <w:pPr>
              <w:spacing w:after="8" w:before="0"/>
              <w:jc w:val="left"/>
            </w:pPr>
            <w:r>
              <w:rPr>
                <w:rFonts w:ascii="Calibri" w:cs="Calibri" w:eastAsia="Calibri" w:hAnsi="Calibri"/>
                <w:b/>
                <w:bCs/>
                <w:i w:val="false"/>
                <w:iCs w:val="false"/>
                <w:color w:val="1558C8"/>
                <w:sz w:val="16"/>
                <w:szCs w:val="16"/>
              </w:rPr>
              <w:t xml:space="preserve">EXPERIENCE</w:t>
            </w:r>
          </w:p>
        </w:tc>
        <w:tc>
          <w:tcPr>
            <w:tcW w:type="dxa" w:w="7928"/>
            <w:tcBorders>
              <w:top w:val="none" w:color="FFFFFF" w:sz="0"/>
              <w:left w:val="none" w:color="FFFFFF" w:sz="0"/>
              <w:bottom w:val="none" w:color="FFFFFF" w:sz="0"/>
              <w:right w:val="none" w:color="FFFFFF" w:sz="0"/>
            </w:tcBorders>
            <w:tcMar>
              <w:top w:type="dxa" w:w="400"/>
              <w:left w:type="dxa" w:w="0"/>
              <w:bottom w:type="dxa" w:w="0"/>
              <w:right w:type="dxa" w:w="0"/>
            </w:tcMar>
            <w:vAlign w:val="top"/>
          </w:tcPr>
          <w:p>
            <w:pPr>
              <w:spacing w:after="40" w:before="0"/>
              <w:jc w:val="left"/>
            </w:pPr>
            <w:r>
              <w:rPr>
                <w:rFonts w:ascii="Calibri" w:cs="Calibri" w:eastAsia="Calibri" w:hAnsi="Calibri"/>
                <w:b/>
                <w:bCs/>
                <w:i w:val="false"/>
                <w:iCs w:val="false"/>
                <w:color w:val="1A1A1A"/>
                <w:sz w:val="18"/>
                <w:szCs w:val="18"/>
              </w:rPr>
              <w:t xml:space="preserve">Product Design Team Lead</w:t>
            </w:r>
            <w:r>
              <w:rPr>
                <w:rFonts w:ascii="Calibri" w:cs="Calibri" w:eastAsia="Calibri" w:hAnsi="Calibri"/>
                <w:b w:val="false"/>
                <w:bCs w:val="false"/>
                <w:i w:val="false"/>
                <w:iCs w:val="false"/>
                <w:color w:val="1A1A1A"/>
                <w:sz w:val="18"/>
                <w:szCs w:val="18"/>
              </w:rPr>
              <w:t xml:space="preserve"> / Verint</w:t>
            </w:r>
          </w:p>
          <w:p>
            <w:pPr>
              <w:spacing w:after="40" w:before="0"/>
              <w:jc w:val="left"/>
            </w:pPr>
            <w:r>
              <w:rPr>
                <w:rFonts w:ascii="Calibri" w:cs="Calibri" w:eastAsia="Calibri" w:hAnsi="Calibri"/>
                <w:b w:val="false"/>
                <w:bCs w:val="false"/>
                <w:i/>
                <w:iCs/>
                <w:color w:val="6B7280"/>
                <w:sz w:val="16"/>
                <w:szCs w:val="16"/>
              </w:rPr>
              <w:t xml:space="preserve">Aug 2024 – Present  ·  Tel Aviv</w:t>
            </w:r>
          </w:p>
          <w:p>
            <w:pPr>
              <w:spacing w:after="180" w:before="0"/>
              <w:jc w:val="left"/>
            </w:pPr>
            <w:r>
              <w:rPr>
                <w:rFonts w:ascii="Calibri" w:cs="Calibri" w:eastAsia="Calibri" w:hAnsi="Calibri"/>
                <w:b w:val="false"/>
                <w:bCs w:val="false"/>
                <w:i w:val="false"/>
                <w:iCs w:val="false"/>
                <w:color w:val="1A1A1A"/>
                <w:sz w:val="17"/>
                <w:szCs w:val="17"/>
              </w:rPr>
              <w:t xml:space="preserve">Leading a team of product designers - mentorship, design reviews, and cross-functional alignment. Owning the mobile UX domain: patterns, standards, and accessible flows. Driving product discovery with PMs. Led the design of Verint's Design System from scratch - WCAG 2.1 AA compliant, fully token-based; built a Motion Library with Lottie animations; pixel-perfect Figma-to-code implementation.</w:t>
            </w:r>
          </w:p>
          <w:p>
            <w:pPr>
              <w:spacing w:after="40" w:before="0"/>
              <w:jc w:val="left"/>
            </w:pPr>
            <w:r>
              <w:rPr>
                <w:rFonts w:ascii="Calibri" w:cs="Calibri" w:eastAsia="Calibri" w:hAnsi="Calibri"/>
                <w:b/>
                <w:bCs/>
                <w:i w:val="false"/>
                <w:iCs w:val="false"/>
                <w:color w:val="1A1A1A"/>
                <w:sz w:val="18"/>
                <w:szCs w:val="18"/>
              </w:rPr>
              <w:t xml:space="preserve">Product Designer  →  Experienced Product Designer</w:t>
            </w:r>
            <w:r>
              <w:rPr>
                <w:rFonts w:ascii="Calibri" w:cs="Calibri" w:eastAsia="Calibri" w:hAnsi="Calibri"/>
                <w:b w:val="false"/>
                <w:bCs w:val="false"/>
                <w:i w:val="false"/>
                <w:iCs w:val="false"/>
                <w:color w:val="1A1A1A"/>
                <w:sz w:val="18"/>
                <w:szCs w:val="18"/>
              </w:rPr>
              <w:t xml:space="preserve"> / Verint</w:t>
            </w:r>
          </w:p>
          <w:p>
            <w:pPr>
              <w:spacing w:after="40" w:before="0"/>
              <w:jc w:val="left"/>
            </w:pPr>
            <w:r>
              <w:rPr>
                <w:rFonts w:ascii="Calibri" w:cs="Calibri" w:eastAsia="Calibri" w:hAnsi="Calibri"/>
                <w:b w:val="false"/>
                <w:bCs w:val="false"/>
                <w:i/>
                <w:iCs/>
                <w:color w:val="6B7280"/>
                <w:sz w:val="16"/>
                <w:szCs w:val="16"/>
              </w:rPr>
              <w:t xml:space="preserve">Feb 2022 – Aug 2024  ·  Tel Aviv</w:t>
            </w:r>
          </w:p>
          <w:p>
            <w:pPr>
              <w:spacing w:after="180" w:before="0"/>
              <w:jc w:val="left"/>
            </w:pPr>
            <w:r>
              <w:rPr>
                <w:rFonts w:ascii="Calibri" w:cs="Calibri" w:eastAsia="Calibri" w:hAnsi="Calibri"/>
                <w:b w:val="false"/>
                <w:bCs w:val="false"/>
                <w:i w:val="false"/>
                <w:iCs w:val="false"/>
                <w:color w:val="1A1A1A"/>
                <w:sz w:val="17"/>
                <w:szCs w:val="17"/>
              </w:rPr>
              <w:t xml:space="preserve">Designed end-to-end product features for Verint's enterprise SaaS platform, progressing from individual contributor to senior designer. Conducted user research and interviews. Collaborated with PMs and dev in agile from discovery through delivery, with consistent focus on accessibility and interaction quality.</w:t>
            </w:r>
          </w:p>
          <w:p>
            <w:pPr>
              <w:spacing w:after="40" w:before="0"/>
              <w:jc w:val="left"/>
            </w:pPr>
            <w:r>
              <w:rPr>
                <w:rFonts w:ascii="Calibri" w:cs="Calibri" w:eastAsia="Calibri" w:hAnsi="Calibri"/>
                <w:b/>
                <w:bCs/>
                <w:i w:val="false"/>
                <w:iCs w:val="false"/>
                <w:color w:val="1A1A1A"/>
                <w:sz w:val="18"/>
                <w:szCs w:val="18"/>
              </w:rPr>
              <w:t xml:space="preserve">UX/UI Designer</w:t>
            </w:r>
            <w:r>
              <w:rPr>
                <w:rFonts w:ascii="Calibri" w:cs="Calibri" w:eastAsia="Calibri" w:hAnsi="Calibri"/>
                <w:b w:val="false"/>
                <w:bCs w:val="false"/>
                <w:i w:val="false"/>
                <w:iCs w:val="false"/>
                <w:color w:val="1A1A1A"/>
                <w:sz w:val="18"/>
                <w:szCs w:val="18"/>
              </w:rPr>
              <w:t xml:space="preserve"> / Ori Mintz Media</w:t>
            </w:r>
          </w:p>
          <w:p>
            <w:pPr>
              <w:spacing w:after="40" w:before="0"/>
              <w:jc w:val="left"/>
            </w:pPr>
            <w:r>
              <w:rPr>
                <w:rFonts w:ascii="Calibri" w:cs="Calibri" w:eastAsia="Calibri" w:hAnsi="Calibri"/>
                <w:b w:val="false"/>
                <w:bCs w:val="false"/>
                <w:i/>
                <w:iCs/>
                <w:color w:val="6B7280"/>
                <w:sz w:val="16"/>
                <w:szCs w:val="16"/>
              </w:rPr>
              <w:t xml:space="preserve">Nov 2020 – Jan 2022</w:t>
            </w:r>
          </w:p>
          <w:p>
            <w:pPr>
              <w:spacing w:after="180" w:before="0"/>
              <w:jc w:val="left"/>
            </w:pPr>
            <w:r>
              <w:rPr>
                <w:rFonts w:ascii="Calibri" w:cs="Calibri" w:eastAsia="Calibri" w:hAnsi="Calibri"/>
                <w:b w:val="false"/>
                <w:bCs w:val="false"/>
                <w:i w:val="false"/>
                <w:iCs w:val="false"/>
                <w:color w:val="1A1A1A"/>
                <w:sz w:val="17"/>
                <w:szCs w:val="17"/>
              </w:rPr>
              <w:t xml:space="preserve">Designed and built websites end-to-end - client discovery and UX research to prototyping, development, and QA. Responsible for all motion and animation: Lottie, GIFs, promotional videos, animated social content.</w:t>
            </w:r>
          </w:p>
          <w:p>
            <w:pPr>
              <w:spacing w:after="40" w:before="0"/>
              <w:jc w:val="left"/>
            </w:pPr>
            <w:r>
              <w:rPr>
                <w:rFonts w:ascii="Calibri" w:cs="Calibri" w:eastAsia="Calibri" w:hAnsi="Calibri"/>
                <w:b/>
                <w:bCs/>
                <w:i w:val="false"/>
                <w:iCs w:val="false"/>
                <w:color w:val="1A1A1A"/>
                <w:sz w:val="18"/>
                <w:szCs w:val="18"/>
              </w:rPr>
              <w:t xml:space="preserve">Security Specialist</w:t>
            </w:r>
            <w:r>
              <w:rPr>
                <w:rFonts w:ascii="Calibri" w:cs="Calibri" w:eastAsia="Calibri" w:hAnsi="Calibri"/>
                <w:b w:val="false"/>
                <w:bCs w:val="false"/>
                <w:i w:val="false"/>
                <w:iCs w:val="false"/>
                <w:color w:val="1A1A1A"/>
                <w:sz w:val="18"/>
                <w:szCs w:val="18"/>
              </w:rPr>
              <w:t xml:space="preserve"> / Office of the Prime Minister of Israel</w:t>
            </w:r>
          </w:p>
          <w:p>
            <w:pPr>
              <w:spacing w:after="40" w:before="0"/>
              <w:jc w:val="left"/>
            </w:pPr>
            <w:r>
              <w:rPr>
                <w:rFonts w:ascii="Calibri" w:cs="Calibri" w:eastAsia="Calibri" w:hAnsi="Calibri"/>
                <w:b w:val="false"/>
                <w:bCs w:val="false"/>
                <w:i/>
                <w:iCs/>
                <w:color w:val="6B7280"/>
                <w:sz w:val="16"/>
                <w:szCs w:val="16"/>
              </w:rPr>
              <w:t xml:space="preserve">Jan 2017 – Oct 2020</w:t>
            </w:r>
          </w:p>
          <w:p>
            <w:pPr>
              <w:spacing w:after="0" w:before="0"/>
              <w:jc w:val="left"/>
            </w:pPr>
            <w:r>
              <w:rPr>
                <w:rFonts w:ascii="Calibri" w:cs="Calibri" w:eastAsia="Calibri" w:hAnsi="Calibri"/>
                <w:b w:val="false"/>
                <w:bCs w:val="false"/>
                <w:i w:val="false"/>
                <w:iCs w:val="false"/>
                <w:color w:val="1A1A1A"/>
                <w:sz w:val="17"/>
                <w:szCs w:val="17"/>
              </w:rPr>
              <w:t xml:space="preserve">Classified role.</w:t>
            </w:r>
          </w:p>
        </w:tc>
      </w:tr>
      <w:tr>
        <w:tc>
          <w:tcPr>
            <w:tcW w:type="dxa" w:w="1720"/>
            <w:tcBorders>
              <w:top w:val="none" w:color="FFFFFF" w:sz="0"/>
              <w:left w:val="none" w:color="FFFFFF" w:sz="0"/>
              <w:bottom w:val="none" w:color="FFFFFF" w:sz="0"/>
              <w:right w:val="none" w:color="FFFFFF" w:sz="0"/>
            </w:tcBorders>
            <w:tcMar>
              <w:top w:type="dxa" w:w="400"/>
              <w:left w:type="dxa" w:w="0"/>
              <w:bottom w:type="dxa" w:w="0"/>
              <w:right w:type="dxa" w:w="100"/>
            </w:tcMar>
            <w:vAlign w:val="top"/>
          </w:tcPr>
          <w:p>
            <w:pPr>
              <w:spacing w:after="8" w:before="0"/>
              <w:jc w:val="left"/>
            </w:pPr>
            <w:r>
              <w:rPr>
                <w:rFonts w:ascii="Calibri" w:cs="Calibri" w:eastAsia="Calibri" w:hAnsi="Calibri"/>
                <w:b/>
                <w:bCs/>
                <w:i w:val="false"/>
                <w:iCs w:val="false"/>
                <w:color w:val="1558C8"/>
                <w:sz w:val="16"/>
                <w:szCs w:val="16"/>
              </w:rPr>
              <w:t xml:space="preserve">SKILLS</w:t>
            </w:r>
          </w:p>
        </w:tc>
        <w:tc>
          <w:tcPr>
            <w:tcW w:type="dxa" w:w="7928"/>
            <w:tcBorders>
              <w:top w:val="none" w:color="FFFFFF" w:sz="0"/>
              <w:left w:val="none" w:color="FFFFFF" w:sz="0"/>
              <w:bottom w:val="none" w:color="FFFFFF" w:sz="0"/>
              <w:right w:val="none" w:color="FFFFFF" w:sz="0"/>
            </w:tcBorders>
            <w:tcMar>
              <w:top w:type="dxa" w:w="400"/>
              <w:left w:type="dxa" w:w="0"/>
              <w:bottom w:type="dxa" w:w="0"/>
              <w:right w:type="dxa" w:w="0"/>
            </w:tcMar>
            <w:vAlign w:val="top"/>
          </w:tcPr>
          <w:p>
            <w:pPr>
              <w:spacing w:after="60" w:before="0"/>
              <w:jc w:val="left"/>
            </w:pPr>
            <w:r>
              <w:rPr>
                <w:rFonts w:ascii="Calibri" w:cs="Calibri" w:eastAsia="Calibri" w:hAnsi="Calibri"/>
                <w:b/>
                <w:bCs/>
                <w:i w:val="false"/>
                <w:iCs w:val="false"/>
                <w:color w:val="1A1A1A"/>
                <w:sz w:val="18"/>
                <w:szCs w:val="18"/>
              </w:rPr>
              <w:t xml:space="preserve">Product  </w:t>
            </w:r>
            <w:r>
              <w:rPr>
                <w:rFonts w:ascii="Calibri" w:cs="Calibri" w:eastAsia="Calibri" w:hAnsi="Calibri"/>
                <w:b w:val="false"/>
                <w:bCs w:val="false"/>
                <w:i w:val="false"/>
                <w:iCs w:val="false"/>
                <w:color w:val="1A1A1A"/>
                <w:sz w:val="17"/>
                <w:szCs w:val="17"/>
              </w:rPr>
              <w:t xml:space="preserve">Product Discovery  ·  User Research &amp; Interviews  ·  Design Systems  ·  Accessibility (WCAG 2.1)  ·  Mobile UX  ·  Wireframing &amp; Prototyping  ·  Figma-to-Code  ·  Motion Design  ·  Team Leadership</w:t>
            </w:r>
          </w:p>
          <w:p>
            <w:pPr>
              <w:spacing w:after="0" w:before="0"/>
              <w:jc w:val="left"/>
            </w:pPr>
            <w:r>
              <w:rPr>
                <w:rFonts w:ascii="Calibri" w:cs="Calibri" w:eastAsia="Calibri" w:hAnsi="Calibri"/>
                <w:b/>
                <w:bCs/>
                <w:i w:val="false"/>
                <w:iCs w:val="false"/>
                <w:color w:val="1A1A1A"/>
                <w:sz w:val="18"/>
                <w:szCs w:val="18"/>
              </w:rPr>
              <w:t xml:space="preserve">Tools      </w:t>
            </w:r>
            <w:r>
              <w:rPr>
                <w:rFonts w:ascii="Calibri" w:cs="Calibri" w:eastAsia="Calibri" w:hAnsi="Calibri"/>
                <w:b w:val="false"/>
                <w:bCs w:val="false"/>
                <w:i w:val="false"/>
                <w:iCs w:val="false"/>
                <w:color w:val="1A1A1A"/>
                <w:sz w:val="17"/>
                <w:szCs w:val="17"/>
              </w:rPr>
              <w:t xml:space="preserve">Figma  ·  Framer  ·  Cursor  ·  Illustrator  ·  Photoshop  ·  After Effects  ·  Premiere Pro  ·  WordPress  ·  Elementor  ·  HTML/CSS  ·  Storybook</w:t>
            </w:r>
          </w:p>
        </w:tc>
      </w:tr>
      <w:tr>
        <w:tc>
          <w:tcPr>
            <w:tcW w:type="dxa" w:w="1720"/>
            <w:tcBorders>
              <w:top w:val="none" w:color="FFFFFF" w:sz="0"/>
              <w:left w:val="none" w:color="FFFFFF" w:sz="0"/>
              <w:bottom w:val="none" w:color="FFFFFF" w:sz="0"/>
              <w:right w:val="none" w:color="FFFFFF" w:sz="0"/>
            </w:tcBorders>
            <w:tcMar>
              <w:top w:type="dxa" w:w="400"/>
              <w:left w:type="dxa" w:w="0"/>
              <w:bottom w:type="dxa" w:w="0"/>
              <w:right w:type="dxa" w:w="100"/>
            </w:tcMar>
            <w:vAlign w:val="top"/>
          </w:tcPr>
          <w:p>
            <w:pPr>
              <w:spacing w:after="8" w:before="0"/>
              <w:jc w:val="left"/>
            </w:pPr>
            <w:r>
              <w:rPr>
                <w:rFonts w:ascii="Calibri" w:cs="Calibri" w:eastAsia="Calibri" w:hAnsi="Calibri"/>
                <w:b/>
                <w:bCs/>
                <w:i w:val="false"/>
                <w:iCs w:val="false"/>
                <w:color w:val="1558C8"/>
                <w:sz w:val="16"/>
                <w:szCs w:val="16"/>
              </w:rPr>
              <w:t xml:space="preserve">EDUCATION</w:t>
            </w:r>
          </w:p>
        </w:tc>
        <w:tc>
          <w:tcPr>
            <w:tcW w:type="dxa" w:w="7928"/>
            <w:tcBorders>
              <w:top w:val="none" w:color="FFFFFF" w:sz="0"/>
              <w:left w:val="none" w:color="FFFFFF" w:sz="0"/>
              <w:bottom w:val="none" w:color="FFFFFF" w:sz="0"/>
              <w:right w:val="none" w:color="FFFFFF" w:sz="0"/>
            </w:tcBorders>
            <w:tcMar>
              <w:top w:type="dxa" w:w="400"/>
              <w:left w:type="dxa" w:w="0"/>
              <w:bottom w:type="dxa" w:w="0"/>
              <w:right w:type="dxa" w:w="0"/>
            </w:tcMar>
            <w:vAlign w:val="top"/>
          </w:tcPr>
          <w:p>
            <w:pPr>
              <w:spacing w:after="40" w:before="0"/>
              <w:jc w:val="left"/>
            </w:pPr>
            <w:r>
              <w:rPr>
                <w:rFonts w:ascii="Calibri" w:cs="Calibri" w:eastAsia="Calibri" w:hAnsi="Calibri"/>
                <w:b/>
                <w:bCs/>
                <w:i w:val="false"/>
                <w:iCs w:val="false"/>
                <w:color w:val="1A1A1A"/>
                <w:sz w:val="18"/>
                <w:szCs w:val="18"/>
              </w:rPr>
              <w:t xml:space="preserve">Google UX Design Professional Certificate</w:t>
            </w:r>
            <w:r>
              <w:rPr>
                <w:rFonts w:ascii="Calibri" w:cs="Calibri" w:eastAsia="Calibri" w:hAnsi="Calibri"/>
                <w:b w:val="false"/>
                <w:bCs w:val="false"/>
                <w:i w:val="false"/>
                <w:iCs w:val="false"/>
                <w:color w:val="1A1A1A"/>
                <w:sz w:val="18"/>
                <w:szCs w:val="18"/>
              </w:rPr>
              <w:t xml:space="preserve">  /  Coursera &amp; Google</w:t>
            </w:r>
          </w:p>
          <w:p>
            <w:pPr>
              <w:spacing w:after="140" w:before="0"/>
              <w:jc w:val="left"/>
            </w:pPr>
            <w:r>
              <w:rPr>
                <w:rFonts w:ascii="Calibri" w:cs="Calibri" w:eastAsia="Calibri" w:hAnsi="Calibri"/>
                <w:b w:val="false"/>
                <w:bCs w:val="false"/>
                <w:i/>
                <w:iCs/>
                <w:color w:val="6B7280"/>
                <w:sz w:val="16"/>
                <w:szCs w:val="16"/>
              </w:rPr>
              <w:t xml:space="preserve">2022</w:t>
            </w:r>
          </w:p>
          <w:p>
            <w:pPr>
              <w:spacing w:after="40" w:before="0"/>
              <w:jc w:val="left"/>
            </w:pPr>
            <w:r>
              <w:rPr>
                <w:rFonts w:ascii="Calibri" w:cs="Calibri" w:eastAsia="Calibri" w:hAnsi="Calibri"/>
                <w:b/>
                <w:bCs/>
                <w:i w:val="false"/>
                <w:iCs w:val="false"/>
                <w:color w:val="1A1A1A"/>
                <w:sz w:val="18"/>
                <w:szCs w:val="18"/>
              </w:rPr>
              <w:t xml:space="preserve">Graphic Design &amp; UI/UX</w:t>
            </w:r>
            <w:r>
              <w:rPr>
                <w:rFonts w:ascii="Calibri" w:cs="Calibri" w:eastAsia="Calibri" w:hAnsi="Calibri"/>
                <w:b w:val="false"/>
                <w:bCs w:val="false"/>
                <w:i w:val="false"/>
                <w:iCs w:val="false"/>
                <w:color w:val="1A1A1A"/>
                <w:sz w:val="18"/>
                <w:szCs w:val="18"/>
              </w:rPr>
              <w:t xml:space="preserve">  /  HackerU</w:t>
            </w:r>
          </w:p>
          <w:p>
            <w:pPr>
              <w:spacing w:after="0" w:before="0"/>
              <w:jc w:val="left"/>
            </w:pPr>
            <w:r>
              <w:rPr>
                <w:rFonts w:ascii="Calibri" w:cs="Calibri" w:eastAsia="Calibri" w:hAnsi="Calibri"/>
                <w:b w:val="false"/>
                <w:bCs w:val="false"/>
                <w:i/>
                <w:iCs/>
                <w:color w:val="6B7280"/>
                <w:sz w:val="16"/>
                <w:szCs w:val="16"/>
              </w:rPr>
              <w:t xml:space="preserve">2020</w:t>
            </w:r>
          </w:p>
        </w:tc>
      </w:tr>
      <w:tr>
        <w:tc>
          <w:tcPr>
            <w:tcW w:type="dxa" w:w="1720"/>
            <w:tcBorders>
              <w:top w:val="none" w:color="FFFFFF" w:sz="0"/>
              <w:left w:val="none" w:color="FFFFFF" w:sz="0"/>
              <w:bottom w:val="none" w:color="FFFFFF" w:sz="0"/>
              <w:right w:val="none" w:color="FFFFFF" w:sz="0"/>
            </w:tcBorders>
            <w:tcMar>
              <w:top w:type="dxa" w:w="400"/>
              <w:left w:type="dxa" w:w="0"/>
              <w:bottom w:type="dxa" w:w="0"/>
              <w:right w:type="dxa" w:w="100"/>
            </w:tcMar>
            <w:vAlign w:val="top"/>
          </w:tcPr>
          <w:p>
            <w:pPr>
              <w:spacing w:after="8" w:before="0"/>
              <w:jc w:val="left"/>
            </w:pPr>
            <w:r>
              <w:rPr>
                <w:rFonts w:ascii="Calibri" w:cs="Calibri" w:eastAsia="Calibri" w:hAnsi="Calibri"/>
                <w:b/>
                <w:bCs/>
                <w:i w:val="false"/>
                <w:iCs w:val="false"/>
                <w:color w:val="1558C8"/>
                <w:sz w:val="16"/>
                <w:szCs w:val="16"/>
              </w:rPr>
              <w:t xml:space="preserve">MILITARY</w:t>
            </w:r>
          </w:p>
        </w:tc>
        <w:tc>
          <w:tcPr>
            <w:tcW w:type="dxa" w:w="7928"/>
            <w:tcBorders>
              <w:top w:val="none" w:color="FFFFFF" w:sz="0"/>
              <w:left w:val="none" w:color="FFFFFF" w:sz="0"/>
              <w:bottom w:val="none" w:color="FFFFFF" w:sz="0"/>
              <w:right w:val="none" w:color="FFFFFF" w:sz="0"/>
            </w:tcBorders>
            <w:tcMar>
              <w:top w:type="dxa" w:w="400"/>
              <w:left w:type="dxa" w:w="0"/>
              <w:bottom w:type="dxa" w:w="0"/>
              <w:right w:type="dxa" w:w="0"/>
            </w:tcMar>
            <w:vAlign w:val="top"/>
          </w:tcPr>
          <w:p>
            <w:pPr>
              <w:spacing w:after="40" w:before="0"/>
              <w:jc w:val="left"/>
            </w:pPr>
            <w:r>
              <w:rPr>
                <w:rFonts w:ascii="Calibri" w:cs="Calibri" w:eastAsia="Calibri" w:hAnsi="Calibri"/>
                <w:b/>
                <w:bCs/>
                <w:i w:val="false"/>
                <w:iCs w:val="false"/>
                <w:color w:val="1A1A1A"/>
                <w:sz w:val="18"/>
                <w:szCs w:val="18"/>
              </w:rPr>
              <w:t xml:space="preserve">Combat Soldier &amp; Commander</w:t>
            </w:r>
            <w:r>
              <w:rPr>
                <w:rFonts w:ascii="Calibri" w:cs="Calibri" w:eastAsia="Calibri" w:hAnsi="Calibri"/>
                <w:b w:val="false"/>
                <w:bCs w:val="false"/>
                <w:i w:val="false"/>
                <w:iCs w:val="false"/>
                <w:color w:val="1A1A1A"/>
                <w:sz w:val="18"/>
                <w:szCs w:val="18"/>
              </w:rPr>
              <w:t xml:space="preserve">  /  Golani Infantry Brigade, IDF</w:t>
            </w:r>
          </w:p>
          <w:p>
            <w:pPr>
              <w:spacing w:after="40" w:before="0"/>
              <w:jc w:val="left"/>
            </w:pPr>
            <w:r>
              <w:rPr>
                <w:rFonts w:ascii="Calibri" w:cs="Calibri" w:eastAsia="Calibri" w:hAnsi="Calibri"/>
                <w:b w:val="false"/>
                <w:bCs w:val="false"/>
                <w:i/>
                <w:iCs/>
                <w:color w:val="6B7280"/>
                <w:sz w:val="16"/>
                <w:szCs w:val="16"/>
              </w:rPr>
              <w:t xml:space="preserve">2013 – 2016</w:t>
            </w:r>
          </w:p>
          <w:p>
            <w:pPr>
              <w:spacing w:after="0" w:before="0"/>
              <w:jc w:val="left"/>
            </w:pPr>
            <w:r>
              <w:rPr>
                <w:rFonts w:ascii="Calibri" w:cs="Calibri" w:eastAsia="Calibri" w:hAnsi="Calibri"/>
                <w:b w:val="false"/>
                <w:bCs w:val="false"/>
                <w:i w:val="false"/>
                <w:iCs w:val="false"/>
                <w:color w:val="1A1A1A"/>
                <w:sz w:val="17"/>
                <w:szCs w:val="17"/>
              </w:rPr>
              <w:t xml:space="preserve">Squad commander, sergeant, company sergeant, platoon commander. Participated in Operation Protective Edge. Awarded the Protective Edge Medal and Independence Day Excellence Award.</w:t>
            </w:r>
          </w:p>
        </w:tc>
      </w:tr>
      <w:tr>
        <w:tc>
          <w:tcPr>
            <w:tcW w:type="dxa" w:w="1720"/>
            <w:tcBorders>
              <w:top w:val="none" w:color="FFFFFF" w:sz="0"/>
              <w:left w:val="none" w:color="FFFFFF" w:sz="0"/>
              <w:bottom w:val="none" w:color="FFFFFF" w:sz="0"/>
              <w:right w:val="none" w:color="FFFFFF" w:sz="0"/>
            </w:tcBorders>
            <w:tcMar>
              <w:top w:type="dxa" w:w="400"/>
              <w:left w:type="dxa" w:w="0"/>
              <w:bottom w:type="dxa" w:w="0"/>
              <w:right w:type="dxa" w:w="100"/>
            </w:tcMar>
            <w:vAlign w:val="top"/>
          </w:tcPr>
          <w:p>
            <w:pPr>
              <w:spacing w:after="8" w:before="0"/>
              <w:jc w:val="left"/>
            </w:pPr>
            <w:r>
              <w:rPr>
                <w:rFonts w:ascii="Calibri" w:cs="Calibri" w:eastAsia="Calibri" w:hAnsi="Calibri"/>
                <w:b/>
                <w:bCs/>
                <w:i w:val="false"/>
                <w:iCs w:val="false"/>
                <w:color w:val="1558C8"/>
                <w:sz w:val="16"/>
                <w:szCs w:val="16"/>
              </w:rPr>
              <w:t xml:space="preserve">LANGUAGES</w:t>
            </w:r>
          </w:p>
        </w:tc>
        <w:tc>
          <w:tcPr>
            <w:tcW w:type="dxa" w:w="7928"/>
            <w:tcBorders>
              <w:top w:val="none" w:color="FFFFFF" w:sz="0"/>
              <w:left w:val="none" w:color="FFFFFF" w:sz="0"/>
              <w:bottom w:val="none" w:color="FFFFFF" w:sz="0"/>
              <w:right w:val="none" w:color="FFFFFF" w:sz="0"/>
            </w:tcBorders>
            <w:tcMar>
              <w:top w:type="dxa" w:w="400"/>
              <w:left w:type="dxa" w:w="0"/>
              <w:bottom w:type="dxa" w:w="0"/>
              <w:right w:type="dxa" w:w="0"/>
            </w:tcMar>
            <w:vAlign w:val="top"/>
          </w:tcPr>
          <w:p>
            <w:pPr>
              <w:spacing w:after="0" w:before="0"/>
              <w:jc w:val="left"/>
            </w:pPr>
            <w:r>
              <w:rPr>
                <w:rFonts w:ascii="Calibri" w:cs="Calibri" w:eastAsia="Calibri" w:hAnsi="Calibri"/>
                <w:b/>
                <w:bCs/>
                <w:i w:val="false"/>
                <w:iCs w:val="false"/>
                <w:color w:val="1A1A1A"/>
                <w:sz w:val="18"/>
                <w:szCs w:val="18"/>
              </w:rPr>
              <w:t xml:space="preserve">Hebrew</w:t>
            </w:r>
            <w:r>
              <w:rPr>
                <w:rFonts w:ascii="Calibri" w:cs="Calibri" w:eastAsia="Calibri" w:hAnsi="Calibri"/>
                <w:b w:val="false"/>
                <w:bCs w:val="false"/>
                <w:i w:val="false"/>
                <w:iCs w:val="false"/>
                <w:color w:val="1A1A1A"/>
                <w:sz w:val="18"/>
                <w:szCs w:val="18"/>
              </w:rPr>
              <w:t xml:space="preserve">  -  Native          </w:t>
            </w:r>
            <w:r>
              <w:rPr>
                <w:rFonts w:ascii="Calibri" w:cs="Calibri" w:eastAsia="Calibri" w:hAnsi="Calibri"/>
                <w:b/>
                <w:bCs/>
                <w:i w:val="false"/>
                <w:iCs w:val="false"/>
                <w:color w:val="1A1A1A"/>
                <w:sz w:val="18"/>
                <w:szCs w:val="18"/>
              </w:rPr>
              <w:t xml:space="preserve">English</w:t>
            </w:r>
            <w:r>
              <w:rPr>
                <w:rFonts w:ascii="Calibri" w:cs="Calibri" w:eastAsia="Calibri" w:hAnsi="Calibri"/>
                <w:b w:val="false"/>
                <w:bCs w:val="false"/>
                <w:i w:val="false"/>
                <w:iCs w:val="false"/>
                <w:color w:val="1A1A1A"/>
                <w:sz w:val="18"/>
                <w:szCs w:val="18"/>
              </w:rPr>
              <w:t xml:space="preserve">  -  Professional proficiency</w:t>
            </w:r>
          </w:p>
        </w:tc>
      </w:tr>
    </w:tbl>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0uaaayatcy0jz3idtq8u" Type="http://schemas.openxmlformats.org/officeDocument/2006/relationships/hyperlink" Target="mailto:oricohenw@gmail.com" TargetMode="External"/><Relationship Id="rId0cq8l5jvh1mxm2tbzhx94" Type="http://schemas.openxmlformats.org/officeDocument/2006/relationships/hyperlink" Target="tel:0543383953" TargetMode="External"/><Relationship Id="rId1znlssfi9uts383r9hvo9" Type="http://schemas.openxmlformats.org/officeDocument/2006/relationships/hyperlink" Target="https://oricohen10.github.io/portfolio/" TargetMode="External"/><Relationship Id="rIddibotx1ynia1pxiib3mft" Type="http://schemas.openxmlformats.org/officeDocument/2006/relationships/hyperlink" Target="https://www.linkedin.com/in/ori-cohen-hello/"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2026-05-25T11:40:00.561Z</dcterms:created>
  <dcterms:modified xsi:type="dcterms:W3CDTF">2026-05-25T11:40:00.561Z</dcterms:modified>
</cp:coreProperties>
</file>

<file path=docProps/custom.xml><?xml version="1.0" encoding="utf-8"?>
<Properties xmlns="http://schemas.openxmlformats.org/officeDocument/2006/custom-properties" xmlns:vt="http://schemas.openxmlformats.org/officeDocument/2006/docPropsVTypes"/>
</file>