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SecureMind Technical Guide</w:t>
      </w:r>
    </w:p>
    <w:p>
      <w:pPr>
        <w:pStyle w:val="Subtitle"/>
      </w:pPr>
      <w:r>
        <w:t>Architecture and application behaviour</w:t>
      </w:r>
    </w:p>
    <w:p>
      <w:pPr>
        <w:spacing w:after="320"/>
      </w:pPr>
      <w:r>
        <w:rPr>
          <w:sz w:val="20"/>
        </w:rPr>
        <w:t>Revision 2 • 30 September 2026</w:t>
      </w:r>
    </w:p>
    <w:p>
      <w:pPr>
        <w:keepLines/>
        <w:widowControl/>
      </w:pPr>
      <w:r>
        <w:t>SecureMind is a private, self-managed AI workspace for conversations, documents, and reusable context. Each installation has its own users, provider connections, detection policy, and stored data. Its administrators control who can access it, whether it runs locally or in their own AWS environment.</w:t>
      </w:r>
    </w:p>
    <w:p>
      <w:pPr>
        <w:widowControl/>
      </w:pPr>
      <w:r>
        <w:t>This guide explains how requests move through the application, how models are selected, how knowledge and memory contribute to a response, and how usage becomes a cost estimate. It is written for developers and people deploying, administering, or maintaining SecureMind.</w:t>
      </w:r>
    </w:p>
    <w:p>
      <w:pPr>
        <w:widowControl/>
      </w:pPr>
      <w:r>
        <w:t>The design supports natural conversation. A user can ask a general question, continue a technical discussion, or draw on workspace documents without having every reply framed as an operational report. Detection, model routing, and retrieval support that experience behind the scenes.</w:t>
      </w:r>
    </w:p>
    <w:p>
      <w:pPr>
        <w:widowControl/>
      </w:pPr>
      <w:r>
        <w:t>Detection is a best-effort safeguard. It does not certify that content is free of sensitive information or make the application a compliance tool. Cost figures are estimates, rather than provider invoices. Connecting an external model or transcription service can send content outside the installation, even when the database is privately owned.</w:t>
      </w:r>
    </w:p>
    <w:p>
      <w:pPr>
        <w:pStyle w:val="Heading2"/>
      </w:pPr>
      <w:r>
        <w:t>Guide structure</w:t>
      </w:r>
    </w:p>
    <w:p>
      <w:pPr>
        <w:keepLines/>
        <w:widowControl/>
      </w:pPr>
      <w:r>
        <w:t>The guide follows the request path, then explains the decisions and storage behind it. The final implementation review checklist collects questions to resolve against the application before publication. Specific conflicts between intended behaviour and the existing description are marked in the relevant sections.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cantSplit/>
          <w:tblHeader/>
        </w:trPr>
        <w:tc>
          <w:tcPr>
            <w:tcW w:type="dxa" w:w="3312"/>
            <w:vAlign w:val="center"/>
            <w:tcMar>
              <w:top w:w="85" w:type="dxa"/>
              <w:bottom w:w="85" w:type="dxa"/>
              <w:left w:w="95" w:type="dxa"/>
              <w:right w:w="95" w:type="dxa"/>
            </w:tcMar>
            <w:shd w:fill="24384B"/>
          </w:tcPr>
          <w:p>
            <w:pPr>
              <w:keepNext/>
              <w:spacing w:after="0" w:line="247" w:lineRule="auto"/>
            </w:pPr>
            <w:r>
              <w:rPr>
                <w:b/>
                <w:color w:val="FFFFFF"/>
                <w:sz w:val="20"/>
              </w:rPr>
              <w:t>Area</w:t>
            </w:r>
          </w:p>
        </w:tc>
        <w:tc>
          <w:tcPr>
            <w:tcW w:type="dxa" w:w="6768"/>
            <w:vAlign w:val="center"/>
            <w:tcMar>
              <w:top w:w="85" w:type="dxa"/>
              <w:bottom w:w="85" w:type="dxa"/>
              <w:left w:w="95" w:type="dxa"/>
              <w:right w:w="95" w:type="dxa"/>
            </w:tcMar>
            <w:shd w:fill="24384B"/>
          </w:tcPr>
          <w:p>
            <w:pPr>
              <w:keepNext/>
              <w:spacing w:after="0" w:line="247" w:lineRule="auto"/>
            </w:pPr>
            <w:r>
              <w:rPr>
                <w:b/>
                <w:color w:val="FFFFFF"/>
                <w:sz w:val="20"/>
              </w:rPr>
              <w:t>Sections</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Deployment and request flow</w:t>
            </w:r>
          </w:p>
        </w:tc>
        <w:tc>
          <w:tcPr>
            <w:tcW w:type="dxa" w:w="6768"/>
            <w:vAlign w:val="center"/>
            <w:tcMar>
              <w:top w:w="85" w:type="dxa"/>
              <w:bottom w:w="85" w:type="dxa"/>
              <w:left w:w="95" w:type="dxa"/>
              <w:right w:w="95" w:type="dxa"/>
            </w:tcMar>
            <w:shd w:fill="FFFFFF"/>
          </w:tcPr>
          <w:p>
            <w:pPr>
              <w:spacing w:after="0" w:line="247" w:lineRule="auto"/>
            </w:pPr>
            <w:r>
              <w:rPr>
                <w:b w:val="0"/>
                <w:sz w:val="20"/>
              </w:rPr>
              <w:t>1 to 3</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Detection and model selection</w:t>
            </w:r>
          </w:p>
        </w:tc>
        <w:tc>
          <w:tcPr>
            <w:tcW w:type="dxa" w:w="6768"/>
            <w:vAlign w:val="center"/>
            <w:tcMar>
              <w:top w:w="85" w:type="dxa"/>
              <w:bottom w:w="85" w:type="dxa"/>
              <w:left w:w="95" w:type="dxa"/>
              <w:right w:w="95" w:type="dxa"/>
            </w:tcMar>
            <w:shd w:fill="F2F5F8"/>
          </w:tcPr>
          <w:p>
            <w:pPr>
              <w:spacing w:after="0" w:line="247" w:lineRule="auto"/>
            </w:pPr>
            <w:r>
              <w:rPr>
                <w:b w:val="0"/>
                <w:sz w:val="20"/>
              </w:rPr>
              <w:t>4 to 7</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Prompts and knowledge</w:t>
            </w:r>
          </w:p>
        </w:tc>
        <w:tc>
          <w:tcPr>
            <w:tcW w:type="dxa" w:w="6768"/>
            <w:vAlign w:val="center"/>
            <w:tcMar>
              <w:top w:w="85" w:type="dxa"/>
              <w:bottom w:w="85" w:type="dxa"/>
              <w:left w:w="95" w:type="dxa"/>
              <w:right w:w="95" w:type="dxa"/>
            </w:tcMar>
            <w:shd w:fill="FFFFFF"/>
          </w:tcPr>
          <w:p>
            <w:pPr>
              <w:spacing w:after="0" w:line="247" w:lineRule="auto"/>
            </w:pPr>
            <w:r>
              <w:rPr>
                <w:b w:val="0"/>
                <w:sz w:val="20"/>
              </w:rPr>
              <w:t>8 to 10</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Voice and costs</w:t>
            </w:r>
          </w:p>
        </w:tc>
        <w:tc>
          <w:tcPr>
            <w:tcW w:type="dxa" w:w="6768"/>
            <w:vAlign w:val="center"/>
            <w:tcMar>
              <w:top w:w="85" w:type="dxa"/>
              <w:bottom w:w="85" w:type="dxa"/>
              <w:left w:w="95" w:type="dxa"/>
              <w:right w:w="95" w:type="dxa"/>
            </w:tcMar>
            <w:shd w:fill="F2F5F8"/>
          </w:tcPr>
          <w:p>
            <w:pPr>
              <w:spacing w:after="0" w:line="247" w:lineRule="auto"/>
            </w:pPr>
            <w:r>
              <w:rPr>
                <w:b w:val="0"/>
                <w:sz w:val="20"/>
              </w:rPr>
              <w:t>11 to 12</w:t>
            </w:r>
          </w:p>
        </w:tc>
      </w:tr>
      <w:tr>
        <w:trPr>
          <w:cantSplit/>
        </w:trPr>
        <w:tc>
          <w:tcPr>
            <w:tcW w:type="dxa" w:w="3312"/>
            <w:vAlign w:val="center"/>
            <w:tcMar>
              <w:top w:w="85" w:type="dxa"/>
              <w:bottom w:w="85" w:type="dxa"/>
              <w:left w:w="95" w:type="dxa"/>
              <w:right w:w="95" w:type="dxa"/>
            </w:tcMar>
            <w:shd w:fill="FFFFFF"/>
          </w:tcPr>
          <w:p>
            <w:pPr>
              <w:keepNext/>
              <w:spacing w:after="0" w:line="247" w:lineRule="auto"/>
            </w:pPr>
            <w:r>
              <w:rPr>
                <w:b w:val="0"/>
                <w:sz w:val="20"/>
              </w:rPr>
              <w:t>Insights and administration</w:t>
            </w:r>
          </w:p>
        </w:tc>
        <w:tc>
          <w:tcPr>
            <w:tcW w:type="dxa" w:w="6768"/>
            <w:vAlign w:val="center"/>
            <w:tcMar>
              <w:top w:w="85" w:type="dxa"/>
              <w:bottom w:w="85" w:type="dxa"/>
              <w:left w:w="95" w:type="dxa"/>
              <w:right w:w="95" w:type="dxa"/>
            </w:tcMar>
            <w:shd w:fill="FFFFFF"/>
          </w:tcPr>
          <w:p>
            <w:pPr>
              <w:keepNext/>
              <w:spacing w:after="0" w:line="247" w:lineRule="auto"/>
            </w:pPr>
            <w:r>
              <w:rPr>
                <w:b w:val="0"/>
                <w:sz w:val="20"/>
              </w:rPr>
              <w:t>13 to 14</w:t>
            </w:r>
          </w:p>
        </w:tc>
      </w:tr>
      <w:tr>
        <w:trPr>
          <w:cantSplit/>
        </w:trPr>
        <w:tc>
          <w:tcPr>
            <w:tcW w:type="dxa" w:w="3312"/>
            <w:vAlign w:val="center"/>
            <w:tcMar>
              <w:top w:w="85" w:type="dxa"/>
              <w:bottom w:w="85" w:type="dxa"/>
              <w:left w:w="95" w:type="dxa"/>
              <w:right w:w="95" w:type="dxa"/>
            </w:tcMar>
            <w:shd w:fill="F2F5F8"/>
          </w:tcPr>
          <w:p>
            <w:pPr>
              <w:keepNext/>
              <w:spacing w:after="0" w:line="247" w:lineRule="auto"/>
            </w:pPr>
            <w:r>
              <w:rPr>
                <w:b w:val="0"/>
                <w:sz w:val="20"/>
              </w:rPr>
              <w:t>Security boundaries and source references</w:t>
            </w:r>
          </w:p>
        </w:tc>
        <w:tc>
          <w:tcPr>
            <w:tcW w:type="dxa" w:w="6768"/>
            <w:vAlign w:val="center"/>
            <w:tcMar>
              <w:top w:w="85" w:type="dxa"/>
              <w:bottom w:w="85" w:type="dxa"/>
              <w:left w:w="95" w:type="dxa"/>
              <w:right w:w="95" w:type="dxa"/>
            </w:tcMar>
            <w:shd w:fill="F2F5F8"/>
          </w:tcPr>
          <w:p>
            <w:pPr>
              <w:keepNext/>
              <w:spacing w:after="0" w:line="247" w:lineRule="auto"/>
            </w:pPr>
            <w:r>
              <w:rPr>
                <w:b w:val="0"/>
                <w:sz w:val="20"/>
              </w:rPr>
              <w:t>15 to 16</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Questions for the code editor</w:t>
            </w:r>
          </w:p>
        </w:tc>
        <w:tc>
          <w:tcPr>
            <w:tcW w:type="dxa" w:w="6768"/>
            <w:vAlign w:val="center"/>
            <w:tcMar>
              <w:top w:w="85" w:type="dxa"/>
              <w:bottom w:w="85" w:type="dxa"/>
              <w:left w:w="95" w:type="dxa"/>
              <w:right w:w="95" w:type="dxa"/>
            </w:tcMar>
            <w:shd w:fill="FFFFFF"/>
          </w:tcPr>
          <w:p>
            <w:pPr>
              <w:spacing w:after="0" w:line="247" w:lineRule="auto"/>
            </w:pPr>
            <w:r>
              <w:rPr>
                <w:b w:val="0"/>
                <w:sz w:val="20"/>
              </w:rPr>
              <w:t>Appendix A</w:t>
            </w:r>
          </w:p>
        </w:tc>
      </w:tr>
    </w:tbl>
    <w:p>
      <w:pPr>
        <w:spacing w:after="40" w:before="0" w:line="240" w:lineRule="auto"/>
      </w:pPr>
      <w:r>
        <w:rPr>
          <w:sz w:val="4"/>
        </w:rPr>
      </w:r>
    </w:p>
    <w:p>
      <w:r>
        <w:br w:type="page"/>
      </w:r>
    </w:p>
    <w:p>
      <w:pPr>
        <w:pStyle w:val="Heading1"/>
      </w:pPr>
      <w:r>
        <w:t>1 Deployment and ownership</w:t>
      </w:r>
    </w:p>
    <w:p>
      <w:pPr>
        <w:keepLines/>
        <w:widowControl/>
      </w:pPr>
      <w:r>
        <w:t>An installation can have multiple administrators and members. Administrators manage access, shared provider connections, and installation-wide settings. Members use the models made available to them without receiving the saved provider credentials.</w:t>
      </w:r>
    </w:p>
    <w:p>
      <w:pPr>
        <w:widowControl/>
      </w:pPr>
      <w:r>
        <w:t>Local deployment uses Docker services, with PostgreSQL for application records and pgvector for document embeddings. Ollama provides local model execution. The documented Docker configuration uses Floci as a local Cognito-compatible authentication service. A developer configuration can also use local authentication.</w:t>
      </w:r>
    </w:p>
    <w:p>
      <w:pPr>
        <w:widowControl/>
      </w:pPr>
      <w:r>
        <w:t>The AWS design uses Cognito for authentication, Amplify for the interface, and API Gateway with Lambda for backend execution. The intended direction is for all application APIs to use API Gateway and Lambda. The existing guide instead describes a split: chat streaming uses API Gateway and Lambda while other APIs remain on Amplify. That routing must be reconciled before the cloud architecture is presented as implemented.</w:t>
      </w:r>
    </w:p>
    <w:p>
      <w:pPr>
        <w:pStyle w:val="Heading2"/>
      </w:pPr>
      <w:r>
        <w:t>Deployment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3888"/>
      </w:tblGrid>
      <w:tr>
        <w:trPr>
          <w:cantSplit/>
          <w:tblHeader/>
        </w:trPr>
        <w:tc>
          <w:tcPr>
            <w:tcW w:type="dxa" w:w="2376"/>
            <w:vAlign w:val="center"/>
            <w:tcMar>
              <w:top w:w="85" w:type="dxa"/>
              <w:bottom w:w="85" w:type="dxa"/>
              <w:left w:w="95" w:type="dxa"/>
              <w:right w:w="95" w:type="dxa"/>
            </w:tcMar>
            <w:shd w:fill="24384B"/>
          </w:tcPr>
          <w:p>
            <w:pPr>
              <w:keepNext/>
              <w:spacing w:after="0" w:line="247" w:lineRule="auto"/>
            </w:pPr>
            <w:r>
              <w:rPr>
                <w:b/>
                <w:color w:val="FFFFFF"/>
                <w:sz w:val="20"/>
              </w:rPr>
              <w:t>Component</w:t>
            </w:r>
          </w:p>
        </w:tc>
        <w:tc>
          <w:tcPr>
            <w:tcW w:type="dxa" w:w="3816"/>
            <w:vAlign w:val="center"/>
            <w:tcMar>
              <w:top w:w="85" w:type="dxa"/>
              <w:bottom w:w="85" w:type="dxa"/>
              <w:left w:w="95" w:type="dxa"/>
              <w:right w:w="95" w:type="dxa"/>
            </w:tcMar>
            <w:shd w:fill="24384B"/>
          </w:tcPr>
          <w:p>
            <w:pPr>
              <w:keepNext/>
              <w:spacing w:after="0" w:line="247" w:lineRule="auto"/>
            </w:pPr>
            <w:r>
              <w:rPr>
                <w:b/>
                <w:color w:val="FFFFFF"/>
                <w:sz w:val="20"/>
              </w:rPr>
              <w:t>Local installation</w:t>
            </w:r>
          </w:p>
        </w:tc>
        <w:tc>
          <w:tcPr>
            <w:tcW w:type="dxa" w:w="3888"/>
            <w:vAlign w:val="center"/>
            <w:tcMar>
              <w:top w:w="85" w:type="dxa"/>
              <w:bottom w:w="85" w:type="dxa"/>
              <w:left w:w="95" w:type="dxa"/>
              <w:right w:w="95" w:type="dxa"/>
            </w:tcMar>
            <w:shd w:fill="24384B"/>
          </w:tcPr>
          <w:p>
            <w:pPr>
              <w:keepNext/>
              <w:spacing w:after="0" w:line="247" w:lineRule="auto"/>
            </w:pPr>
            <w:r>
              <w:rPr>
                <w:b/>
                <w:color w:val="FFFFFF"/>
                <w:sz w:val="20"/>
              </w:rPr>
              <w:t>AWS installation</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Interface</w:t>
            </w:r>
          </w:p>
        </w:tc>
        <w:tc>
          <w:tcPr>
            <w:tcW w:type="dxa" w:w="3816"/>
            <w:vAlign w:val="center"/>
            <w:tcMar>
              <w:top w:w="85" w:type="dxa"/>
              <w:bottom w:w="85" w:type="dxa"/>
              <w:left w:w="95" w:type="dxa"/>
              <w:right w:w="95" w:type="dxa"/>
            </w:tcMar>
            <w:shd w:fill="FFFFFF"/>
          </w:tcPr>
          <w:p>
            <w:pPr>
              <w:spacing w:after="0" w:line="247" w:lineRule="auto"/>
            </w:pPr>
            <w:r>
              <w:rPr>
                <w:b w:val="0"/>
                <w:sz w:val="20"/>
              </w:rPr>
              <w:t>Next.js, documented on port 3000</w:t>
            </w:r>
          </w:p>
        </w:tc>
        <w:tc>
          <w:tcPr>
            <w:tcW w:type="dxa" w:w="3888"/>
            <w:vAlign w:val="center"/>
            <w:tcMar>
              <w:top w:w="85" w:type="dxa"/>
              <w:bottom w:w="85" w:type="dxa"/>
              <w:left w:w="95" w:type="dxa"/>
              <w:right w:w="95" w:type="dxa"/>
            </w:tcMar>
            <w:shd w:fill="FFFFFF"/>
          </w:tcPr>
          <w:p>
            <w:pPr>
              <w:spacing w:after="0" w:line="247" w:lineRule="auto"/>
            </w:pPr>
            <w:r>
              <w:rPr>
                <w:b w:val="0"/>
                <w:sz w:val="20"/>
              </w:rPr>
              <w:t>Amplify</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Authentication</w:t>
            </w:r>
          </w:p>
        </w:tc>
        <w:tc>
          <w:tcPr>
            <w:tcW w:type="dxa" w:w="3816"/>
            <w:vAlign w:val="center"/>
            <w:tcMar>
              <w:top w:w="85" w:type="dxa"/>
              <w:bottom w:w="85" w:type="dxa"/>
              <w:left w:w="95" w:type="dxa"/>
              <w:right w:w="95" w:type="dxa"/>
            </w:tcMar>
            <w:shd w:fill="F2F5F8"/>
          </w:tcPr>
          <w:p>
            <w:pPr>
              <w:spacing w:after="0" w:line="247" w:lineRule="auto"/>
            </w:pPr>
            <w:r>
              <w:rPr>
                <w:b w:val="0"/>
                <w:sz w:val="20"/>
              </w:rPr>
              <w:t>Floci in Docker; local mode for development</w:t>
            </w:r>
          </w:p>
        </w:tc>
        <w:tc>
          <w:tcPr>
            <w:tcW w:type="dxa" w:w="3888"/>
            <w:vAlign w:val="center"/>
            <w:tcMar>
              <w:top w:w="85" w:type="dxa"/>
              <w:bottom w:w="85" w:type="dxa"/>
              <w:left w:w="95" w:type="dxa"/>
              <w:right w:w="95" w:type="dxa"/>
            </w:tcMar>
            <w:shd w:fill="F2F5F8"/>
          </w:tcPr>
          <w:p>
            <w:pPr>
              <w:spacing w:after="0" w:line="247" w:lineRule="auto"/>
            </w:pPr>
            <w:r>
              <w:rPr>
                <w:b w:val="0"/>
                <w:sz w:val="20"/>
              </w:rPr>
              <w:t>Cognito</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Application records</w:t>
            </w:r>
          </w:p>
        </w:tc>
        <w:tc>
          <w:tcPr>
            <w:tcW w:type="dxa" w:w="3816"/>
            <w:vAlign w:val="center"/>
            <w:tcMar>
              <w:top w:w="85" w:type="dxa"/>
              <w:bottom w:w="85" w:type="dxa"/>
              <w:left w:w="95" w:type="dxa"/>
              <w:right w:w="95" w:type="dxa"/>
            </w:tcMar>
            <w:shd w:fill="FFFFFF"/>
          </w:tcPr>
          <w:p>
            <w:pPr>
              <w:spacing w:after="0" w:line="247" w:lineRule="auto"/>
            </w:pPr>
            <w:r>
              <w:rPr>
                <w:b w:val="0"/>
                <w:sz w:val="20"/>
              </w:rPr>
              <w:t>PostgreSQL</w:t>
            </w:r>
          </w:p>
        </w:tc>
        <w:tc>
          <w:tcPr>
            <w:tcW w:type="dxa" w:w="3888"/>
            <w:vAlign w:val="center"/>
            <w:tcMar>
              <w:top w:w="85" w:type="dxa"/>
              <w:bottom w:w="85" w:type="dxa"/>
              <w:left w:w="95" w:type="dxa"/>
              <w:right w:w="95" w:type="dxa"/>
            </w:tcMar>
            <w:shd w:fill="FFFFFF"/>
          </w:tcPr>
          <w:p>
            <w:pPr>
              <w:spacing w:after="0" w:line="247" w:lineRule="auto"/>
            </w:pPr>
            <w:r>
              <w:rPr>
                <w:b w:val="0"/>
                <w:sz w:val="20"/>
              </w:rPr>
              <w:t>DynamoDB is the documented target</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Document vectors</w:t>
            </w:r>
          </w:p>
        </w:tc>
        <w:tc>
          <w:tcPr>
            <w:tcW w:type="dxa" w:w="3816"/>
            <w:vAlign w:val="center"/>
            <w:tcMar>
              <w:top w:w="85" w:type="dxa"/>
              <w:bottom w:w="85" w:type="dxa"/>
              <w:left w:w="95" w:type="dxa"/>
              <w:right w:w="95" w:type="dxa"/>
            </w:tcMar>
            <w:shd w:fill="F2F5F8"/>
          </w:tcPr>
          <w:p>
            <w:pPr>
              <w:spacing w:after="0" w:line="247" w:lineRule="auto"/>
            </w:pPr>
            <w:r>
              <w:rPr>
                <w:b w:val="0"/>
                <w:sz w:val="20"/>
              </w:rPr>
              <w:t>pgvector in PostgreSQL</w:t>
            </w:r>
          </w:p>
        </w:tc>
        <w:tc>
          <w:tcPr>
            <w:tcW w:type="dxa" w:w="3888"/>
            <w:vAlign w:val="center"/>
            <w:tcMar>
              <w:top w:w="85" w:type="dxa"/>
              <w:bottom w:w="85" w:type="dxa"/>
              <w:left w:w="95" w:type="dxa"/>
              <w:right w:w="95" w:type="dxa"/>
            </w:tcMar>
            <w:shd w:fill="F2F5F8"/>
          </w:tcPr>
          <w:p>
            <w:pPr>
              <w:spacing w:after="0" w:line="247" w:lineRule="auto"/>
            </w:pPr>
            <w:r>
              <w:rPr>
                <w:b w:val="0"/>
                <w:sz w:val="20"/>
              </w:rPr>
              <w:t>Exact vector service and query implementation require confirmation</w:t>
            </w:r>
          </w:p>
        </w:tc>
      </w:tr>
      <w:tr>
        <w:trPr>
          <w:cantSplit/>
        </w:trPr>
        <w:tc>
          <w:tcPr>
            <w:tcW w:type="dxa" w:w="2376"/>
            <w:vAlign w:val="center"/>
            <w:tcMar>
              <w:top w:w="85" w:type="dxa"/>
              <w:bottom w:w="85" w:type="dxa"/>
              <w:left w:w="95" w:type="dxa"/>
              <w:right w:w="95" w:type="dxa"/>
            </w:tcMar>
            <w:shd w:fill="FFFFFF"/>
          </w:tcPr>
          <w:p>
            <w:pPr>
              <w:keepNext/>
              <w:spacing w:after="0" w:line="247" w:lineRule="auto"/>
            </w:pPr>
            <w:r>
              <w:rPr>
                <w:b w:val="0"/>
                <w:sz w:val="20"/>
              </w:rPr>
              <w:t>Chat execution</w:t>
            </w:r>
          </w:p>
        </w:tc>
        <w:tc>
          <w:tcPr>
            <w:tcW w:type="dxa" w:w="3816"/>
            <w:vAlign w:val="center"/>
            <w:tcMar>
              <w:top w:w="85" w:type="dxa"/>
              <w:bottom w:w="85" w:type="dxa"/>
              <w:left w:w="95" w:type="dxa"/>
              <w:right w:w="95" w:type="dxa"/>
            </w:tcMar>
            <w:shd w:fill="FFFFFF"/>
          </w:tcPr>
          <w:p>
            <w:pPr>
              <w:keepNext/>
              <w:spacing w:after="0" w:line="247" w:lineRule="auto"/>
            </w:pPr>
            <w:r>
              <w:rPr>
                <w:b w:val="0"/>
                <w:sz w:val="20"/>
              </w:rPr>
              <w:t>Configured providers, with an installed Ollama fallback</w:t>
            </w:r>
          </w:p>
        </w:tc>
        <w:tc>
          <w:tcPr>
            <w:tcW w:type="dxa" w:w="3888"/>
            <w:vAlign w:val="center"/>
            <w:tcMar>
              <w:top w:w="85" w:type="dxa"/>
              <w:bottom w:w="85" w:type="dxa"/>
              <w:left w:w="95" w:type="dxa"/>
              <w:right w:w="95" w:type="dxa"/>
            </w:tcMar>
            <w:shd w:fill="FFFFFF"/>
          </w:tcPr>
          <w:p>
            <w:pPr>
              <w:keepNext/>
              <w:spacing w:after="0" w:line="247" w:lineRule="auto"/>
            </w:pPr>
            <w:r>
              <w:rPr>
                <w:b w:val="0"/>
                <w:sz w:val="20"/>
              </w:rPr>
              <w:t>Configured providers; no Ollama fallback</w:t>
            </w:r>
          </w:p>
        </w:tc>
      </w:tr>
      <w:tr>
        <w:trPr>
          <w:cantSplit/>
        </w:trPr>
        <w:tc>
          <w:tcPr>
            <w:tcW w:type="dxa" w:w="2376"/>
            <w:vAlign w:val="center"/>
            <w:tcMar>
              <w:top w:w="85" w:type="dxa"/>
              <w:bottom w:w="85" w:type="dxa"/>
              <w:left w:w="95" w:type="dxa"/>
              <w:right w:w="95" w:type="dxa"/>
            </w:tcMar>
            <w:shd w:fill="F2F5F8"/>
          </w:tcPr>
          <w:p>
            <w:pPr>
              <w:keepNext/>
              <w:spacing w:after="0" w:line="247" w:lineRule="auto"/>
            </w:pPr>
            <w:r>
              <w:rPr>
                <w:b w:val="0"/>
                <w:sz w:val="20"/>
              </w:rPr>
              <w:t>Embeddings</w:t>
            </w:r>
          </w:p>
        </w:tc>
        <w:tc>
          <w:tcPr>
            <w:tcW w:type="dxa" w:w="3816"/>
            <w:vAlign w:val="center"/>
            <w:tcMar>
              <w:top w:w="85" w:type="dxa"/>
              <w:bottom w:w="85" w:type="dxa"/>
              <w:left w:w="95" w:type="dxa"/>
              <w:right w:w="95" w:type="dxa"/>
            </w:tcMar>
            <w:shd w:fill="F2F5F8"/>
          </w:tcPr>
          <w:p>
            <w:pPr>
              <w:keepNext/>
              <w:spacing w:after="0" w:line="247" w:lineRule="auto"/>
            </w:pPr>
            <w:r>
              <w:rPr>
                <w:b w:val="0"/>
                <w:sz w:val="20"/>
              </w:rPr>
              <w:t>Ollama with nomic-embed-text, as documented</w:t>
            </w:r>
          </w:p>
        </w:tc>
        <w:tc>
          <w:tcPr>
            <w:tcW w:type="dxa" w:w="3888"/>
            <w:vAlign w:val="center"/>
            <w:tcMar>
              <w:top w:w="85" w:type="dxa"/>
              <w:bottom w:w="85" w:type="dxa"/>
              <w:left w:w="95" w:type="dxa"/>
              <w:right w:w="95" w:type="dxa"/>
            </w:tcMar>
            <w:shd w:fill="F2F5F8"/>
          </w:tcPr>
          <w:p>
            <w:pPr>
              <w:keepNext/>
              <w:spacing w:after="0" w:line="247" w:lineRule="auto"/>
            </w:pPr>
            <w:r>
              <w:rPr>
                <w:b w:val="0"/>
                <w:sz w:val="20"/>
              </w:rPr>
              <w:t>Amazon Titan Text Embeddings v2 is the documented target</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File storage</w:t>
            </w:r>
          </w:p>
        </w:tc>
        <w:tc>
          <w:tcPr>
            <w:tcW w:type="dxa" w:w="3816"/>
            <w:vAlign w:val="center"/>
            <w:tcMar>
              <w:top w:w="85" w:type="dxa"/>
              <w:bottom w:w="85" w:type="dxa"/>
              <w:left w:w="95" w:type="dxa"/>
              <w:right w:w="95" w:type="dxa"/>
            </w:tcMar>
            <w:shd w:fill="FFFFFF"/>
          </w:tcPr>
          <w:p>
            <w:pPr>
              <w:spacing w:after="0" w:line="247" w:lineRule="auto"/>
            </w:pPr>
            <w:r>
              <w:rPr>
                <w:b w:val="0"/>
                <w:sz w:val="20"/>
              </w:rPr>
              <w:t>Data directory on disk</w:t>
            </w:r>
          </w:p>
        </w:tc>
        <w:tc>
          <w:tcPr>
            <w:tcW w:type="dxa" w:w="3888"/>
            <w:vAlign w:val="center"/>
            <w:tcMar>
              <w:top w:w="85" w:type="dxa"/>
              <w:bottom w:w="85" w:type="dxa"/>
              <w:left w:w="95" w:type="dxa"/>
              <w:right w:w="95" w:type="dxa"/>
            </w:tcMar>
            <w:shd w:fill="FFFFFF"/>
          </w:tcPr>
          <w:p>
            <w:pPr>
              <w:spacing w:after="0" w:line="247" w:lineRule="auto"/>
            </w:pPr>
            <w:r>
              <w:rPr>
                <w:b w:val="0"/>
                <w:sz w:val="20"/>
              </w:rPr>
              <w:t>Object storage and original-upload retention require confirmation</w:t>
            </w:r>
          </w:p>
        </w:tc>
      </w:tr>
    </w:tbl>
    <w:p>
      <w:pPr>
        <w:spacing w:after="40" w:before="0" w:line="240" w:lineRule="auto"/>
      </w:pPr>
      <w:r>
        <w:rPr>
          <w:sz w:val="4"/>
        </w:rPr>
      </w:r>
    </w:p>
    <w:p>
      <w:pPr>
        <w:keepLines/>
        <w:widowControl/>
      </w:pPr>
      <w:r>
        <w:t>Owning the deployment provides control over access and storage. It does not, by itself, keep every request local. Optional vendor models, Bedrock, vision processing, and transcription have their own processing paths. Those paths must be clear in the configuration and deployment documentation.</w:t>
      </w:r>
    </w:p>
    <w:p>
      <w:pPr>
        <w:pStyle w:val="Heading2"/>
      </w:pPr>
      <w:r>
        <w:t>Infrastructure and release configuration</w:t>
      </w:r>
    </w:p>
    <w:p>
      <w:pPr>
        <w:keepLines/>
        <w:widowControl/>
      </w:pPr>
      <w:r>
        <w:t>The existing deployment description places the AWS region in infrastructure configuration and describes no custom VPC. It describes a main-branch workflow that runs tests, applies Terraform when its role and state bucket are configured, and starts an Amplify release. Pull requests produce plans. Confirm these details against the deployment files before relying on them as release instructions.</w:t>
      </w:r>
    </w:p>
    <w:p>
      <w:pPr>
        <w:pStyle w:val="Heading1"/>
      </w:pPr>
      <w:r>
        <w:t>2 Identity and workspaces</w:t>
      </w:r>
    </w:p>
    <w:p>
      <w:pPr>
        <w:keepLines/>
        <w:widowControl/>
      </w:pPr>
      <w:r>
        <w:t>The server derives the user ID through getIdentity(req), using validated authentication information. A user ID identifies an account; a session or token supplies the authentication context from which the server obtains that identity. The application should not trust an arbitrary user ID supplied in a request body, query string, or custom header.</w:t>
      </w:r>
    </w:p>
    <w:p>
      <w:pPr>
        <w:widowControl/>
      </w:pPr>
      <w:r>
        <w:t>The documented access model scopes workspaces, sessions, messages, documents, and memory to the authenticated user. Requests for another user's records return 404 so that the response does not confirm the record exists. Administrative routes enforce role checks separately.</w:t>
      </w:r>
    </w:p>
    <w:p>
      <w:pPr>
        <w:pStyle w:val="Heading2"/>
      </w:pPr>
      <w:r>
        <w:t>Workspace boundaries</w:t>
      </w:r>
    </w:p>
    <w:p>
      <w:pPr>
        <w:keepLines/>
        <w:widowControl/>
      </w:pPr>
      <w:r>
        <w:t>A workspace contains a continuous conversation session, its history and summary, knowledge documents, facts, and bookmarks. One user can have multiple workspaces. A workspace limit is a possible future control, not a change included in this revision.</w:t>
      </w:r>
    </w:p>
    <w:p>
      <w:pPr>
        <w:widowControl/>
      </w:pPr>
      <w:r>
        <w:t>Workspace isolation does not require a separate physical database for every workspace. Records and embeddings can share a store while queries enforce both user and workspace ownership. Retrieval must apply those restrictions before returning evidence. The exact enforcement points belong in the implementation review.</w:t>
      </w:r>
    </w:p>
    <w:p>
      <w:pPr>
        <w:widowControl/>
      </w:pPr>
      <w:r>
        <w:t>The workspace name, emoji, and colour help the user recognize the conversation. The name can appear as the speaker label without turning it into a model persona. A description or mission is included in the prompt only when the turn policy calls for workspace context, such as a document investigation. A casual greeting does not need that context.</w:t>
      </w:r>
    </w:p>
    <w:p>
      <w:pPr>
        <w:pStyle w:val="Heading2"/>
      </w:pPr>
      <w:r>
        <w:t>Queued messages and switching workspaces</w:t>
      </w:r>
    </w:p>
    <w:p>
      <w:pPr>
        <w:keepLines/>
        <w:widowControl/>
      </w:pPr>
      <w:r>
        <w:t>Users can compose the next message while a response is generating. The documented queue keeps reviewed text and a snapshot of its attachments until the current request finishes.</w:t>
      </w:r>
    </w:p>
    <w:p>
      <w:pPr>
        <w:widowControl/>
      </w:pPr>
      <w:r>
        <w:t>Switching workspaces is described as aborting the active browser stream, discarding queued messages, clearing the composer, and loading the selected session. Verify the code that binds queued requests to their workspace. Also distinguish stopping the browser from stopping generation at the provider: cancelling the interface does not establish that backend processing or billing has stopped.</w:t>
      </w:r>
    </w:p>
    <w:p>
      <w:pPr>
        <w:pStyle w:val="Heading1"/>
      </w:pPr>
      <w:r>
        <w:t>3 The path of a chat message</w:t>
      </w:r>
    </w:p>
    <w:p>
      <w:pPr>
        <w:keepLines/>
        <w:widowControl/>
      </w:pPr>
      <w:r>
        <w:t>1. The user writes a message or adds an attachment. Browser-side detection reviews typed text before submission. A queued message should retain the reviewed text and the correct workspace and attachment references.</w:t>
      </w:r>
    </w:p>
    <w:p>
      <w:pPr>
        <w:widowControl/>
      </w:pPr>
      <w:r>
        <w:t>2. The server authenticates the request, obtains the user identity, and checks ownership of the requested resources. It checks the monthly cap before invoking a billable chat model.</w:t>
      </w:r>
    </w:p>
    <w:p>
      <w:pPr>
        <w:widowControl/>
      </w:pPr>
      <w:r>
        <w:t>3. Turn policy determines whether the request needs knowledge retrieval, citations, or operational context. Complexity routing selects a tier, subject to policy overrides.</w:t>
      </w:r>
    </w:p>
    <w:p>
      <w:pPr>
        <w:widowControl/>
      </w:pPr>
      <w:r>
        <w:t>4. The application resolves the model assigned to that tier, or the selected fixed model. The server validates the selection against the allowed model catalogue and capability requirements.</w:t>
      </w:r>
    </w:p>
    <w:p>
      <w:pPr>
        <w:widowControl/>
      </w:pPr>
      <w:r>
        <w:t>5. The prompt combines conversation instructions, recent context, and any relevant memory or document passages. Retrieved content is kept separate from application instructions.</w:t>
      </w:r>
    </w:p>
    <w:p>
      <w:pPr>
        <w:widowControl/>
      </w:pPr>
      <w:r>
        <w:t>6. The selected provider generates the reply. Streaming sends successive pieces of the answer to the browser so the user can read it before generation finishes.</w:t>
      </w:r>
    </w:p>
    <w:p>
      <w:pPr>
        <w:widowControl/>
      </w:pPr>
      <w:r>
        <w:t>7. The application stores the conversation and records usage. Citation auditing checks references against the passages supplied for that response. The exact order of final storage, auditing, and any output scanning needs confirmation.</w:t>
      </w:r>
    </w:p>
    <w:p>
      <w:pPr>
        <w:pStyle w:val="Heading2"/>
      </w:pPr>
      <w:r>
        <w:t>Streaming in practical terms</w:t>
      </w:r>
    </w:p>
    <w:p>
      <w:pPr>
        <w:keepLines/>
        <w:widowControl/>
      </w:pPr>
      <w:r>
        <w:t>Streaming is a response-delivery method. The application receives incremental output from a provider and forwards it to the interface, rather than waiting for the complete answer. This does not inherently require an additional streaming platform.</w:t>
      </w:r>
    </w:p>
    <w:p>
      <w:pPr>
        <w:widowControl/>
      </w:pPr>
      <w:r>
        <w:t>The implementation review should identify the transport used locally and in AWS, how authentication remains attached to the request, and how disconnects, cancellation, partial replies, and timeouts are handled. It should also establish whether any output check runs before text becomes visible or only after it has been displayed.</w:t>
      </w:r>
    </w:p>
    <w:p>
      <w:pPr>
        <w:widowControl/>
      </w:pPr>
      <w:r>
        <w:t>Inference records describe the model and tier used, tokens, status, grounding, and estimated cost. Detection findings describe categories and outcomes; they should not retain the matched sensitive strings. These records serve different purposes and should remain distinguishable in Insights.</w:t>
      </w:r>
    </w:p>
    <w:p>
      <w:pPr>
        <w:pStyle w:val="Heading1"/>
      </w:pPr>
      <w:r>
        <w:t>4 Sensitive data detection</w:t>
      </w:r>
    </w:p>
    <w:p>
      <w:pPr>
        <w:keepLines/>
        <w:widowControl/>
      </w:pPr>
      <w:r>
        <w:t>Detection uses patterns and validation rules. It is separate from model-based classification or answer review. In the browser, application JavaScript examines the draft for supported patterns and opens a review dialog when it finds a match. This uses processing on the user's device before the text is submitted; it does not require a language-model call.</w:t>
      </w:r>
    </w:p>
    <w:p>
      <w:pPr>
        <w:widowControl/>
      </w:pPr>
      <w:r>
        <w:t>For document ingestion, the described server path extracts text, applies the installation's detection policy, and then stores and embeds the scrubbed text. The original uploaded file is a separate object and may still contain the original sensitive content.</w:t>
      </w:r>
    </w:p>
    <w:p>
      <w:pPr>
        <w:pStyle w:val="Heading2"/>
      </w:pPr>
      <w:r>
        <w:t>Policy coverage</w:t>
      </w:r>
    </w:p>
    <w:p>
      <w:pPr>
        <w:keepLines/>
        <w:widowControl/>
      </w:pPr>
      <w:r>
        <w:t>The administrator selects Low, Balanced, or High. Balanced is the documented default. Coverage is cumulative: High includes Balanced and Low. A policy change applies to new processing and does not automatically re-scan existing messages or documents.</w:t>
      </w:r>
    </w:p>
    <w:p>
      <w:pPr>
        <w:widowControl/>
      </w:pPr>
      <w:r>
        <w:t>The following coverage comes from the existing guide and should be checked against the pattern definitions before publication.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080"/>
        <w:gridCol w:w="1224"/>
        <w:gridCol w:w="1080"/>
        <w:gridCol w:w="3384"/>
      </w:tblGrid>
      <w:tr>
        <w:trPr>
          <w:cantSplit/>
          <w:tblHeader/>
        </w:trPr>
        <w:tc>
          <w:tcPr>
            <w:tcW w:type="dxa" w:w="3312"/>
            <w:vAlign w:val="center"/>
            <w:tcMar>
              <w:top w:w="85" w:type="dxa"/>
              <w:bottom w:w="85" w:type="dxa"/>
              <w:left w:w="95" w:type="dxa"/>
              <w:right w:w="95" w:type="dxa"/>
            </w:tcMar>
            <w:shd w:fill="24384B"/>
          </w:tcPr>
          <w:p>
            <w:pPr>
              <w:keepNext/>
              <w:spacing w:after="0" w:line="247" w:lineRule="auto"/>
            </w:pPr>
            <w:r>
              <w:rPr>
                <w:b/>
                <w:color w:val="FFFFFF"/>
                <w:sz w:val="20"/>
              </w:rPr>
              <w:t>Detection family</w:t>
            </w:r>
          </w:p>
        </w:tc>
        <w:tc>
          <w:tcPr>
            <w:tcW w:type="dxa" w:w="1080"/>
            <w:vAlign w:val="center"/>
            <w:tcMar>
              <w:top w:w="85" w:type="dxa"/>
              <w:bottom w:w="85" w:type="dxa"/>
              <w:left w:w="95" w:type="dxa"/>
              <w:right w:w="95" w:type="dxa"/>
            </w:tcMar>
            <w:shd w:fill="24384B"/>
          </w:tcPr>
          <w:p>
            <w:pPr>
              <w:keepNext/>
              <w:spacing w:after="0" w:line="247" w:lineRule="auto"/>
              <w:jc w:val="center"/>
            </w:pPr>
            <w:r>
              <w:rPr>
                <w:b/>
                <w:color w:val="FFFFFF"/>
                <w:sz w:val="20"/>
              </w:rPr>
              <w:t>Low</w:t>
            </w:r>
          </w:p>
        </w:tc>
        <w:tc>
          <w:tcPr>
            <w:tcW w:type="dxa" w:w="1224"/>
            <w:vAlign w:val="center"/>
            <w:tcMar>
              <w:top w:w="85" w:type="dxa"/>
              <w:bottom w:w="85" w:type="dxa"/>
              <w:left w:w="95" w:type="dxa"/>
              <w:right w:w="95" w:type="dxa"/>
            </w:tcMar>
            <w:shd w:fill="24384B"/>
          </w:tcPr>
          <w:p>
            <w:pPr>
              <w:keepNext/>
              <w:spacing w:after="0" w:line="247" w:lineRule="auto"/>
              <w:jc w:val="center"/>
            </w:pPr>
            <w:r>
              <w:rPr>
                <w:b/>
                <w:color w:val="FFFFFF"/>
                <w:sz w:val="20"/>
              </w:rPr>
              <w:t>Balanced</w:t>
            </w:r>
          </w:p>
        </w:tc>
        <w:tc>
          <w:tcPr>
            <w:tcW w:type="dxa" w:w="1080"/>
            <w:vAlign w:val="center"/>
            <w:tcMar>
              <w:top w:w="85" w:type="dxa"/>
              <w:bottom w:w="85" w:type="dxa"/>
              <w:left w:w="95" w:type="dxa"/>
              <w:right w:w="95" w:type="dxa"/>
            </w:tcMar>
            <w:shd w:fill="24384B"/>
          </w:tcPr>
          <w:p>
            <w:pPr>
              <w:keepNext/>
              <w:spacing w:after="0" w:line="247" w:lineRule="auto"/>
              <w:jc w:val="center"/>
            </w:pPr>
            <w:r>
              <w:rPr>
                <w:b/>
                <w:color w:val="FFFFFF"/>
                <w:sz w:val="20"/>
              </w:rPr>
              <w:t>High</w:t>
            </w:r>
          </w:p>
        </w:tc>
        <w:tc>
          <w:tcPr>
            <w:tcW w:type="dxa" w:w="3384"/>
            <w:vAlign w:val="center"/>
            <w:tcMar>
              <w:top w:w="85" w:type="dxa"/>
              <w:bottom w:w="85" w:type="dxa"/>
              <w:left w:w="95" w:type="dxa"/>
              <w:right w:w="95" w:type="dxa"/>
            </w:tcMar>
            <w:shd w:fill="24384B"/>
          </w:tcPr>
          <w:p>
            <w:pPr>
              <w:keepNext/>
              <w:spacing w:after="0" w:line="247" w:lineRule="auto"/>
            </w:pPr>
            <w:r>
              <w:rPr>
                <w:b/>
                <w:color w:val="FFFFFF"/>
                <w:sz w:val="20"/>
              </w:rPr>
              <w:t>Safe-term exemption</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Email addresses</w:t>
            </w:r>
          </w:p>
        </w:tc>
        <w:tc>
          <w:tcPr>
            <w:tcW w:type="dxa" w:w="1080"/>
            <w:vAlign w:val="center"/>
            <w:tcMar>
              <w:top w:w="85" w:type="dxa"/>
              <w:bottom w:w="85" w:type="dxa"/>
              <w:left w:w="95" w:type="dxa"/>
              <w:right w:w="95" w:type="dxa"/>
            </w:tcMar>
            <w:shd w:fill="FFFFFF"/>
          </w:tcPr>
          <w:p>
            <w:pPr>
              <w:spacing w:after="0" w:line="247" w:lineRule="auto"/>
              <w:jc w:val="center"/>
            </w:pPr>
            <w:r>
              <w:rPr>
                <w:b w:val="0"/>
                <w:sz w:val="20"/>
              </w:rPr>
              <w:t>Yes</w:t>
            </w:r>
          </w:p>
        </w:tc>
        <w:tc>
          <w:tcPr>
            <w:tcW w:type="dxa" w:w="1224"/>
            <w:vAlign w:val="center"/>
            <w:tcMar>
              <w:top w:w="85" w:type="dxa"/>
              <w:bottom w:w="85" w:type="dxa"/>
              <w:left w:w="95" w:type="dxa"/>
              <w:right w:w="95" w:type="dxa"/>
            </w:tcMar>
            <w:shd w:fill="FFFFFF"/>
          </w:tcPr>
          <w:p>
            <w:pPr>
              <w:spacing w:after="0" w:line="247" w:lineRule="auto"/>
              <w:jc w:val="center"/>
            </w:pPr>
            <w:r>
              <w:rPr>
                <w:b w:val="0"/>
                <w:sz w:val="20"/>
              </w:rPr>
              <w:t>Yes</w:t>
            </w:r>
          </w:p>
        </w:tc>
        <w:tc>
          <w:tcPr>
            <w:tcW w:type="dxa" w:w="1080"/>
            <w:vAlign w:val="center"/>
            <w:tcMar>
              <w:top w:w="85" w:type="dxa"/>
              <w:bottom w:w="85" w:type="dxa"/>
              <w:left w:w="95" w:type="dxa"/>
              <w:right w:w="95" w:type="dxa"/>
            </w:tcMar>
            <w:shd w:fill="FFFFFF"/>
          </w:tcPr>
          <w:p>
            <w:pPr>
              <w:spacing w:after="0" w:line="247" w:lineRule="auto"/>
              <w:jc w:val="center"/>
            </w:pPr>
            <w:r>
              <w:rPr>
                <w:b w:val="0"/>
                <w:sz w:val="20"/>
              </w:rPr>
              <w:t>Yes</w:t>
            </w:r>
          </w:p>
        </w:tc>
        <w:tc>
          <w:tcPr>
            <w:tcW w:type="dxa" w:w="3384"/>
            <w:vAlign w:val="center"/>
            <w:tcMar>
              <w:top w:w="85" w:type="dxa"/>
              <w:bottom w:w="85" w:type="dxa"/>
              <w:left w:w="95" w:type="dxa"/>
              <w:right w:w="95" w:type="dxa"/>
            </w:tcMar>
            <w:shd w:fill="FFFFFF"/>
          </w:tcPr>
          <w:p>
            <w:pPr>
              <w:spacing w:after="0" w:line="247" w:lineRule="auto"/>
            </w:pPr>
            <w:r>
              <w:rPr>
                <w:b w:val="0"/>
                <w:sz w:val="20"/>
              </w:rPr>
              <w:t>Allowed</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US Social Security numbers</w:t>
            </w:r>
          </w:p>
        </w:tc>
        <w:tc>
          <w:tcPr>
            <w:tcW w:type="dxa" w:w="1080"/>
            <w:vAlign w:val="center"/>
            <w:tcMar>
              <w:top w:w="85" w:type="dxa"/>
              <w:bottom w:w="85" w:type="dxa"/>
              <w:left w:w="95" w:type="dxa"/>
              <w:right w:w="95" w:type="dxa"/>
            </w:tcMar>
            <w:shd w:fill="F2F5F8"/>
          </w:tcPr>
          <w:p>
            <w:pPr>
              <w:spacing w:after="0" w:line="247" w:lineRule="auto"/>
              <w:jc w:val="center"/>
            </w:pPr>
            <w:r>
              <w:rPr>
                <w:b w:val="0"/>
                <w:sz w:val="20"/>
              </w:rPr>
              <w:t>Yes</w:t>
            </w:r>
          </w:p>
        </w:tc>
        <w:tc>
          <w:tcPr>
            <w:tcW w:type="dxa" w:w="1224"/>
            <w:vAlign w:val="center"/>
            <w:tcMar>
              <w:top w:w="85" w:type="dxa"/>
              <w:bottom w:w="85" w:type="dxa"/>
              <w:left w:w="95" w:type="dxa"/>
              <w:right w:w="95" w:type="dxa"/>
            </w:tcMar>
            <w:shd w:fill="F2F5F8"/>
          </w:tcPr>
          <w:p>
            <w:pPr>
              <w:spacing w:after="0" w:line="247" w:lineRule="auto"/>
              <w:jc w:val="center"/>
            </w:pPr>
            <w:r>
              <w:rPr>
                <w:b w:val="0"/>
                <w:sz w:val="20"/>
              </w:rPr>
              <w:t>Yes</w:t>
            </w:r>
          </w:p>
        </w:tc>
        <w:tc>
          <w:tcPr>
            <w:tcW w:type="dxa" w:w="1080"/>
            <w:vAlign w:val="center"/>
            <w:tcMar>
              <w:top w:w="85" w:type="dxa"/>
              <w:bottom w:w="85" w:type="dxa"/>
              <w:left w:w="95" w:type="dxa"/>
              <w:right w:w="95" w:type="dxa"/>
            </w:tcMar>
            <w:shd w:fill="F2F5F8"/>
          </w:tcPr>
          <w:p>
            <w:pPr>
              <w:spacing w:after="0" w:line="247" w:lineRule="auto"/>
              <w:jc w:val="center"/>
            </w:pPr>
            <w:r>
              <w:rPr>
                <w:b w:val="0"/>
                <w:sz w:val="20"/>
              </w:rPr>
              <w:t>Yes</w:t>
            </w:r>
          </w:p>
        </w:tc>
        <w:tc>
          <w:tcPr>
            <w:tcW w:type="dxa" w:w="3384"/>
            <w:vAlign w:val="center"/>
            <w:tcMar>
              <w:top w:w="85" w:type="dxa"/>
              <w:bottom w:w="85" w:type="dxa"/>
              <w:left w:w="95" w:type="dxa"/>
              <w:right w:w="95" w:type="dxa"/>
            </w:tcMar>
            <w:shd w:fill="F2F5F8"/>
          </w:tcPr>
          <w:p>
            <w:pPr>
              <w:spacing w:after="0" w:line="247" w:lineRule="auto"/>
            </w:pPr>
            <w:r>
              <w:rPr>
                <w:b w:val="0"/>
                <w:sz w:val="20"/>
              </w:rPr>
              <w:t>Not allowed</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Canadian social insurance numbers</w:t>
            </w:r>
          </w:p>
        </w:tc>
        <w:tc>
          <w:tcPr>
            <w:tcW w:type="dxa" w:w="1080"/>
            <w:vAlign w:val="center"/>
            <w:tcMar>
              <w:top w:w="85" w:type="dxa"/>
              <w:bottom w:w="85" w:type="dxa"/>
              <w:left w:w="95" w:type="dxa"/>
              <w:right w:w="95" w:type="dxa"/>
            </w:tcMar>
            <w:shd w:fill="FFFFFF"/>
          </w:tcPr>
          <w:p>
            <w:pPr>
              <w:spacing w:after="0" w:line="247" w:lineRule="auto"/>
              <w:jc w:val="center"/>
            </w:pPr>
            <w:r>
              <w:rPr>
                <w:b w:val="0"/>
                <w:sz w:val="20"/>
              </w:rPr>
              <w:t>Yes</w:t>
            </w:r>
          </w:p>
        </w:tc>
        <w:tc>
          <w:tcPr>
            <w:tcW w:type="dxa" w:w="1224"/>
            <w:vAlign w:val="center"/>
            <w:tcMar>
              <w:top w:w="85" w:type="dxa"/>
              <w:bottom w:w="85" w:type="dxa"/>
              <w:left w:w="95" w:type="dxa"/>
              <w:right w:w="95" w:type="dxa"/>
            </w:tcMar>
            <w:shd w:fill="FFFFFF"/>
          </w:tcPr>
          <w:p>
            <w:pPr>
              <w:spacing w:after="0" w:line="247" w:lineRule="auto"/>
              <w:jc w:val="center"/>
            </w:pPr>
            <w:r>
              <w:rPr>
                <w:b w:val="0"/>
                <w:sz w:val="20"/>
              </w:rPr>
              <w:t>Yes</w:t>
            </w:r>
          </w:p>
        </w:tc>
        <w:tc>
          <w:tcPr>
            <w:tcW w:type="dxa" w:w="1080"/>
            <w:vAlign w:val="center"/>
            <w:tcMar>
              <w:top w:w="85" w:type="dxa"/>
              <w:bottom w:w="85" w:type="dxa"/>
              <w:left w:w="95" w:type="dxa"/>
              <w:right w:w="95" w:type="dxa"/>
            </w:tcMar>
            <w:shd w:fill="FFFFFF"/>
          </w:tcPr>
          <w:p>
            <w:pPr>
              <w:spacing w:after="0" w:line="247" w:lineRule="auto"/>
              <w:jc w:val="center"/>
            </w:pPr>
            <w:r>
              <w:rPr>
                <w:b w:val="0"/>
                <w:sz w:val="20"/>
              </w:rPr>
              <w:t>Yes</w:t>
            </w:r>
          </w:p>
        </w:tc>
        <w:tc>
          <w:tcPr>
            <w:tcW w:type="dxa" w:w="3384"/>
            <w:vAlign w:val="center"/>
            <w:tcMar>
              <w:top w:w="85" w:type="dxa"/>
              <w:bottom w:w="85" w:type="dxa"/>
              <w:left w:w="95" w:type="dxa"/>
              <w:right w:w="95" w:type="dxa"/>
            </w:tcMar>
            <w:shd w:fill="FFFFFF"/>
          </w:tcPr>
          <w:p>
            <w:pPr>
              <w:spacing w:after="0" w:line="247" w:lineRule="auto"/>
            </w:pPr>
            <w:r>
              <w:rPr>
                <w:b w:val="0"/>
                <w:sz w:val="20"/>
              </w:rPr>
              <w:t>Not allowed</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Payment card numbers</w:t>
            </w:r>
          </w:p>
        </w:tc>
        <w:tc>
          <w:tcPr>
            <w:tcW w:type="dxa" w:w="1080"/>
            <w:vAlign w:val="center"/>
            <w:tcMar>
              <w:top w:w="85" w:type="dxa"/>
              <w:bottom w:w="85" w:type="dxa"/>
              <w:left w:w="95" w:type="dxa"/>
              <w:right w:w="95" w:type="dxa"/>
            </w:tcMar>
            <w:shd w:fill="F2F5F8"/>
          </w:tcPr>
          <w:p>
            <w:pPr>
              <w:spacing w:after="0" w:line="247" w:lineRule="auto"/>
              <w:jc w:val="center"/>
            </w:pPr>
            <w:r>
              <w:rPr>
                <w:b w:val="0"/>
                <w:sz w:val="20"/>
              </w:rPr>
              <w:t>Yes</w:t>
            </w:r>
          </w:p>
        </w:tc>
        <w:tc>
          <w:tcPr>
            <w:tcW w:type="dxa" w:w="1224"/>
            <w:vAlign w:val="center"/>
            <w:tcMar>
              <w:top w:w="85" w:type="dxa"/>
              <w:bottom w:w="85" w:type="dxa"/>
              <w:left w:w="95" w:type="dxa"/>
              <w:right w:w="95" w:type="dxa"/>
            </w:tcMar>
            <w:shd w:fill="F2F5F8"/>
          </w:tcPr>
          <w:p>
            <w:pPr>
              <w:spacing w:after="0" w:line="247" w:lineRule="auto"/>
              <w:jc w:val="center"/>
            </w:pPr>
            <w:r>
              <w:rPr>
                <w:b w:val="0"/>
                <w:sz w:val="20"/>
              </w:rPr>
              <w:t>Yes</w:t>
            </w:r>
          </w:p>
        </w:tc>
        <w:tc>
          <w:tcPr>
            <w:tcW w:type="dxa" w:w="1080"/>
            <w:vAlign w:val="center"/>
            <w:tcMar>
              <w:top w:w="85" w:type="dxa"/>
              <w:bottom w:w="85" w:type="dxa"/>
              <w:left w:w="95" w:type="dxa"/>
              <w:right w:w="95" w:type="dxa"/>
            </w:tcMar>
            <w:shd w:fill="F2F5F8"/>
          </w:tcPr>
          <w:p>
            <w:pPr>
              <w:spacing w:after="0" w:line="247" w:lineRule="auto"/>
              <w:jc w:val="center"/>
            </w:pPr>
            <w:r>
              <w:rPr>
                <w:b w:val="0"/>
                <w:sz w:val="20"/>
              </w:rPr>
              <w:t>Yes</w:t>
            </w:r>
          </w:p>
        </w:tc>
        <w:tc>
          <w:tcPr>
            <w:tcW w:type="dxa" w:w="3384"/>
            <w:vAlign w:val="center"/>
            <w:tcMar>
              <w:top w:w="85" w:type="dxa"/>
              <w:bottom w:w="85" w:type="dxa"/>
              <w:left w:w="95" w:type="dxa"/>
              <w:right w:w="95" w:type="dxa"/>
            </w:tcMar>
            <w:shd w:fill="F2F5F8"/>
          </w:tcPr>
          <w:p>
            <w:pPr>
              <w:spacing w:after="0" w:line="247" w:lineRule="auto"/>
            </w:pPr>
            <w:r>
              <w:rPr>
                <w:b w:val="0"/>
                <w:sz w:val="20"/>
              </w:rPr>
              <w:t>Not allowed</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API keys and private keys</w:t>
            </w:r>
          </w:p>
        </w:tc>
        <w:tc>
          <w:tcPr>
            <w:tcW w:type="dxa" w:w="1080"/>
            <w:vAlign w:val="center"/>
            <w:tcMar>
              <w:top w:w="85" w:type="dxa"/>
              <w:bottom w:w="85" w:type="dxa"/>
              <w:left w:w="95" w:type="dxa"/>
              <w:right w:w="95" w:type="dxa"/>
            </w:tcMar>
            <w:shd w:fill="FFFFFF"/>
          </w:tcPr>
          <w:p>
            <w:pPr>
              <w:spacing w:after="0" w:line="247" w:lineRule="auto"/>
              <w:jc w:val="center"/>
            </w:pPr>
            <w:r>
              <w:rPr>
                <w:b w:val="0"/>
                <w:sz w:val="20"/>
              </w:rPr>
              <w:t>Yes</w:t>
            </w:r>
          </w:p>
        </w:tc>
        <w:tc>
          <w:tcPr>
            <w:tcW w:type="dxa" w:w="1224"/>
            <w:vAlign w:val="center"/>
            <w:tcMar>
              <w:top w:w="85" w:type="dxa"/>
              <w:bottom w:w="85" w:type="dxa"/>
              <w:left w:w="95" w:type="dxa"/>
              <w:right w:w="95" w:type="dxa"/>
            </w:tcMar>
            <w:shd w:fill="FFFFFF"/>
          </w:tcPr>
          <w:p>
            <w:pPr>
              <w:spacing w:after="0" w:line="247" w:lineRule="auto"/>
              <w:jc w:val="center"/>
            </w:pPr>
            <w:r>
              <w:rPr>
                <w:b w:val="0"/>
                <w:sz w:val="20"/>
              </w:rPr>
              <w:t>Yes</w:t>
            </w:r>
          </w:p>
        </w:tc>
        <w:tc>
          <w:tcPr>
            <w:tcW w:type="dxa" w:w="1080"/>
            <w:vAlign w:val="center"/>
            <w:tcMar>
              <w:top w:w="85" w:type="dxa"/>
              <w:bottom w:w="85" w:type="dxa"/>
              <w:left w:w="95" w:type="dxa"/>
              <w:right w:w="95" w:type="dxa"/>
            </w:tcMar>
            <w:shd w:fill="FFFFFF"/>
          </w:tcPr>
          <w:p>
            <w:pPr>
              <w:spacing w:after="0" w:line="247" w:lineRule="auto"/>
              <w:jc w:val="center"/>
            </w:pPr>
            <w:r>
              <w:rPr>
                <w:b w:val="0"/>
                <w:sz w:val="20"/>
              </w:rPr>
              <w:t>Yes</w:t>
            </w:r>
          </w:p>
        </w:tc>
        <w:tc>
          <w:tcPr>
            <w:tcW w:type="dxa" w:w="3384"/>
            <w:vAlign w:val="center"/>
            <w:tcMar>
              <w:top w:w="85" w:type="dxa"/>
              <w:bottom w:w="85" w:type="dxa"/>
              <w:left w:w="95" w:type="dxa"/>
              <w:right w:w="95" w:type="dxa"/>
            </w:tcMar>
            <w:shd w:fill="FFFFFF"/>
          </w:tcPr>
          <w:p>
            <w:pPr>
              <w:spacing w:after="0" w:line="247" w:lineRule="auto"/>
            </w:pPr>
            <w:r>
              <w:rPr>
                <w:b w:val="0"/>
                <w:sz w:val="20"/>
              </w:rPr>
              <w:t>Not allowed</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Phone numbers</w:t>
            </w:r>
          </w:p>
        </w:tc>
        <w:tc>
          <w:tcPr>
            <w:tcW w:type="dxa" w:w="1080"/>
            <w:vAlign w:val="center"/>
            <w:tcMar>
              <w:top w:w="85" w:type="dxa"/>
              <w:bottom w:w="85" w:type="dxa"/>
              <w:left w:w="95" w:type="dxa"/>
              <w:right w:w="95" w:type="dxa"/>
            </w:tcMar>
            <w:shd w:fill="F2F5F8"/>
          </w:tcPr>
          <w:p>
            <w:pPr>
              <w:spacing w:after="0" w:line="247" w:lineRule="auto"/>
              <w:jc w:val="center"/>
            </w:pPr>
            <w:r>
              <w:rPr>
                <w:b w:val="0"/>
                <w:sz w:val="20"/>
              </w:rPr>
              <w:t>No</w:t>
            </w:r>
          </w:p>
        </w:tc>
        <w:tc>
          <w:tcPr>
            <w:tcW w:type="dxa" w:w="1224"/>
            <w:vAlign w:val="center"/>
            <w:tcMar>
              <w:top w:w="85" w:type="dxa"/>
              <w:bottom w:w="85" w:type="dxa"/>
              <w:left w:w="95" w:type="dxa"/>
              <w:right w:w="95" w:type="dxa"/>
            </w:tcMar>
            <w:shd w:fill="F2F5F8"/>
          </w:tcPr>
          <w:p>
            <w:pPr>
              <w:spacing w:after="0" w:line="247" w:lineRule="auto"/>
              <w:jc w:val="center"/>
            </w:pPr>
            <w:r>
              <w:rPr>
                <w:b w:val="0"/>
                <w:sz w:val="20"/>
              </w:rPr>
              <w:t>Yes</w:t>
            </w:r>
          </w:p>
        </w:tc>
        <w:tc>
          <w:tcPr>
            <w:tcW w:type="dxa" w:w="1080"/>
            <w:vAlign w:val="center"/>
            <w:tcMar>
              <w:top w:w="85" w:type="dxa"/>
              <w:bottom w:w="85" w:type="dxa"/>
              <w:left w:w="95" w:type="dxa"/>
              <w:right w:w="95" w:type="dxa"/>
            </w:tcMar>
            <w:shd w:fill="F2F5F8"/>
          </w:tcPr>
          <w:p>
            <w:pPr>
              <w:spacing w:after="0" w:line="247" w:lineRule="auto"/>
              <w:jc w:val="center"/>
            </w:pPr>
            <w:r>
              <w:rPr>
                <w:b w:val="0"/>
                <w:sz w:val="20"/>
              </w:rPr>
              <w:t>Yes</w:t>
            </w:r>
          </w:p>
        </w:tc>
        <w:tc>
          <w:tcPr>
            <w:tcW w:type="dxa" w:w="3384"/>
            <w:vAlign w:val="center"/>
            <w:tcMar>
              <w:top w:w="85" w:type="dxa"/>
              <w:bottom w:w="85" w:type="dxa"/>
              <w:left w:w="95" w:type="dxa"/>
              <w:right w:w="95" w:type="dxa"/>
            </w:tcMar>
            <w:shd w:fill="F2F5F8"/>
          </w:tcPr>
          <w:p>
            <w:pPr>
              <w:spacing w:after="0" w:line="247" w:lineRule="auto"/>
            </w:pPr>
            <w:r>
              <w:rPr>
                <w:b w:val="0"/>
                <w:sz w:val="20"/>
              </w:rPr>
              <w:t>Allowed</w:t>
            </w:r>
          </w:p>
        </w:tc>
      </w:tr>
      <w:tr>
        <w:trPr>
          <w:cantSplit/>
        </w:trPr>
        <w:tc>
          <w:tcPr>
            <w:tcW w:type="dxa" w:w="3312"/>
            <w:vAlign w:val="center"/>
            <w:tcMar>
              <w:top w:w="85" w:type="dxa"/>
              <w:bottom w:w="85" w:type="dxa"/>
              <w:left w:w="95" w:type="dxa"/>
              <w:right w:w="95" w:type="dxa"/>
            </w:tcMar>
            <w:shd w:fill="FFFFFF"/>
          </w:tcPr>
          <w:p>
            <w:pPr>
              <w:keepNext/>
              <w:spacing w:after="0" w:line="247" w:lineRule="auto"/>
            </w:pPr>
            <w:r>
              <w:rPr>
                <w:b w:val="0"/>
                <w:sz w:val="20"/>
              </w:rPr>
              <w:t>IPv4 addresses</w:t>
            </w:r>
          </w:p>
        </w:tc>
        <w:tc>
          <w:tcPr>
            <w:tcW w:type="dxa" w:w="1080"/>
            <w:vAlign w:val="center"/>
            <w:tcMar>
              <w:top w:w="85" w:type="dxa"/>
              <w:bottom w:w="85" w:type="dxa"/>
              <w:left w:w="95" w:type="dxa"/>
              <w:right w:w="95" w:type="dxa"/>
            </w:tcMar>
            <w:shd w:fill="FFFFFF"/>
          </w:tcPr>
          <w:p>
            <w:pPr>
              <w:keepNext/>
              <w:spacing w:after="0" w:line="247" w:lineRule="auto"/>
              <w:jc w:val="center"/>
            </w:pPr>
            <w:r>
              <w:rPr>
                <w:b w:val="0"/>
                <w:sz w:val="20"/>
              </w:rPr>
              <w:t>No</w:t>
            </w:r>
          </w:p>
        </w:tc>
        <w:tc>
          <w:tcPr>
            <w:tcW w:type="dxa" w:w="1224"/>
            <w:vAlign w:val="center"/>
            <w:tcMar>
              <w:top w:w="85" w:type="dxa"/>
              <w:bottom w:w="85" w:type="dxa"/>
              <w:left w:w="95" w:type="dxa"/>
              <w:right w:w="95" w:type="dxa"/>
            </w:tcMar>
            <w:shd w:fill="FFFFFF"/>
          </w:tcPr>
          <w:p>
            <w:pPr>
              <w:keepNext/>
              <w:spacing w:after="0" w:line="247" w:lineRule="auto"/>
              <w:jc w:val="center"/>
            </w:pPr>
            <w:r>
              <w:rPr>
                <w:b w:val="0"/>
                <w:sz w:val="20"/>
              </w:rPr>
              <w:t>Yes</w:t>
            </w:r>
          </w:p>
        </w:tc>
        <w:tc>
          <w:tcPr>
            <w:tcW w:type="dxa" w:w="1080"/>
            <w:vAlign w:val="center"/>
            <w:tcMar>
              <w:top w:w="85" w:type="dxa"/>
              <w:bottom w:w="85" w:type="dxa"/>
              <w:left w:w="95" w:type="dxa"/>
              <w:right w:w="95" w:type="dxa"/>
            </w:tcMar>
            <w:shd w:fill="FFFFFF"/>
          </w:tcPr>
          <w:p>
            <w:pPr>
              <w:keepNext/>
              <w:spacing w:after="0" w:line="247" w:lineRule="auto"/>
              <w:jc w:val="center"/>
            </w:pPr>
            <w:r>
              <w:rPr>
                <w:b w:val="0"/>
                <w:sz w:val="20"/>
              </w:rPr>
              <w:t>Yes</w:t>
            </w:r>
          </w:p>
        </w:tc>
        <w:tc>
          <w:tcPr>
            <w:tcW w:type="dxa" w:w="3384"/>
            <w:vAlign w:val="center"/>
            <w:tcMar>
              <w:top w:w="85" w:type="dxa"/>
              <w:bottom w:w="85" w:type="dxa"/>
              <w:left w:w="95" w:type="dxa"/>
              <w:right w:w="95" w:type="dxa"/>
            </w:tcMar>
            <w:shd w:fill="FFFFFF"/>
          </w:tcPr>
          <w:p>
            <w:pPr>
              <w:keepNext/>
              <w:spacing w:after="0" w:line="247" w:lineRule="auto"/>
            </w:pPr>
            <w:r>
              <w:rPr>
                <w:b w:val="0"/>
                <w:sz w:val="20"/>
              </w:rPr>
              <w:t>Allowed</w:t>
            </w:r>
          </w:p>
        </w:tc>
      </w:tr>
      <w:tr>
        <w:trPr>
          <w:cantSplit/>
        </w:trPr>
        <w:tc>
          <w:tcPr>
            <w:tcW w:type="dxa" w:w="3312"/>
            <w:vAlign w:val="center"/>
            <w:tcMar>
              <w:top w:w="85" w:type="dxa"/>
              <w:bottom w:w="85" w:type="dxa"/>
              <w:left w:w="95" w:type="dxa"/>
              <w:right w:w="95" w:type="dxa"/>
            </w:tcMar>
            <w:shd w:fill="F2F5F8"/>
          </w:tcPr>
          <w:p>
            <w:pPr>
              <w:keepNext/>
              <w:spacing w:after="0" w:line="247" w:lineRule="auto"/>
            </w:pPr>
            <w:r>
              <w:rPr>
                <w:b w:val="0"/>
                <w:sz w:val="20"/>
              </w:rPr>
              <w:t>Street addresses</w:t>
            </w:r>
          </w:p>
        </w:tc>
        <w:tc>
          <w:tcPr>
            <w:tcW w:type="dxa" w:w="1080"/>
            <w:vAlign w:val="center"/>
            <w:tcMar>
              <w:top w:w="85" w:type="dxa"/>
              <w:bottom w:w="85" w:type="dxa"/>
              <w:left w:w="95" w:type="dxa"/>
              <w:right w:w="95" w:type="dxa"/>
            </w:tcMar>
            <w:shd w:fill="F2F5F8"/>
          </w:tcPr>
          <w:p>
            <w:pPr>
              <w:keepNext/>
              <w:spacing w:after="0" w:line="247" w:lineRule="auto"/>
              <w:jc w:val="center"/>
            </w:pPr>
            <w:r>
              <w:rPr>
                <w:b w:val="0"/>
                <w:sz w:val="20"/>
              </w:rPr>
              <w:t>No</w:t>
            </w:r>
          </w:p>
        </w:tc>
        <w:tc>
          <w:tcPr>
            <w:tcW w:type="dxa" w:w="1224"/>
            <w:vAlign w:val="center"/>
            <w:tcMar>
              <w:top w:w="85" w:type="dxa"/>
              <w:bottom w:w="85" w:type="dxa"/>
              <w:left w:w="95" w:type="dxa"/>
              <w:right w:w="95" w:type="dxa"/>
            </w:tcMar>
            <w:shd w:fill="F2F5F8"/>
          </w:tcPr>
          <w:p>
            <w:pPr>
              <w:keepNext/>
              <w:spacing w:after="0" w:line="247" w:lineRule="auto"/>
              <w:jc w:val="center"/>
            </w:pPr>
            <w:r>
              <w:rPr>
                <w:b w:val="0"/>
                <w:sz w:val="20"/>
              </w:rPr>
              <w:t>Yes</w:t>
            </w:r>
          </w:p>
        </w:tc>
        <w:tc>
          <w:tcPr>
            <w:tcW w:type="dxa" w:w="1080"/>
            <w:vAlign w:val="center"/>
            <w:tcMar>
              <w:top w:w="85" w:type="dxa"/>
              <w:bottom w:w="85" w:type="dxa"/>
              <w:left w:w="95" w:type="dxa"/>
              <w:right w:w="95" w:type="dxa"/>
            </w:tcMar>
            <w:shd w:fill="F2F5F8"/>
          </w:tcPr>
          <w:p>
            <w:pPr>
              <w:keepNext/>
              <w:spacing w:after="0" w:line="247" w:lineRule="auto"/>
              <w:jc w:val="center"/>
            </w:pPr>
            <w:r>
              <w:rPr>
                <w:b w:val="0"/>
                <w:sz w:val="20"/>
              </w:rPr>
              <w:t>Yes</w:t>
            </w:r>
          </w:p>
        </w:tc>
        <w:tc>
          <w:tcPr>
            <w:tcW w:type="dxa" w:w="3384"/>
            <w:vAlign w:val="center"/>
            <w:tcMar>
              <w:top w:w="85" w:type="dxa"/>
              <w:bottom w:w="85" w:type="dxa"/>
              <w:left w:w="95" w:type="dxa"/>
              <w:right w:w="95" w:type="dxa"/>
            </w:tcMar>
            <w:shd w:fill="F2F5F8"/>
          </w:tcPr>
          <w:p>
            <w:pPr>
              <w:keepNext/>
              <w:spacing w:after="0" w:line="247" w:lineRule="auto"/>
            </w:pPr>
            <w:r>
              <w:rPr>
                <w:b w:val="0"/>
                <w:sz w:val="20"/>
              </w:rPr>
              <w:t>Allowed</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Passport and national ID patterns</w:t>
            </w:r>
          </w:p>
        </w:tc>
        <w:tc>
          <w:tcPr>
            <w:tcW w:type="dxa" w:w="1080"/>
            <w:vAlign w:val="center"/>
            <w:tcMar>
              <w:top w:w="85" w:type="dxa"/>
              <w:bottom w:w="85" w:type="dxa"/>
              <w:left w:w="95" w:type="dxa"/>
              <w:right w:w="95" w:type="dxa"/>
            </w:tcMar>
            <w:shd w:fill="FFFFFF"/>
          </w:tcPr>
          <w:p>
            <w:pPr>
              <w:spacing w:after="0" w:line="247" w:lineRule="auto"/>
              <w:jc w:val="center"/>
            </w:pPr>
            <w:r>
              <w:rPr>
                <w:b w:val="0"/>
                <w:sz w:val="20"/>
              </w:rPr>
              <w:t>No</w:t>
            </w:r>
          </w:p>
        </w:tc>
        <w:tc>
          <w:tcPr>
            <w:tcW w:type="dxa" w:w="1224"/>
            <w:vAlign w:val="center"/>
            <w:tcMar>
              <w:top w:w="85" w:type="dxa"/>
              <w:bottom w:w="85" w:type="dxa"/>
              <w:left w:w="95" w:type="dxa"/>
              <w:right w:w="95" w:type="dxa"/>
            </w:tcMar>
            <w:shd w:fill="FFFFFF"/>
          </w:tcPr>
          <w:p>
            <w:pPr>
              <w:spacing w:after="0" w:line="247" w:lineRule="auto"/>
              <w:jc w:val="center"/>
            </w:pPr>
            <w:r>
              <w:rPr>
                <w:b w:val="0"/>
                <w:sz w:val="20"/>
              </w:rPr>
              <w:t>No</w:t>
            </w:r>
          </w:p>
        </w:tc>
        <w:tc>
          <w:tcPr>
            <w:tcW w:type="dxa" w:w="1080"/>
            <w:vAlign w:val="center"/>
            <w:tcMar>
              <w:top w:w="85" w:type="dxa"/>
              <w:bottom w:w="85" w:type="dxa"/>
              <w:left w:w="95" w:type="dxa"/>
              <w:right w:w="95" w:type="dxa"/>
            </w:tcMar>
            <w:shd w:fill="FFFFFF"/>
          </w:tcPr>
          <w:p>
            <w:pPr>
              <w:spacing w:after="0" w:line="247" w:lineRule="auto"/>
              <w:jc w:val="center"/>
            </w:pPr>
            <w:r>
              <w:rPr>
                <w:b w:val="0"/>
                <w:sz w:val="20"/>
              </w:rPr>
              <w:t>Yes</w:t>
            </w:r>
          </w:p>
        </w:tc>
        <w:tc>
          <w:tcPr>
            <w:tcW w:type="dxa" w:w="3384"/>
            <w:vAlign w:val="center"/>
            <w:tcMar>
              <w:top w:w="85" w:type="dxa"/>
              <w:bottom w:w="85" w:type="dxa"/>
              <w:left w:w="95" w:type="dxa"/>
              <w:right w:w="95" w:type="dxa"/>
            </w:tcMar>
            <w:shd w:fill="FFFFFF"/>
          </w:tcPr>
          <w:p>
            <w:pPr>
              <w:spacing w:after="0" w:line="247" w:lineRule="auto"/>
            </w:pPr>
            <w:r>
              <w:rPr>
                <w:b w:val="0"/>
                <w:sz w:val="20"/>
              </w:rPr>
              <w:t>Allowed</w:t>
            </w:r>
          </w:p>
        </w:tc>
      </w:tr>
    </w:tbl>
    <w:p>
      <w:pPr>
        <w:spacing w:after="40" w:before="0" w:line="240" w:lineRule="auto"/>
      </w:pPr>
      <w:r>
        <w:rPr>
          <w:sz w:val="4"/>
        </w:rPr>
      </w:r>
    </w:p>
    <w:p>
      <w:pPr>
        <w:widowControl/>
      </w:pPr>
      <w:r>
        <w:t>Structural checks and checksums help distinguish likely identifiers from ordinary digit strings. Examples include Luhn validation for card numbers and recognition of private-key blocks. Pattern matching can still produce false positives and miss sensitive content.</w:t>
      </w:r>
    </w:p>
    <w:p>
      <w:pPr>
        <w:pStyle w:val="Heading2"/>
      </w:pPr>
      <w:r>
        <w:t>Safe terms and retained findings</w:t>
      </w:r>
    </w:p>
    <w:p>
      <w:pPr>
        <w:keepLines/>
        <w:widowControl/>
      </w:pPr>
      <w:r>
        <w:t>A safe term exempts an approved domain, CIDR range, prefix, or literal from an exemptible category. The documented policy allows members to propose changes while administrators apply them. Server-side ingestion uses the saved installation policy rather than trusting a browser-supplied exemption list.</w:t>
      </w:r>
    </w:p>
    <w:p>
      <w:pPr>
        <w:widowControl/>
      </w:pPr>
      <w:r>
        <w:t>Findings record the category, source, outcome, count, and sensitivity in effect. Removing a finding removes its record; it does not reconstruct redacted text. Confirm that raw matches are also excluded from logs, local browser storage, and error reporting.</w:t>
      </w:r>
    </w:p>
    <w:p>
      <w:pPr>
        <w:pStyle w:val="Heading2"/>
      </w:pPr>
      <w:r>
        <w:t>Where detection is enforced</w:t>
      </w:r>
    </w:p>
    <w:p>
      <w:pPr>
        <w:keepLines/>
        <w:widowControl/>
      </w:pPr>
      <w:r>
        <w:t>Browser checks protect the normal interface flow, but a script can call an API without running the interface. Server authentication still applies; browser-only detection can nevertheless be bypassed. The existing guide says chat is not scrubbed again on the server. Verify that claim and whether any UI path can submit an original matched value.</w:t>
      </w:r>
    </w:p>
    <w:p>
      <w:pPr>
        <w:widowControl/>
      </w:pPr>
      <w:r>
        <w:t>Output scanning is unresolved. The intended understanding is that generated replies are checked with algorithms; the existing guide says replies are not scanned for sensitive data. Verify the actual code and the timing of any check. The absence of a second AI reviewer does not imply the absence of pattern-based output scanning.</w:t>
      </w:r>
    </w:p>
    <w:p>
      <w:pPr>
        <w:pStyle w:val="Heading1"/>
      </w:pPr>
      <w:r>
        <w:t>5 Turn policy and conversation style</w:t>
      </w:r>
    </w:p>
    <w:p>
      <w:pPr>
        <w:keepLines/>
        <w:widowControl/>
      </w:pPr>
      <w:r>
        <w:t>Turn policy asks what context a message needs. Complexity routing asks which model tier should handle it. Keeping these decisions separate lets SecureMind answer casually when appropriate and use document evidence when it adds value.</w:t>
      </w:r>
    </w:p>
    <w:p>
      <w:pPr>
        <w:widowControl/>
      </w:pPr>
      <w:r>
        <w:t>The documented classifier is deterministic: it normalizes the message and evaluates signals in a defined order, including attachments, social messages, corrections, application help, grounded follow-ups, workspace references, and general questions. The reason code is recorded for diagnostics rather than inserted into the reply.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3888"/>
      </w:tblGrid>
      <w:tr>
        <w:trPr>
          <w:cantSplit/>
          <w:tblHeader/>
        </w:trPr>
        <w:tc>
          <w:tcPr>
            <w:tcW w:type="dxa" w:w="2376"/>
            <w:vAlign w:val="center"/>
            <w:tcMar>
              <w:top w:w="85" w:type="dxa"/>
              <w:bottom w:w="85" w:type="dxa"/>
              <w:left w:w="95" w:type="dxa"/>
              <w:right w:w="95" w:type="dxa"/>
            </w:tcMar>
            <w:shd w:fill="24384B"/>
          </w:tcPr>
          <w:p>
            <w:pPr>
              <w:keepNext/>
              <w:spacing w:after="0" w:line="247" w:lineRule="auto"/>
            </w:pPr>
            <w:r>
              <w:rPr>
                <w:b/>
                <w:color w:val="FFFFFF"/>
                <w:sz w:val="20"/>
              </w:rPr>
              <w:t>Type of request</w:t>
            </w:r>
          </w:p>
        </w:tc>
        <w:tc>
          <w:tcPr>
            <w:tcW w:type="dxa" w:w="3816"/>
            <w:vAlign w:val="center"/>
            <w:tcMar>
              <w:top w:w="85" w:type="dxa"/>
              <w:bottom w:w="85" w:type="dxa"/>
              <w:left w:w="95" w:type="dxa"/>
              <w:right w:w="95" w:type="dxa"/>
            </w:tcMar>
            <w:shd w:fill="24384B"/>
          </w:tcPr>
          <w:p>
            <w:pPr>
              <w:keepNext/>
              <w:spacing w:after="0" w:line="247" w:lineRule="auto"/>
            </w:pPr>
            <w:r>
              <w:rPr>
                <w:b/>
                <w:color w:val="FFFFFF"/>
                <w:sz w:val="20"/>
              </w:rPr>
              <w:t>Retrieval behaviour</w:t>
            </w:r>
          </w:p>
        </w:tc>
        <w:tc>
          <w:tcPr>
            <w:tcW w:type="dxa" w:w="3888"/>
            <w:vAlign w:val="center"/>
            <w:tcMar>
              <w:top w:w="85" w:type="dxa"/>
              <w:bottom w:w="85" w:type="dxa"/>
              <w:left w:w="95" w:type="dxa"/>
              <w:right w:w="95" w:type="dxa"/>
            </w:tcMar>
            <w:shd w:fill="24384B"/>
          </w:tcPr>
          <w:p>
            <w:pPr>
              <w:keepNext/>
              <w:spacing w:after="0" w:line="247" w:lineRule="auto"/>
            </w:pPr>
            <w:r>
              <w:rPr>
                <w:b/>
                <w:color w:val="FFFFFF"/>
                <w:sz w:val="20"/>
              </w:rPr>
              <w:t>Context and sources</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Greeting, joke, correction, or topic change</w:t>
            </w:r>
          </w:p>
        </w:tc>
        <w:tc>
          <w:tcPr>
            <w:tcW w:type="dxa" w:w="3816"/>
            <w:vAlign w:val="center"/>
            <w:tcMar>
              <w:top w:w="85" w:type="dxa"/>
              <w:bottom w:w="85" w:type="dxa"/>
              <w:left w:w="95" w:type="dxa"/>
              <w:right w:w="95" w:type="dxa"/>
            </w:tcMar>
            <w:shd w:fill="FFFFFF"/>
          </w:tcPr>
          <w:p>
            <w:pPr>
              <w:spacing w:after="0" w:line="247" w:lineRule="auto"/>
            </w:pPr>
            <w:r>
              <w:rPr>
                <w:b w:val="0"/>
                <w:sz w:val="20"/>
              </w:rPr>
              <w:t>No knowledge search</w:t>
            </w:r>
          </w:p>
        </w:tc>
        <w:tc>
          <w:tcPr>
            <w:tcW w:type="dxa" w:w="3888"/>
            <w:vAlign w:val="center"/>
            <w:tcMar>
              <w:top w:w="85" w:type="dxa"/>
              <w:bottom w:w="85" w:type="dxa"/>
              <w:left w:w="95" w:type="dxa"/>
              <w:right w:w="95" w:type="dxa"/>
            </w:tcMar>
            <w:shd w:fill="FFFFFF"/>
          </w:tcPr>
          <w:p>
            <w:pPr>
              <w:spacing w:after="0" w:line="247" w:lineRule="auto"/>
            </w:pPr>
            <w:r>
              <w:rPr>
                <w:b w:val="0"/>
                <w:sz w:val="20"/>
              </w:rPr>
              <w:t>Conversational instructions; Micro override</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Application help or a question about where an answer came from</w:t>
            </w:r>
          </w:p>
        </w:tc>
        <w:tc>
          <w:tcPr>
            <w:tcW w:type="dxa" w:w="3816"/>
            <w:vAlign w:val="center"/>
            <w:tcMar>
              <w:top w:w="85" w:type="dxa"/>
              <w:bottom w:w="85" w:type="dxa"/>
              <w:left w:w="95" w:type="dxa"/>
              <w:right w:w="95" w:type="dxa"/>
            </w:tcMar>
            <w:shd w:fill="F2F5F8"/>
          </w:tcPr>
          <w:p>
            <w:pPr>
              <w:spacing w:after="0" w:line="247" w:lineRule="auto"/>
            </w:pPr>
            <w:r>
              <w:rPr>
                <w:b w:val="0"/>
                <w:sz w:val="20"/>
              </w:rPr>
              <w:t>No knowledge search in the documented policy</w:t>
            </w:r>
          </w:p>
        </w:tc>
        <w:tc>
          <w:tcPr>
            <w:tcW w:type="dxa" w:w="3888"/>
            <w:vAlign w:val="center"/>
            <w:tcMar>
              <w:top w:w="85" w:type="dxa"/>
              <w:bottom w:w="85" w:type="dxa"/>
              <w:left w:w="95" w:type="dxa"/>
              <w:right w:w="95" w:type="dxa"/>
            </w:tcMar>
            <w:shd w:fill="F2F5F8"/>
          </w:tcPr>
          <w:p>
            <w:pPr>
              <w:spacing w:after="0" w:line="247" w:lineRule="auto"/>
            </w:pPr>
            <w:r>
              <w:rPr>
                <w:b w:val="0"/>
                <w:sz w:val="20"/>
              </w:rPr>
              <w:t>Conversational response; Micro override</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Short unclear message without grounded context</w:t>
            </w:r>
          </w:p>
        </w:tc>
        <w:tc>
          <w:tcPr>
            <w:tcW w:type="dxa" w:w="3816"/>
            <w:vAlign w:val="center"/>
            <w:tcMar>
              <w:top w:w="85" w:type="dxa"/>
              <w:bottom w:w="85" w:type="dxa"/>
              <w:left w:w="95" w:type="dxa"/>
              <w:right w:w="95" w:type="dxa"/>
            </w:tcMar>
            <w:shd w:fill="FFFFFF"/>
          </w:tcPr>
          <w:p>
            <w:pPr>
              <w:spacing w:after="0" w:line="247" w:lineRule="auto"/>
            </w:pPr>
            <w:r>
              <w:rPr>
                <w:b w:val="0"/>
                <w:sz w:val="20"/>
              </w:rPr>
              <w:t>Ask for clarification</w:t>
            </w:r>
          </w:p>
        </w:tc>
        <w:tc>
          <w:tcPr>
            <w:tcW w:type="dxa" w:w="3888"/>
            <w:vAlign w:val="center"/>
            <w:tcMar>
              <w:top w:w="85" w:type="dxa"/>
              <w:bottom w:w="85" w:type="dxa"/>
              <w:left w:w="95" w:type="dxa"/>
              <w:right w:w="95" w:type="dxa"/>
            </w:tcMar>
            <w:shd w:fill="FFFFFF"/>
          </w:tcPr>
          <w:p>
            <w:pPr>
              <w:spacing w:after="0" w:line="247" w:lineRule="auto"/>
            </w:pPr>
            <w:r>
              <w:rPr>
                <w:b w:val="0"/>
                <w:sz w:val="20"/>
              </w:rPr>
              <w:t>Micro override</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Attachment on its own</w:t>
            </w:r>
          </w:p>
        </w:tc>
        <w:tc>
          <w:tcPr>
            <w:tcW w:type="dxa" w:w="3816"/>
            <w:vAlign w:val="center"/>
            <w:tcMar>
              <w:top w:w="85" w:type="dxa"/>
              <w:bottom w:w="85" w:type="dxa"/>
              <w:left w:w="95" w:type="dxa"/>
              <w:right w:w="95" w:type="dxa"/>
            </w:tcMar>
            <w:shd w:fill="F2F5F8"/>
          </w:tcPr>
          <w:p>
            <w:pPr>
              <w:spacing w:after="0" w:line="247" w:lineRule="auto"/>
            </w:pPr>
            <w:r>
              <w:rPr>
                <w:b w:val="0"/>
                <w:sz w:val="20"/>
              </w:rPr>
              <w:t>Use attachment content</w:t>
            </w:r>
          </w:p>
        </w:tc>
        <w:tc>
          <w:tcPr>
            <w:tcW w:type="dxa" w:w="3888"/>
            <w:vAlign w:val="center"/>
            <w:tcMar>
              <w:top w:w="85" w:type="dxa"/>
              <w:bottom w:w="85" w:type="dxa"/>
              <w:left w:w="95" w:type="dxa"/>
              <w:right w:w="95" w:type="dxa"/>
            </w:tcMar>
            <w:shd w:fill="F2F5F8"/>
          </w:tcPr>
          <w:p>
            <w:pPr>
              <w:spacing w:after="0" w:line="247" w:lineRule="auto"/>
            </w:pPr>
            <w:r>
              <w:rPr>
                <w:b w:val="0"/>
                <w:sz w:val="20"/>
              </w:rPr>
              <w:t>Operational context; no separate workspace source search</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Attachment compared with workspace documents</w:t>
            </w:r>
          </w:p>
        </w:tc>
        <w:tc>
          <w:tcPr>
            <w:tcW w:type="dxa" w:w="3816"/>
            <w:vAlign w:val="center"/>
            <w:tcMar>
              <w:top w:w="85" w:type="dxa"/>
              <w:bottom w:w="85" w:type="dxa"/>
              <w:left w:w="95" w:type="dxa"/>
              <w:right w:w="95" w:type="dxa"/>
            </w:tcMar>
            <w:shd w:fill="FFFFFF"/>
          </w:tcPr>
          <w:p>
            <w:pPr>
              <w:spacing w:after="0" w:line="247" w:lineRule="auto"/>
            </w:pPr>
            <w:r>
              <w:rPr>
                <w:b w:val="0"/>
                <w:sz w:val="20"/>
              </w:rPr>
              <w:t>Search workspace knowledge</w:t>
            </w:r>
          </w:p>
        </w:tc>
        <w:tc>
          <w:tcPr>
            <w:tcW w:type="dxa" w:w="3888"/>
            <w:vAlign w:val="center"/>
            <w:tcMar>
              <w:top w:w="85" w:type="dxa"/>
              <w:bottom w:w="85" w:type="dxa"/>
              <w:left w:w="95" w:type="dxa"/>
              <w:right w:w="95" w:type="dxa"/>
            </w:tcMar>
            <w:shd w:fill="FFFFFF"/>
          </w:tcPr>
          <w:p>
            <w:pPr>
              <w:spacing w:after="0" w:line="247" w:lineRule="auto"/>
            </w:pPr>
            <w:r>
              <w:rPr>
                <w:b w:val="0"/>
                <w:sz w:val="20"/>
              </w:rPr>
              <w:t>Cite supporting passages used in the answer</w:t>
            </w:r>
          </w:p>
        </w:tc>
      </w:tr>
      <w:tr>
        <w:trPr>
          <w:cantSplit/>
        </w:trPr>
        <w:tc>
          <w:tcPr>
            <w:tcW w:type="dxa" w:w="2376"/>
            <w:vAlign w:val="center"/>
            <w:tcMar>
              <w:top w:w="85" w:type="dxa"/>
              <w:bottom w:w="85" w:type="dxa"/>
              <w:left w:w="95" w:type="dxa"/>
              <w:right w:w="95" w:type="dxa"/>
            </w:tcMar>
            <w:shd w:fill="F2F5F8"/>
          </w:tcPr>
          <w:p>
            <w:pPr>
              <w:keepNext/>
              <w:spacing w:after="0" w:line="247" w:lineRule="auto"/>
            </w:pPr>
            <w:r>
              <w:rPr>
                <w:b w:val="0"/>
                <w:sz w:val="20"/>
              </w:rPr>
              <w:t>Workspace, file, or investigation request</w:t>
            </w:r>
          </w:p>
        </w:tc>
        <w:tc>
          <w:tcPr>
            <w:tcW w:type="dxa" w:w="3816"/>
            <w:vAlign w:val="center"/>
            <w:tcMar>
              <w:top w:w="85" w:type="dxa"/>
              <w:bottom w:w="85" w:type="dxa"/>
              <w:left w:w="95" w:type="dxa"/>
              <w:right w:w="95" w:type="dxa"/>
            </w:tcMar>
            <w:shd w:fill="F2F5F8"/>
          </w:tcPr>
          <w:p>
            <w:pPr>
              <w:keepNext/>
              <w:spacing w:after="0" w:line="247" w:lineRule="auto"/>
            </w:pPr>
            <w:r>
              <w:rPr>
                <w:b w:val="0"/>
                <w:sz w:val="20"/>
              </w:rPr>
              <w:t>Search scoped knowledge</w:t>
            </w:r>
          </w:p>
        </w:tc>
        <w:tc>
          <w:tcPr>
            <w:tcW w:type="dxa" w:w="3888"/>
            <w:vAlign w:val="center"/>
            <w:tcMar>
              <w:top w:w="85" w:type="dxa"/>
              <w:bottom w:w="85" w:type="dxa"/>
              <w:left w:w="95" w:type="dxa"/>
              <w:right w:w="95" w:type="dxa"/>
            </w:tcMar>
            <w:shd w:fill="F2F5F8"/>
          </w:tcPr>
          <w:p>
            <w:pPr>
              <w:keepNext/>
              <w:spacing w:after="0" w:line="247" w:lineRule="auto"/>
            </w:pPr>
            <w:r>
              <w:rPr>
                <w:b w:val="0"/>
                <w:sz w:val="20"/>
              </w:rPr>
              <w:t>Operational instructions and workspace context</w:t>
            </w:r>
          </w:p>
        </w:tc>
      </w:tr>
      <w:tr>
        <w:trPr>
          <w:cantSplit/>
        </w:trPr>
        <w:tc>
          <w:tcPr>
            <w:tcW w:type="dxa" w:w="2376"/>
            <w:vAlign w:val="center"/>
            <w:tcMar>
              <w:top w:w="85" w:type="dxa"/>
              <w:bottom w:w="85" w:type="dxa"/>
              <w:left w:w="95" w:type="dxa"/>
              <w:right w:w="95" w:type="dxa"/>
            </w:tcMar>
            <w:shd w:fill="FFFFFF"/>
          </w:tcPr>
          <w:p>
            <w:pPr>
              <w:keepNext/>
              <w:spacing w:after="0" w:line="247" w:lineRule="auto"/>
            </w:pPr>
            <w:r>
              <w:rPr>
                <w:b w:val="0"/>
                <w:sz w:val="20"/>
              </w:rPr>
              <w:t>Follow-up to a grounded answer</w:t>
            </w:r>
          </w:p>
        </w:tc>
        <w:tc>
          <w:tcPr>
            <w:tcW w:type="dxa" w:w="3816"/>
            <w:vAlign w:val="center"/>
            <w:tcMar>
              <w:top w:w="85" w:type="dxa"/>
              <w:bottom w:w="85" w:type="dxa"/>
              <w:left w:w="95" w:type="dxa"/>
              <w:right w:w="95" w:type="dxa"/>
            </w:tcMar>
            <w:shd w:fill="FFFFFF"/>
          </w:tcPr>
          <w:p>
            <w:pPr>
              <w:keepNext/>
              <w:spacing w:after="0" w:line="247" w:lineRule="auto"/>
            </w:pPr>
            <w:r>
              <w:rPr>
                <w:b w:val="0"/>
                <w:sz w:val="20"/>
              </w:rPr>
              <w:t>Search within prior-source context</w:t>
            </w:r>
          </w:p>
        </w:tc>
        <w:tc>
          <w:tcPr>
            <w:tcW w:type="dxa" w:w="3888"/>
            <w:vAlign w:val="center"/>
            <w:tcMar>
              <w:top w:w="85" w:type="dxa"/>
              <w:bottom w:w="85" w:type="dxa"/>
              <w:left w:w="95" w:type="dxa"/>
              <w:right w:w="95" w:type="dxa"/>
            </w:tcMar>
            <w:shd w:fill="FFFFFF"/>
          </w:tcPr>
          <w:p>
            <w:pPr>
              <w:keepNext/>
              <w:spacing w:after="0" w:line="247" w:lineRule="auto"/>
            </w:pPr>
            <w:r>
              <w:rPr>
                <w:b w:val="0"/>
                <w:sz w:val="20"/>
              </w:rPr>
              <w:t>Continue evidence-based discussion</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General question</w:t>
            </w:r>
          </w:p>
        </w:tc>
        <w:tc>
          <w:tcPr>
            <w:tcW w:type="dxa" w:w="3816"/>
            <w:vAlign w:val="center"/>
            <w:tcMar>
              <w:top w:w="85" w:type="dxa"/>
              <w:bottom w:w="85" w:type="dxa"/>
              <w:left w:w="95" w:type="dxa"/>
              <w:right w:w="95" w:type="dxa"/>
            </w:tcMar>
            <w:shd w:fill="F2F5F8"/>
          </w:tcPr>
          <w:p>
            <w:pPr>
              <w:spacing w:after="0" w:line="247" w:lineRule="auto"/>
            </w:pPr>
            <w:r>
              <w:rPr>
                <w:b w:val="0"/>
                <w:sz w:val="20"/>
              </w:rPr>
              <w:t>Silent relevance search</w:t>
            </w:r>
          </w:p>
        </w:tc>
        <w:tc>
          <w:tcPr>
            <w:tcW w:type="dxa" w:w="3888"/>
            <w:vAlign w:val="center"/>
            <w:tcMar>
              <w:top w:w="85" w:type="dxa"/>
              <w:bottom w:w="85" w:type="dxa"/>
              <w:left w:w="95" w:type="dxa"/>
              <w:right w:w="95" w:type="dxa"/>
            </w:tcMar>
            <w:shd w:fill="F2F5F8"/>
          </w:tcPr>
          <w:p>
            <w:pPr>
              <w:spacing w:after="0" w:line="247" w:lineRule="auto"/>
            </w:pPr>
            <w:r>
              <w:rPr>
                <w:b w:val="0"/>
                <w:sz w:val="20"/>
              </w:rPr>
              <w:t>Remain conversational unless useful evidence qualifies</w:t>
            </w:r>
          </w:p>
        </w:tc>
      </w:tr>
    </w:tbl>
    <w:p>
      <w:pPr>
        <w:spacing w:after="40" w:before="0" w:line="240" w:lineRule="auto"/>
      </w:pPr>
      <w:r>
        <w:rPr>
          <w:sz w:val="4"/>
        </w:rPr>
      </w:r>
    </w:p>
    <w:p>
      <w:pPr>
        <w:widowControl/>
      </w:pPr>
      <w:r>
        <w:t>For a general question, a relevant document match can upgrade the turn to a grounded response. A miss should leave it as an ordinary conversation, without announcing that the knowledge base was empty. The documented evidence threshold is 0.5; its metric and direction require confirmation in the retrieval code.</w:t>
      </w:r>
    </w:p>
    <w:p>
      <w:pPr>
        <w:widowControl/>
      </w:pPr>
      <w:r>
        <w:t>The operational-context flag controls whether the workspace mission and additional grounding instructions are included. It should not force every conversation into an operations pitch. Conversation history supplies continuity, even when no documentary evidence is needed.</w:t>
      </w:r>
    </w:p>
    <w:p>
      <w:pPr>
        <w:pStyle w:val="Heading1"/>
      </w:pPr>
      <w:r>
        <w:t>6 Complexity tiers and model selection</w:t>
      </w:r>
    </w:p>
    <w:p>
      <w:pPr>
        <w:keepLines/>
        <w:widowControl/>
      </w:pPr>
      <w:r>
        <w:t>SecureMind's intended routing model evaluates the request, selects a complexity tier, and uses the model assigned to that tier. The tier names describe routing categories. They do not require a particular vendor or guarantee a capability level independent of the assigned model.</w:t>
      </w:r>
    </w:p>
    <w:p>
      <w:pPr>
        <w:widowControl/>
      </w:pPr>
      <w:r>
        <w:t>The five current names are Max, Plus, Standard, Light, and Micro. Historical records may call Max “High” and Light “Fast.” That is naming compatibility; an older conversation does not receive a stronger model because of its age.</w:t>
      </w:r>
    </w:p>
    <w:p>
      <w:pPr>
        <w:pStyle w:val="Heading2"/>
      </w:pPr>
      <w:r>
        <w:t>Score thresholds</w:t>
      </w:r>
    </w:p>
    <w:p>
      <w:pPr>
        <w:keepLines/>
        <w:widowControl/>
      </w:pPr>
      <w:r>
        <w:t>The existing guide describes a starting score of 42, with adjustments clamped to a range of 0 to 100. Standard is therefore the starting classification before other signals and overrides, rather than a mandatory model for every 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440"/>
        <w:gridCol w:w="3960"/>
        <w:gridCol w:w="3456"/>
      </w:tblGrid>
      <w:tr>
        <w:trPr>
          <w:cantSplit/>
          <w:tblHeader/>
        </w:trPr>
        <w:tc>
          <w:tcPr>
            <w:tcW w:type="dxa" w:w="1224"/>
            <w:vAlign w:val="center"/>
            <w:tcMar>
              <w:top w:w="85" w:type="dxa"/>
              <w:bottom w:w="85" w:type="dxa"/>
              <w:left w:w="95" w:type="dxa"/>
              <w:right w:w="95" w:type="dxa"/>
            </w:tcMar>
            <w:shd w:fill="24384B"/>
          </w:tcPr>
          <w:p>
            <w:pPr>
              <w:keepNext/>
              <w:spacing w:after="0" w:line="247" w:lineRule="auto"/>
              <w:jc w:val="center"/>
            </w:pPr>
            <w:r>
              <w:rPr>
                <w:b/>
                <w:color w:val="FFFFFF"/>
                <w:sz w:val="20"/>
              </w:rPr>
              <w:t>Tier</w:t>
            </w:r>
          </w:p>
        </w:tc>
        <w:tc>
          <w:tcPr>
            <w:tcW w:type="dxa" w:w="1440"/>
            <w:vAlign w:val="center"/>
            <w:tcMar>
              <w:top w:w="85" w:type="dxa"/>
              <w:bottom w:w="85" w:type="dxa"/>
              <w:left w:w="95" w:type="dxa"/>
              <w:right w:w="95" w:type="dxa"/>
            </w:tcMar>
            <w:shd w:fill="24384B"/>
          </w:tcPr>
          <w:p>
            <w:pPr>
              <w:keepNext/>
              <w:spacing w:after="0" w:line="247" w:lineRule="auto"/>
              <w:jc w:val="center"/>
            </w:pPr>
            <w:r>
              <w:rPr>
                <w:b/>
                <w:color w:val="FFFFFF"/>
                <w:sz w:val="20"/>
              </w:rPr>
              <w:t>Score range</w:t>
            </w:r>
          </w:p>
        </w:tc>
        <w:tc>
          <w:tcPr>
            <w:tcW w:type="dxa" w:w="3960"/>
            <w:vAlign w:val="center"/>
            <w:tcMar>
              <w:top w:w="85" w:type="dxa"/>
              <w:bottom w:w="85" w:type="dxa"/>
              <w:left w:w="95" w:type="dxa"/>
              <w:right w:w="95" w:type="dxa"/>
            </w:tcMar>
            <w:shd w:fill="24384B"/>
          </w:tcPr>
          <w:p>
            <w:pPr>
              <w:keepNext/>
              <w:spacing w:after="0" w:line="247" w:lineRule="auto"/>
            </w:pPr>
            <w:r>
              <w:rPr>
                <w:b/>
                <w:color w:val="FFFFFF"/>
                <w:sz w:val="20"/>
              </w:rPr>
              <w:t>Typical routing purpose</w:t>
            </w:r>
          </w:p>
        </w:tc>
        <w:tc>
          <w:tcPr>
            <w:tcW w:type="dxa" w:w="3456"/>
            <w:vAlign w:val="center"/>
            <w:tcMar>
              <w:top w:w="85" w:type="dxa"/>
              <w:bottom w:w="85" w:type="dxa"/>
              <w:left w:w="95" w:type="dxa"/>
              <w:right w:w="95" w:type="dxa"/>
            </w:tcMar>
            <w:shd w:fill="24384B"/>
          </w:tcPr>
          <w:p>
            <w:pPr>
              <w:keepNext/>
              <w:spacing w:after="0" w:line="247" w:lineRule="auto"/>
            </w:pPr>
            <w:r>
              <w:rPr>
                <w:b/>
                <w:color w:val="FFFFFF"/>
                <w:sz w:val="20"/>
              </w:rPr>
              <w:t>Model used</w:t>
            </w:r>
          </w:p>
        </w:tc>
      </w:tr>
      <w:tr>
        <w:trPr>
          <w:cantSplit/>
        </w:trPr>
        <w:tc>
          <w:tcPr>
            <w:tcW w:type="dxa" w:w="1224"/>
            <w:vAlign w:val="center"/>
            <w:tcMar>
              <w:top w:w="85" w:type="dxa"/>
              <w:bottom w:w="85" w:type="dxa"/>
              <w:left w:w="95" w:type="dxa"/>
              <w:right w:w="95" w:type="dxa"/>
            </w:tcMar>
            <w:shd w:fill="FFFFFF"/>
          </w:tcPr>
          <w:p>
            <w:pPr>
              <w:keepNext/>
              <w:spacing w:after="0" w:line="247" w:lineRule="auto"/>
              <w:jc w:val="center"/>
            </w:pPr>
            <w:r>
              <w:rPr>
                <w:b w:val="0"/>
                <w:sz w:val="20"/>
              </w:rPr>
              <w:t>Max</w:t>
            </w:r>
          </w:p>
        </w:tc>
        <w:tc>
          <w:tcPr>
            <w:tcW w:type="dxa" w:w="1440"/>
            <w:vAlign w:val="center"/>
            <w:tcMar>
              <w:top w:w="85" w:type="dxa"/>
              <w:bottom w:w="85" w:type="dxa"/>
              <w:left w:w="95" w:type="dxa"/>
              <w:right w:w="95" w:type="dxa"/>
            </w:tcMar>
            <w:shd w:fill="FFFFFF"/>
          </w:tcPr>
          <w:p>
            <w:pPr>
              <w:keepNext/>
              <w:spacing w:after="0" w:line="247" w:lineRule="auto"/>
              <w:jc w:val="center"/>
            </w:pPr>
            <w:r>
              <w:rPr>
                <w:b w:val="0"/>
                <w:sz w:val="20"/>
              </w:rPr>
              <w:t>66 to 100</w:t>
            </w:r>
          </w:p>
        </w:tc>
        <w:tc>
          <w:tcPr>
            <w:tcW w:type="dxa" w:w="3960"/>
            <w:vAlign w:val="center"/>
            <w:tcMar>
              <w:top w:w="85" w:type="dxa"/>
              <w:bottom w:w="85" w:type="dxa"/>
              <w:left w:w="95" w:type="dxa"/>
              <w:right w:w="95" w:type="dxa"/>
            </w:tcMar>
            <w:shd w:fill="FFFFFF"/>
          </w:tcPr>
          <w:p>
            <w:pPr>
              <w:keepNext/>
              <w:spacing w:after="0" w:line="247" w:lineRule="auto"/>
            </w:pPr>
            <w:r>
              <w:rPr>
                <w:b w:val="0"/>
                <w:sz w:val="20"/>
              </w:rPr>
              <w:t>Deep analysis or demanding technical work</w:t>
            </w:r>
          </w:p>
        </w:tc>
        <w:tc>
          <w:tcPr>
            <w:tcW w:type="dxa" w:w="3456"/>
            <w:vAlign w:val="center"/>
            <w:tcMar>
              <w:top w:w="85" w:type="dxa"/>
              <w:bottom w:w="85" w:type="dxa"/>
              <w:left w:w="95" w:type="dxa"/>
              <w:right w:w="95" w:type="dxa"/>
            </w:tcMar>
            <w:shd w:fill="FFFFFF"/>
          </w:tcPr>
          <w:p>
            <w:pPr>
              <w:keepNext/>
              <w:spacing w:after="0" w:line="247" w:lineRule="auto"/>
            </w:pPr>
            <w:r>
              <w:rPr>
                <w:b w:val="0"/>
                <w:sz w:val="20"/>
              </w:rPr>
              <w:t>Configured Max assignment</w:t>
            </w:r>
          </w:p>
        </w:tc>
      </w:tr>
      <w:tr>
        <w:trPr>
          <w:cantSplit/>
        </w:trPr>
        <w:tc>
          <w:tcPr>
            <w:tcW w:type="dxa" w:w="1224"/>
            <w:vAlign w:val="center"/>
            <w:tcMar>
              <w:top w:w="85" w:type="dxa"/>
              <w:bottom w:w="85" w:type="dxa"/>
              <w:left w:w="95" w:type="dxa"/>
              <w:right w:w="95" w:type="dxa"/>
            </w:tcMar>
            <w:shd w:fill="F2F5F8"/>
          </w:tcPr>
          <w:p>
            <w:pPr>
              <w:keepNext/>
              <w:spacing w:after="0" w:line="247" w:lineRule="auto"/>
              <w:jc w:val="center"/>
            </w:pPr>
            <w:r>
              <w:rPr>
                <w:b w:val="0"/>
                <w:sz w:val="20"/>
              </w:rPr>
              <w:t>Plus</w:t>
            </w:r>
          </w:p>
        </w:tc>
        <w:tc>
          <w:tcPr>
            <w:tcW w:type="dxa" w:w="1440"/>
            <w:vAlign w:val="center"/>
            <w:tcMar>
              <w:top w:w="85" w:type="dxa"/>
              <w:bottom w:w="85" w:type="dxa"/>
              <w:left w:w="95" w:type="dxa"/>
              <w:right w:w="95" w:type="dxa"/>
            </w:tcMar>
            <w:shd w:fill="F2F5F8"/>
          </w:tcPr>
          <w:p>
            <w:pPr>
              <w:keepNext/>
              <w:spacing w:after="0" w:line="247" w:lineRule="auto"/>
              <w:jc w:val="center"/>
            </w:pPr>
            <w:r>
              <w:rPr>
                <w:b w:val="0"/>
                <w:sz w:val="20"/>
              </w:rPr>
              <w:t>52 to 65</w:t>
            </w:r>
          </w:p>
        </w:tc>
        <w:tc>
          <w:tcPr>
            <w:tcW w:type="dxa" w:w="3960"/>
            <w:vAlign w:val="center"/>
            <w:tcMar>
              <w:top w:w="85" w:type="dxa"/>
              <w:bottom w:w="85" w:type="dxa"/>
              <w:left w:w="95" w:type="dxa"/>
              <w:right w:w="95" w:type="dxa"/>
            </w:tcMar>
            <w:shd w:fill="F2F5F8"/>
          </w:tcPr>
          <w:p>
            <w:pPr>
              <w:keepNext/>
              <w:spacing w:after="0" w:line="247" w:lineRule="auto"/>
            </w:pPr>
            <w:r>
              <w:rPr>
                <w:b w:val="0"/>
                <w:sz w:val="20"/>
              </w:rPr>
              <w:t>More involved planning or reasoning</w:t>
            </w:r>
          </w:p>
        </w:tc>
        <w:tc>
          <w:tcPr>
            <w:tcW w:type="dxa" w:w="3456"/>
            <w:vAlign w:val="center"/>
            <w:tcMar>
              <w:top w:w="85" w:type="dxa"/>
              <w:bottom w:w="85" w:type="dxa"/>
              <w:left w:w="95" w:type="dxa"/>
              <w:right w:w="95" w:type="dxa"/>
            </w:tcMar>
            <w:shd w:fill="F2F5F8"/>
          </w:tcPr>
          <w:p>
            <w:pPr>
              <w:keepNext/>
              <w:spacing w:after="0" w:line="247" w:lineRule="auto"/>
            </w:pPr>
            <w:r>
              <w:rPr>
                <w:b w:val="0"/>
                <w:sz w:val="20"/>
              </w:rPr>
              <w:t>Configured Plus assignment</w:t>
            </w:r>
          </w:p>
        </w:tc>
      </w:tr>
      <w:tr>
        <w:trPr>
          <w:cantSplit/>
        </w:trPr>
        <w:tc>
          <w:tcPr>
            <w:tcW w:type="dxa" w:w="1224"/>
            <w:vAlign w:val="center"/>
            <w:tcMar>
              <w:top w:w="85" w:type="dxa"/>
              <w:bottom w:w="85" w:type="dxa"/>
              <w:left w:w="95" w:type="dxa"/>
              <w:right w:w="95" w:type="dxa"/>
            </w:tcMar>
            <w:shd w:fill="FFFFFF"/>
          </w:tcPr>
          <w:p>
            <w:pPr>
              <w:keepNext/>
              <w:spacing w:after="0" w:line="247" w:lineRule="auto"/>
              <w:jc w:val="center"/>
            </w:pPr>
            <w:r>
              <w:rPr>
                <w:b w:val="0"/>
                <w:sz w:val="20"/>
              </w:rPr>
              <w:t>Standard</w:t>
            </w:r>
          </w:p>
        </w:tc>
        <w:tc>
          <w:tcPr>
            <w:tcW w:type="dxa" w:w="1440"/>
            <w:vAlign w:val="center"/>
            <w:tcMar>
              <w:top w:w="85" w:type="dxa"/>
              <w:bottom w:w="85" w:type="dxa"/>
              <w:left w:w="95" w:type="dxa"/>
              <w:right w:w="95" w:type="dxa"/>
            </w:tcMar>
            <w:shd w:fill="FFFFFF"/>
          </w:tcPr>
          <w:p>
            <w:pPr>
              <w:keepNext/>
              <w:spacing w:after="0" w:line="247" w:lineRule="auto"/>
              <w:jc w:val="center"/>
            </w:pPr>
            <w:r>
              <w:rPr>
                <w:b w:val="0"/>
                <w:sz w:val="20"/>
              </w:rPr>
              <w:t>36 to 51</w:t>
            </w:r>
          </w:p>
        </w:tc>
        <w:tc>
          <w:tcPr>
            <w:tcW w:type="dxa" w:w="3960"/>
            <w:vAlign w:val="center"/>
            <w:tcMar>
              <w:top w:w="85" w:type="dxa"/>
              <w:bottom w:w="85" w:type="dxa"/>
              <w:left w:w="95" w:type="dxa"/>
              <w:right w:w="95" w:type="dxa"/>
            </w:tcMar>
            <w:shd w:fill="FFFFFF"/>
          </w:tcPr>
          <w:p>
            <w:pPr>
              <w:keepNext/>
              <w:spacing w:after="0" w:line="247" w:lineRule="auto"/>
            </w:pPr>
            <w:r>
              <w:rPr>
                <w:b w:val="0"/>
                <w:sz w:val="20"/>
              </w:rPr>
              <w:t>Ordinary substantive conversation</w:t>
            </w:r>
          </w:p>
        </w:tc>
        <w:tc>
          <w:tcPr>
            <w:tcW w:type="dxa" w:w="3456"/>
            <w:vAlign w:val="center"/>
            <w:tcMar>
              <w:top w:w="85" w:type="dxa"/>
              <w:bottom w:w="85" w:type="dxa"/>
              <w:left w:w="95" w:type="dxa"/>
              <w:right w:w="95" w:type="dxa"/>
            </w:tcMar>
            <w:shd w:fill="FFFFFF"/>
          </w:tcPr>
          <w:p>
            <w:pPr>
              <w:keepNext/>
              <w:spacing w:after="0" w:line="247" w:lineRule="auto"/>
            </w:pPr>
            <w:r>
              <w:rPr>
                <w:b w:val="0"/>
                <w:sz w:val="20"/>
              </w:rPr>
              <w:t>Configured Standard assignment</w:t>
            </w:r>
          </w:p>
        </w:tc>
      </w:tr>
      <w:tr>
        <w:trPr>
          <w:cantSplit/>
        </w:trPr>
        <w:tc>
          <w:tcPr>
            <w:tcW w:type="dxa" w:w="1224"/>
            <w:vAlign w:val="center"/>
            <w:tcMar>
              <w:top w:w="85" w:type="dxa"/>
              <w:bottom w:w="85" w:type="dxa"/>
              <w:left w:w="95" w:type="dxa"/>
              <w:right w:w="95" w:type="dxa"/>
            </w:tcMar>
            <w:shd w:fill="F2F5F8"/>
          </w:tcPr>
          <w:p>
            <w:pPr>
              <w:keepNext/>
              <w:spacing w:after="0" w:line="247" w:lineRule="auto"/>
              <w:jc w:val="center"/>
            </w:pPr>
            <w:r>
              <w:rPr>
                <w:b w:val="0"/>
                <w:sz w:val="20"/>
              </w:rPr>
              <w:t>Light</w:t>
            </w:r>
          </w:p>
        </w:tc>
        <w:tc>
          <w:tcPr>
            <w:tcW w:type="dxa" w:w="1440"/>
            <w:vAlign w:val="center"/>
            <w:tcMar>
              <w:top w:w="85" w:type="dxa"/>
              <w:bottom w:w="85" w:type="dxa"/>
              <w:left w:w="95" w:type="dxa"/>
              <w:right w:w="95" w:type="dxa"/>
            </w:tcMar>
            <w:shd w:fill="F2F5F8"/>
          </w:tcPr>
          <w:p>
            <w:pPr>
              <w:keepNext/>
              <w:spacing w:after="0" w:line="247" w:lineRule="auto"/>
              <w:jc w:val="center"/>
            </w:pPr>
            <w:r>
              <w:rPr>
                <w:b w:val="0"/>
                <w:sz w:val="20"/>
              </w:rPr>
              <w:t>12 to 35</w:t>
            </w:r>
          </w:p>
        </w:tc>
        <w:tc>
          <w:tcPr>
            <w:tcW w:type="dxa" w:w="3960"/>
            <w:vAlign w:val="center"/>
            <w:tcMar>
              <w:top w:w="85" w:type="dxa"/>
              <w:bottom w:w="85" w:type="dxa"/>
              <w:left w:w="95" w:type="dxa"/>
              <w:right w:w="95" w:type="dxa"/>
            </w:tcMar>
            <w:shd w:fill="F2F5F8"/>
          </w:tcPr>
          <w:p>
            <w:pPr>
              <w:keepNext/>
              <w:spacing w:after="0" w:line="247" w:lineRule="auto"/>
            </w:pPr>
            <w:r>
              <w:rPr>
                <w:b w:val="0"/>
                <w:sz w:val="20"/>
              </w:rPr>
              <w:t>Brief explanations or straightforward facts</w:t>
            </w:r>
          </w:p>
        </w:tc>
        <w:tc>
          <w:tcPr>
            <w:tcW w:type="dxa" w:w="3456"/>
            <w:vAlign w:val="center"/>
            <w:tcMar>
              <w:top w:w="85" w:type="dxa"/>
              <w:bottom w:w="85" w:type="dxa"/>
              <w:left w:w="95" w:type="dxa"/>
              <w:right w:w="95" w:type="dxa"/>
            </w:tcMar>
            <w:shd w:fill="F2F5F8"/>
          </w:tcPr>
          <w:p>
            <w:pPr>
              <w:keepNext/>
              <w:spacing w:after="0" w:line="247" w:lineRule="auto"/>
            </w:pPr>
            <w:r>
              <w:rPr>
                <w:b w:val="0"/>
                <w:sz w:val="20"/>
              </w:rPr>
              <w:t>Configured Light assignment</w:t>
            </w:r>
          </w:p>
        </w:tc>
      </w:tr>
      <w:tr>
        <w:trPr>
          <w:cantSplit/>
        </w:trPr>
        <w:tc>
          <w:tcPr>
            <w:tcW w:type="dxa" w:w="1224"/>
            <w:vAlign w:val="center"/>
            <w:tcMar>
              <w:top w:w="85" w:type="dxa"/>
              <w:bottom w:w="85" w:type="dxa"/>
              <w:left w:w="95" w:type="dxa"/>
              <w:right w:w="95" w:type="dxa"/>
            </w:tcMar>
            <w:shd w:fill="FFFFFF"/>
          </w:tcPr>
          <w:p>
            <w:pPr>
              <w:spacing w:after="0" w:line="247" w:lineRule="auto"/>
              <w:jc w:val="center"/>
            </w:pPr>
            <w:r>
              <w:rPr>
                <w:b w:val="0"/>
                <w:sz w:val="20"/>
              </w:rPr>
              <w:t>Micro</w:t>
            </w:r>
          </w:p>
        </w:tc>
        <w:tc>
          <w:tcPr>
            <w:tcW w:type="dxa" w:w="1440"/>
            <w:vAlign w:val="center"/>
            <w:tcMar>
              <w:top w:w="85" w:type="dxa"/>
              <w:bottom w:w="85" w:type="dxa"/>
              <w:left w:w="95" w:type="dxa"/>
              <w:right w:w="95" w:type="dxa"/>
            </w:tcMar>
            <w:shd w:fill="FFFFFF"/>
          </w:tcPr>
          <w:p>
            <w:pPr>
              <w:spacing w:after="0" w:line="247" w:lineRule="auto"/>
              <w:jc w:val="center"/>
            </w:pPr>
            <w:r>
              <w:rPr>
                <w:b w:val="0"/>
                <w:sz w:val="20"/>
              </w:rPr>
              <w:t>0 to 11</w:t>
            </w:r>
          </w:p>
        </w:tc>
        <w:tc>
          <w:tcPr>
            <w:tcW w:type="dxa" w:w="3960"/>
            <w:vAlign w:val="center"/>
            <w:tcMar>
              <w:top w:w="85" w:type="dxa"/>
              <w:bottom w:w="85" w:type="dxa"/>
              <w:left w:w="95" w:type="dxa"/>
              <w:right w:w="95" w:type="dxa"/>
            </w:tcMar>
            <w:shd w:fill="FFFFFF"/>
          </w:tcPr>
          <w:p>
            <w:pPr>
              <w:spacing w:after="0" w:line="247" w:lineRule="auto"/>
            </w:pPr>
            <w:r>
              <w:rPr>
                <w:b w:val="0"/>
                <w:sz w:val="20"/>
              </w:rPr>
              <w:t>Trivial exchanges, subject to the rules below</w:t>
            </w:r>
          </w:p>
        </w:tc>
        <w:tc>
          <w:tcPr>
            <w:tcW w:type="dxa" w:w="3456"/>
            <w:vAlign w:val="center"/>
            <w:tcMar>
              <w:top w:w="85" w:type="dxa"/>
              <w:bottom w:w="85" w:type="dxa"/>
              <w:left w:w="95" w:type="dxa"/>
              <w:right w:w="95" w:type="dxa"/>
            </w:tcMar>
            <w:shd w:fill="FFFFFF"/>
          </w:tcPr>
          <w:p>
            <w:pPr>
              <w:spacing w:after="0" w:line="247" w:lineRule="auto"/>
            </w:pPr>
            <w:r>
              <w:rPr>
                <w:b w:val="0"/>
                <w:sz w:val="20"/>
              </w:rPr>
              <w:t>Configured Micro assignment</w:t>
            </w:r>
          </w:p>
        </w:tc>
      </w:tr>
    </w:tbl>
    <w:p>
      <w:pPr>
        <w:spacing w:after="40" w:before="0" w:line="240" w:lineRule="auto"/>
      </w:pPr>
      <w:r>
        <w:rPr>
          <w:sz w:val="4"/>
        </w:rPr>
      </w:r>
    </w:p>
    <w:p>
      <w:pPr>
        <w:widowControl/>
      </w:pPr>
      <w:r>
        <w:t>These ranges are the score mapping, not the complete final decision. Trivial-message rules, thread inheritance, a quality floor, and turn-policy overrides can change the result. The detailed values below preserve the documented algorithm for code verification.</w:t>
      </w:r>
    </w:p>
    <w:p>
      <w:pPr>
        <w:pStyle w:val="Heading2"/>
      </w:pPr>
      <w:r>
        <w:t>Scoring inputs</w:t>
      </w:r>
    </w:p>
    <w:p>
      <w:pPr>
        <w:keepLines/>
        <w:widowControl/>
      </w:pPr>
      <w:r>
        <w:t>Character count is a rough signal about request size, not a measure of reasoning difficulty. The algorithm also looks for task language, code, and recent conversational context. A short proof can require more reasoning than a long passage of simple 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cantSplit/>
          <w:tblHeader/>
        </w:trPr>
        <w:tc>
          <w:tcPr>
            <w:tcW w:type="dxa" w:w="3312"/>
            <w:vAlign w:val="center"/>
            <w:tcMar>
              <w:top w:w="85" w:type="dxa"/>
              <w:bottom w:w="85" w:type="dxa"/>
              <w:left w:w="95" w:type="dxa"/>
              <w:right w:w="95" w:type="dxa"/>
            </w:tcMar>
            <w:shd w:fill="24384B"/>
          </w:tcPr>
          <w:p>
            <w:pPr>
              <w:keepNext/>
              <w:spacing w:after="0" w:line="247" w:lineRule="auto"/>
            </w:pPr>
            <w:r>
              <w:rPr>
                <w:b/>
                <w:color w:val="FFFFFF"/>
                <w:sz w:val="20"/>
              </w:rPr>
              <w:t>Signal</w:t>
            </w:r>
          </w:p>
        </w:tc>
        <w:tc>
          <w:tcPr>
            <w:tcW w:type="dxa" w:w="6768"/>
            <w:vAlign w:val="center"/>
            <w:tcMar>
              <w:top w:w="85" w:type="dxa"/>
              <w:bottom w:w="85" w:type="dxa"/>
              <w:left w:w="95" w:type="dxa"/>
              <w:right w:w="95" w:type="dxa"/>
            </w:tcMar>
            <w:shd w:fill="24384B"/>
          </w:tcPr>
          <w:p>
            <w:pPr>
              <w:keepNext/>
              <w:spacing w:after="0" w:line="247" w:lineRule="auto"/>
            </w:pPr>
            <w:r>
              <w:rPr>
                <w:b/>
                <w:color w:val="FFFFFF"/>
                <w:sz w:val="20"/>
              </w:rPr>
              <w:t>Documented adjustment</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Up to 20 characters</w:t>
            </w:r>
          </w:p>
        </w:tc>
        <w:tc>
          <w:tcPr>
            <w:tcW w:type="dxa" w:w="6768"/>
            <w:vAlign w:val="center"/>
            <w:tcMar>
              <w:top w:w="85" w:type="dxa"/>
              <w:bottom w:w="85" w:type="dxa"/>
              <w:left w:w="95" w:type="dxa"/>
              <w:right w:w="95" w:type="dxa"/>
            </w:tcMar>
            <w:shd w:fill="FFFFFF"/>
          </w:tcPr>
          <w:p>
            <w:pPr>
              <w:spacing w:after="0" w:line="247" w:lineRule="auto"/>
            </w:pPr>
            <w:r>
              <w:rPr>
                <w:b w:val="0"/>
                <w:sz w:val="20"/>
              </w:rPr>
              <w:t>Subtract 18</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21 to 50 characters</w:t>
            </w:r>
          </w:p>
        </w:tc>
        <w:tc>
          <w:tcPr>
            <w:tcW w:type="dxa" w:w="6768"/>
            <w:vAlign w:val="center"/>
            <w:tcMar>
              <w:top w:w="85" w:type="dxa"/>
              <w:bottom w:w="85" w:type="dxa"/>
              <w:left w:w="95" w:type="dxa"/>
              <w:right w:w="95" w:type="dxa"/>
            </w:tcMar>
            <w:shd w:fill="F2F5F8"/>
          </w:tcPr>
          <w:p>
            <w:pPr>
              <w:spacing w:after="0" w:line="247" w:lineRule="auto"/>
            </w:pPr>
            <w:r>
              <w:rPr>
                <w:b w:val="0"/>
                <w:sz w:val="20"/>
              </w:rPr>
              <w:t>Subtract 8</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51 to 120 characters</w:t>
            </w:r>
          </w:p>
        </w:tc>
        <w:tc>
          <w:tcPr>
            <w:tcW w:type="dxa" w:w="6768"/>
            <w:vAlign w:val="center"/>
            <w:tcMar>
              <w:top w:w="85" w:type="dxa"/>
              <w:bottom w:w="85" w:type="dxa"/>
              <w:left w:w="95" w:type="dxa"/>
              <w:right w:w="95" w:type="dxa"/>
            </w:tcMar>
            <w:shd w:fill="FFFFFF"/>
          </w:tcPr>
          <w:p>
            <w:pPr>
              <w:spacing w:after="0" w:line="247" w:lineRule="auto"/>
            </w:pPr>
            <w:r>
              <w:rPr>
                <w:b w:val="0"/>
                <w:sz w:val="20"/>
              </w:rPr>
              <w:t>Subtract 2</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More than 280 characters</w:t>
            </w:r>
          </w:p>
        </w:tc>
        <w:tc>
          <w:tcPr>
            <w:tcW w:type="dxa" w:w="6768"/>
            <w:vAlign w:val="center"/>
            <w:tcMar>
              <w:top w:w="85" w:type="dxa"/>
              <w:bottom w:w="85" w:type="dxa"/>
              <w:left w:w="95" w:type="dxa"/>
              <w:right w:w="95" w:type="dxa"/>
            </w:tcMar>
            <w:shd w:fill="F2F5F8"/>
          </w:tcPr>
          <w:p>
            <w:pPr>
              <w:spacing w:after="0" w:line="247" w:lineRule="auto"/>
            </w:pPr>
            <w:r>
              <w:rPr>
                <w:b w:val="0"/>
                <w:sz w:val="20"/>
              </w:rPr>
              <w:t>Add 8</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Deep-analysis phrasing such as full design or formal proof</w:t>
            </w:r>
          </w:p>
        </w:tc>
        <w:tc>
          <w:tcPr>
            <w:tcW w:type="dxa" w:w="6768"/>
            <w:vAlign w:val="center"/>
            <w:tcMar>
              <w:top w:w="85" w:type="dxa"/>
              <w:bottom w:w="85" w:type="dxa"/>
              <w:left w:w="95" w:type="dxa"/>
              <w:right w:w="95" w:type="dxa"/>
            </w:tcMar>
            <w:shd w:fill="FFFFFF"/>
          </w:tcPr>
          <w:p>
            <w:pPr>
              <w:spacing w:after="0" w:line="247" w:lineRule="auto"/>
            </w:pPr>
            <w:r>
              <w:rPr>
                <w:b w:val="0"/>
                <w:sz w:val="20"/>
              </w:rPr>
              <w:t>Add 45</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Technical task longer than 40 characters</w:t>
            </w:r>
          </w:p>
        </w:tc>
        <w:tc>
          <w:tcPr>
            <w:tcW w:type="dxa" w:w="6768"/>
            <w:vAlign w:val="center"/>
            <w:tcMar>
              <w:top w:w="85" w:type="dxa"/>
              <w:bottom w:w="85" w:type="dxa"/>
              <w:left w:w="95" w:type="dxa"/>
              <w:right w:w="95" w:type="dxa"/>
            </w:tcMar>
            <w:shd w:fill="F2F5F8"/>
          </w:tcPr>
          <w:p>
            <w:pPr>
              <w:spacing w:after="0" w:line="247" w:lineRule="auto"/>
            </w:pPr>
            <w:r>
              <w:rPr>
                <w:b w:val="0"/>
                <w:sz w:val="20"/>
              </w:rPr>
              <w:t>Add 28</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Code present in a message longer than 30 characters</w:t>
            </w:r>
          </w:p>
        </w:tc>
        <w:tc>
          <w:tcPr>
            <w:tcW w:type="dxa" w:w="6768"/>
            <w:vAlign w:val="center"/>
            <w:tcMar>
              <w:top w:w="85" w:type="dxa"/>
              <w:bottom w:w="85" w:type="dxa"/>
              <w:left w:w="95" w:type="dxa"/>
              <w:right w:w="95" w:type="dxa"/>
            </w:tcMar>
            <w:shd w:fill="FFFFFF"/>
          </w:tcPr>
          <w:p>
            <w:pPr>
              <w:spacing w:after="0" w:line="247" w:lineRule="auto"/>
            </w:pPr>
            <w:r>
              <w:rPr>
                <w:b w:val="0"/>
                <w:sz w:val="20"/>
              </w:rPr>
              <w:t>Add 32</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Short follow-up after recent technical messages</w:t>
            </w:r>
          </w:p>
        </w:tc>
        <w:tc>
          <w:tcPr>
            <w:tcW w:type="dxa" w:w="6768"/>
            <w:vAlign w:val="center"/>
            <w:tcMar>
              <w:top w:w="85" w:type="dxa"/>
              <w:bottom w:w="85" w:type="dxa"/>
              <w:left w:w="95" w:type="dxa"/>
              <w:right w:w="95" w:type="dxa"/>
            </w:tcMar>
            <w:shd w:fill="F2F5F8"/>
          </w:tcPr>
          <w:p>
            <w:pPr>
              <w:spacing w:after="0" w:line="247" w:lineRule="auto"/>
            </w:pPr>
            <w:r>
              <w:rPr>
                <w:b w:val="0"/>
                <w:sz w:val="20"/>
              </w:rPr>
              <w:t>Add 22</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Planning language</w:t>
            </w:r>
          </w:p>
        </w:tc>
        <w:tc>
          <w:tcPr>
            <w:tcW w:type="dxa" w:w="6768"/>
            <w:vAlign w:val="center"/>
            <w:tcMar>
              <w:top w:w="85" w:type="dxa"/>
              <w:bottom w:w="85" w:type="dxa"/>
              <w:left w:w="95" w:type="dxa"/>
              <w:right w:w="95" w:type="dxa"/>
            </w:tcMar>
            <w:shd w:fill="FFFFFF"/>
          </w:tcPr>
          <w:p>
            <w:pPr>
              <w:spacing w:after="0" w:line="247" w:lineRule="auto"/>
            </w:pPr>
            <w:r>
              <w:rPr>
                <w:b w:val="0"/>
                <w:sz w:val="20"/>
              </w:rPr>
              <w:t>Add 20, with smaller comparison or advice adjustments</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Short follow-up after recent planning messages</w:t>
            </w:r>
          </w:p>
        </w:tc>
        <w:tc>
          <w:tcPr>
            <w:tcW w:type="dxa" w:w="6768"/>
            <w:vAlign w:val="center"/>
            <w:tcMar>
              <w:top w:w="85" w:type="dxa"/>
              <w:bottom w:w="85" w:type="dxa"/>
              <w:left w:w="95" w:type="dxa"/>
              <w:right w:w="95" w:type="dxa"/>
            </w:tcMar>
            <w:shd w:fill="F2F5F8"/>
          </w:tcPr>
          <w:p>
            <w:pPr>
              <w:spacing w:after="0" w:line="247" w:lineRule="auto"/>
            </w:pPr>
            <w:r>
              <w:rPr>
                <w:b w:val="0"/>
                <w:sz w:val="20"/>
              </w:rPr>
              <w:t>Add 12</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How-to or explanation request of 45 to 319 characters</w:t>
            </w:r>
          </w:p>
        </w:tc>
        <w:tc>
          <w:tcPr>
            <w:tcW w:type="dxa" w:w="6768"/>
            <w:vAlign w:val="center"/>
            <w:tcMar>
              <w:top w:w="85" w:type="dxa"/>
              <w:bottom w:w="85" w:type="dxa"/>
              <w:left w:w="95" w:type="dxa"/>
              <w:right w:w="95" w:type="dxa"/>
            </w:tcMar>
            <w:shd w:fill="FFFFFF"/>
          </w:tcPr>
          <w:p>
            <w:pPr>
              <w:spacing w:after="0" w:line="247" w:lineRule="auto"/>
            </w:pPr>
            <w:r>
              <w:rPr>
                <w:b w:val="0"/>
                <w:sz w:val="20"/>
              </w:rPr>
              <w:t>Cap score at 28</w:t>
            </w:r>
          </w:p>
        </w:tc>
      </w:tr>
      <w:tr>
        <w:trPr>
          <w:cantSplit/>
        </w:trPr>
        <w:tc>
          <w:tcPr>
            <w:tcW w:type="dxa" w:w="3312"/>
            <w:vAlign w:val="center"/>
            <w:tcMar>
              <w:top w:w="85" w:type="dxa"/>
              <w:bottom w:w="85" w:type="dxa"/>
              <w:left w:w="95" w:type="dxa"/>
              <w:right w:w="95" w:type="dxa"/>
            </w:tcMar>
            <w:shd w:fill="F2F5F8"/>
          </w:tcPr>
          <w:p>
            <w:pPr>
              <w:keepNext/>
              <w:spacing w:after="0" w:line="247" w:lineRule="auto"/>
            </w:pPr>
            <w:r>
              <w:rPr>
                <w:b w:val="0"/>
                <w:sz w:val="20"/>
              </w:rPr>
              <w:t>Quick factual question under 120 characters</w:t>
            </w:r>
          </w:p>
        </w:tc>
        <w:tc>
          <w:tcPr>
            <w:tcW w:type="dxa" w:w="6768"/>
            <w:vAlign w:val="center"/>
            <w:tcMar>
              <w:top w:w="85" w:type="dxa"/>
              <w:bottom w:w="85" w:type="dxa"/>
              <w:left w:w="95" w:type="dxa"/>
              <w:right w:w="95" w:type="dxa"/>
            </w:tcMar>
            <w:shd w:fill="F2F5F8"/>
          </w:tcPr>
          <w:p>
            <w:pPr>
              <w:keepNext/>
              <w:spacing w:after="0" w:line="247" w:lineRule="auto"/>
            </w:pPr>
            <w:r>
              <w:rPr>
                <w:b w:val="0"/>
                <w:sz w:val="20"/>
              </w:rPr>
              <w:t>Subtract 22, then cap at 18</w:t>
            </w:r>
          </w:p>
        </w:tc>
      </w:tr>
      <w:tr>
        <w:trPr>
          <w:cantSplit/>
        </w:trPr>
        <w:tc>
          <w:tcPr>
            <w:tcW w:type="dxa" w:w="3312"/>
            <w:vAlign w:val="center"/>
            <w:tcMar>
              <w:top w:w="85" w:type="dxa"/>
              <w:bottom w:w="85" w:type="dxa"/>
              <w:left w:w="95" w:type="dxa"/>
              <w:right w:w="95" w:type="dxa"/>
            </w:tcMar>
            <w:shd w:fill="FFFFFF"/>
          </w:tcPr>
          <w:p>
            <w:pPr>
              <w:keepNext/>
              <w:spacing w:after="0" w:line="247" w:lineRule="auto"/>
            </w:pPr>
            <w:r>
              <w:rPr>
                <w:b w:val="0"/>
                <w:sz w:val="20"/>
              </w:rPr>
              <w:t>Casual or emotional language</w:t>
            </w:r>
          </w:p>
        </w:tc>
        <w:tc>
          <w:tcPr>
            <w:tcW w:type="dxa" w:w="6768"/>
            <w:vAlign w:val="center"/>
            <w:tcMar>
              <w:top w:w="85" w:type="dxa"/>
              <w:bottom w:w="85" w:type="dxa"/>
              <w:left w:w="95" w:type="dxa"/>
              <w:right w:w="95" w:type="dxa"/>
            </w:tcMar>
            <w:shd w:fill="FFFFFF"/>
          </w:tcPr>
          <w:p>
            <w:pPr>
              <w:keepNext/>
              <w:spacing w:after="0" w:line="247" w:lineRule="auto"/>
            </w:pPr>
            <w:r>
              <w:rPr>
                <w:b w:val="0"/>
                <w:sz w:val="20"/>
              </w:rPr>
              <w:t>Add 4 to 8</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Creative writing request longer than 50 characters</w:t>
            </w:r>
          </w:p>
        </w:tc>
        <w:tc>
          <w:tcPr>
            <w:tcW w:type="dxa" w:w="6768"/>
            <w:vAlign w:val="center"/>
            <w:tcMar>
              <w:top w:w="85" w:type="dxa"/>
              <w:bottom w:w="85" w:type="dxa"/>
              <w:left w:w="95" w:type="dxa"/>
              <w:right w:w="95" w:type="dxa"/>
            </w:tcMar>
            <w:shd w:fill="F2F5F8"/>
          </w:tcPr>
          <w:p>
            <w:pPr>
              <w:spacing w:after="0" w:line="247" w:lineRule="auto"/>
            </w:pPr>
            <w:r>
              <w:rPr>
                <w:b w:val="0"/>
                <w:sz w:val="20"/>
              </w:rPr>
              <w:t>Add 10</w:t>
            </w:r>
          </w:p>
        </w:tc>
      </w:tr>
    </w:tbl>
    <w:p>
      <w:pPr>
        <w:spacing w:after="40" w:before="0" w:line="240" w:lineRule="auto"/>
      </w:pPr>
      <w:r>
        <w:rPr>
          <w:sz w:val="4"/>
        </w:rPr>
      </w:r>
    </w:p>
    <w:p>
      <w:pPr>
        <w:widowControl/>
      </w:pPr>
      <w:r>
        <w:t>The order of these rules matters, especially where caps interact with additions. The guide also reports a larger adjustment for messages over 450 characters that never runs because the over-280 rule matches first. This belongs in the code review as a possible implementation defect, not as an intended complexity principle.</w:t>
      </w:r>
    </w:p>
    <w:p>
      <w:pPr>
        <w:pStyle w:val="Heading2"/>
      </w:pPr>
      <w:r>
        <w:t>Routing passes and thread stickiness</w:t>
      </w:r>
    </w:p>
    <w:p>
      <w:pPr>
        <w:keepLines/>
        <w:widowControl/>
      </w:pPr>
      <w:r>
        <w:t>First, a trivial acknowledgement or short greeting can go directly to Micro. The documented limit for a short greeting is 48 characters. An image is not treated as a trivial message.</w:t>
      </w:r>
    </w:p>
    <w:p>
      <w:pPr>
        <w:widowControl/>
      </w:pPr>
      <w:r>
        <w:t>Second, substantive messages receive the score above. Routing uses the current message, up to four recent messages, the previous assistant tier, and image presence.</w:t>
      </w:r>
    </w:p>
    <w:p>
      <w:pPr>
        <w:widowControl/>
      </w:pPr>
      <w:r>
        <w:t>Third, a follow-up under 160 characters can inherit a deeper tier. For example, “And the timeout?” after a debugging discussion refers to the same technical problem. Here, “timeout” is part of the example question; it does not describe an expiry period for stickiness.</w:t>
      </w:r>
    </w:p>
    <w:p>
      <w:pPr>
        <w:widowControl/>
      </w:pPr>
      <w:r>
        <w:t>The documented inheritance keeps at least the previous Plus or Max tier, promotes technical context to Max, and planning context to at least Plus. It excludes messages already identified as casual, emotional, greetings, quick facts, or how-to requests. Confirm whether any separate time-based expiry actually exists.</w:t>
      </w:r>
    </w:p>
    <w:p>
      <w:pPr>
        <w:widowControl/>
      </w:pPr>
      <w:r>
        <w:t>Fourth, a quality floor prevents a non-trivial request from remaining on Micro solely because of its score. Quick facts and how-to requests rise to Light; other non-trivial Micro results rise to Standard. Turn policy can subsequently force Micro for its own categories.</w:t>
      </w:r>
    </w:p>
    <w:p>
      <w:pPr>
        <w:pStyle w:val="Heading2"/>
      </w:pPr>
      <w:r>
        <w:t>Optional model classification</w:t>
      </w:r>
    </w:p>
    <w:p>
      <w:pPr>
        <w:keepLines/>
        <w:widowControl/>
      </w:pPr>
      <w:r>
        <w:t>The guide describes an optional tie-break for scores from 34 through 46 when no clear-intent signal fires. It names a small Groq model, temperature 0, and a maximum of ten output tokens, with up to four truncated recent lines. If the call fails or Groq is unavailable, the deterministic result stands.</w:t>
      </w:r>
    </w:p>
    <w:p>
      <w:pPr>
        <w:widowControl/>
      </w:pPr>
      <w:r>
        <w:t>That provider-specific implementation must not become a required cloud dependency. The intended product makes providers optional. Verify whether the classifier can use a configured model, retain the deterministic fallback when unconfigured, and include its usage in cost records. The documented classifier also normalizes old tier names, reapplies stickiness, and raises non-trivial Micro results to Standard.</w:t>
      </w:r>
    </w:p>
    <w:p>
      <w:pPr>
        <w:pStyle w:val="Heading2"/>
      </w:pPr>
      <w:r>
        <w:t>Fixed models and capability requirements</w:t>
      </w:r>
    </w:p>
    <w:p>
      <w:pPr>
        <w:keepLines/>
        <w:widowControl/>
      </w:pPr>
      <w:r>
        <w:t>A fixed-model choice is intended to use one selected model while still calculating a tier for reporting. The existing guide describes a request map that points every tier at that model. This does not establish that saved tier assignments are overwritten; verify what returns when the user switches back to tier mode.</w:t>
      </w:r>
    </w:p>
    <w:p>
      <w:pPr>
        <w:widowControl/>
      </w:pPr>
      <w:r>
        <w:t>The server validates model choices against its allowed catalogue. A client preference does not bypass that check. Image requests additionally require a vision-capable path. The existing guide describes a hard-coded Groq override; the intended behaviour is to use an available, configured vision model and explain the outcome if none exists.</w:t>
      </w:r>
    </w:p>
    <w:p>
      <w:pPr>
        <w:pStyle w:val="Heading1"/>
      </w:pPr>
      <w:r>
        <w:t>7 Providers and credentials</w:t>
      </w:r>
    </w:p>
    <w:p>
      <w:pPr>
        <w:keepLines/>
        <w:widowControl/>
      </w:pPr>
      <w:r>
        <w:t>Provider connections are supplied by the installation's administrator. No cloud deployment should require a product-owned key or assume that another user's Groq configuration is present. Groq is the provider named in the existing implementation description; Grok is a different model name associated with xAI.</w:t>
      </w:r>
    </w:p>
    <w:p>
      <w:pPr>
        <w:widowControl/>
      </w:pPr>
      <w:r>
        <w:t>Ollama is the documented local fallback. Docker's first boot is described as pulling llama3.2:3b for chat and nomic-embed-text for embeddings. A chat request does not itself download missing model weights. These are local defaults, not cloud defaults.</w:t>
      </w:r>
    </w:p>
    <w:p>
      <w:pPr>
        <w:widowControl/>
      </w:pPr>
      <w:r>
        <w:t>The cloud fallback needs verification. The existing guide describes HTTP 503 with a Settings instruction when no eligible provider can run. It also describes built-in Groq assignments that remain after an invalid assignment is rejected. Reconcile those paths with administrator-controlled model selection.</w:t>
      </w:r>
    </w:p>
    <w:p>
      <w:pPr>
        <w:pStyle w:val="Heading2"/>
      </w:pPr>
      <w:r>
        <w:t>Separate model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cantSplit/>
          <w:tblHeader/>
        </w:trPr>
        <w:tc>
          <w:tcPr>
            <w:tcW w:type="dxa" w:w="3312"/>
            <w:vAlign w:val="center"/>
            <w:tcMar>
              <w:top w:w="85" w:type="dxa"/>
              <w:bottom w:w="85" w:type="dxa"/>
              <w:left w:w="95" w:type="dxa"/>
              <w:right w:w="95" w:type="dxa"/>
            </w:tcMar>
            <w:shd w:fill="24384B"/>
          </w:tcPr>
          <w:p>
            <w:pPr>
              <w:keepNext/>
              <w:spacing w:after="0" w:line="247" w:lineRule="auto"/>
            </w:pPr>
            <w:r>
              <w:rPr>
                <w:b/>
                <w:color w:val="FFFFFF"/>
                <w:sz w:val="20"/>
              </w:rPr>
              <w:t>Responsibility</w:t>
            </w:r>
          </w:p>
        </w:tc>
        <w:tc>
          <w:tcPr>
            <w:tcW w:type="dxa" w:w="6768"/>
            <w:vAlign w:val="center"/>
            <w:tcMar>
              <w:top w:w="85" w:type="dxa"/>
              <w:bottom w:w="85" w:type="dxa"/>
              <w:left w:w="95" w:type="dxa"/>
              <w:right w:w="95" w:type="dxa"/>
            </w:tcMar>
            <w:shd w:fill="24384B"/>
          </w:tcPr>
          <w:p>
            <w:pPr>
              <w:keepNext/>
              <w:spacing w:after="0" w:line="247" w:lineRule="auto"/>
            </w:pPr>
            <w:r>
              <w:rPr>
                <w:b/>
                <w:color w:val="FFFFFF"/>
                <w:sz w:val="20"/>
              </w:rPr>
              <w:t>Configuration requirement</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Chat generation</w:t>
            </w:r>
          </w:p>
        </w:tc>
        <w:tc>
          <w:tcPr>
            <w:tcW w:type="dxa" w:w="6768"/>
            <w:vAlign w:val="center"/>
            <w:tcMar>
              <w:top w:w="85" w:type="dxa"/>
              <w:bottom w:w="85" w:type="dxa"/>
              <w:left w:w="95" w:type="dxa"/>
              <w:right w:w="95" w:type="dxa"/>
            </w:tcMar>
            <w:shd w:fill="FFFFFF"/>
          </w:tcPr>
          <w:p>
            <w:pPr>
              <w:spacing w:after="0" w:line="247" w:lineRule="auto"/>
            </w:pPr>
            <w:r>
              <w:rPr>
                <w:b w:val="0"/>
                <w:sz w:val="20"/>
              </w:rPr>
              <w:t>Assigned tier model or fixed model</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Optional complexity tie-break</w:t>
            </w:r>
          </w:p>
        </w:tc>
        <w:tc>
          <w:tcPr>
            <w:tcW w:type="dxa" w:w="6768"/>
            <w:vAlign w:val="center"/>
            <w:tcMar>
              <w:top w:w="85" w:type="dxa"/>
              <w:bottom w:w="85" w:type="dxa"/>
              <w:left w:w="95" w:type="dxa"/>
              <w:right w:w="95" w:type="dxa"/>
            </w:tcMar>
            <w:shd w:fill="F2F5F8"/>
          </w:tcPr>
          <w:p>
            <w:pPr>
              <w:spacing w:after="0" w:line="247" w:lineRule="auto"/>
            </w:pPr>
            <w:r>
              <w:rPr>
                <w:b w:val="0"/>
                <w:sz w:val="20"/>
              </w:rPr>
              <w:t>Configured classifier or deterministic fallback</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Conversation summaries and fact extraction</w:t>
            </w:r>
          </w:p>
        </w:tc>
        <w:tc>
          <w:tcPr>
            <w:tcW w:type="dxa" w:w="6768"/>
            <w:vAlign w:val="center"/>
            <w:tcMar>
              <w:top w:w="85" w:type="dxa"/>
              <w:bottom w:w="85" w:type="dxa"/>
              <w:left w:w="95" w:type="dxa"/>
              <w:right w:w="95" w:type="dxa"/>
            </w:tcMar>
            <w:shd w:fill="FFFFFF"/>
          </w:tcPr>
          <w:p>
            <w:pPr>
              <w:spacing w:after="0" w:line="247" w:lineRule="auto"/>
            </w:pPr>
            <w:r>
              <w:rPr>
                <w:b w:val="0"/>
                <w:sz w:val="20"/>
              </w:rPr>
              <w:t>Explicit background-model selection</w:t>
            </w:r>
          </w:p>
        </w:tc>
      </w:tr>
      <w:tr>
        <w:trPr>
          <w:cantSplit/>
        </w:trPr>
        <w:tc>
          <w:tcPr>
            <w:tcW w:type="dxa" w:w="3312"/>
            <w:vAlign w:val="center"/>
            <w:tcMar>
              <w:top w:w="85" w:type="dxa"/>
              <w:bottom w:w="85" w:type="dxa"/>
              <w:left w:w="95" w:type="dxa"/>
              <w:right w:w="95" w:type="dxa"/>
            </w:tcMar>
            <w:shd w:fill="F2F5F8"/>
          </w:tcPr>
          <w:p>
            <w:pPr>
              <w:keepNext/>
              <w:spacing w:after="0" w:line="247" w:lineRule="auto"/>
            </w:pPr>
            <w:r>
              <w:rPr>
                <w:b w:val="0"/>
                <w:sz w:val="20"/>
              </w:rPr>
              <w:t>Document embeddings</w:t>
            </w:r>
          </w:p>
        </w:tc>
        <w:tc>
          <w:tcPr>
            <w:tcW w:type="dxa" w:w="6768"/>
            <w:vAlign w:val="center"/>
            <w:tcMar>
              <w:top w:w="85" w:type="dxa"/>
              <w:bottom w:w="85" w:type="dxa"/>
              <w:left w:w="95" w:type="dxa"/>
              <w:right w:w="95" w:type="dxa"/>
            </w:tcMar>
            <w:shd w:fill="F2F5F8"/>
          </w:tcPr>
          <w:p>
            <w:pPr>
              <w:keepNext/>
              <w:spacing w:after="0" w:line="247" w:lineRule="auto"/>
            </w:pPr>
            <w:r>
              <w:rPr>
                <w:b w:val="0"/>
                <w:sz w:val="20"/>
              </w:rPr>
              <w:t>Compatible embedding model and index dimensions</w:t>
            </w:r>
          </w:p>
        </w:tc>
      </w:tr>
      <w:tr>
        <w:trPr>
          <w:cantSplit/>
        </w:trPr>
        <w:tc>
          <w:tcPr>
            <w:tcW w:type="dxa" w:w="3312"/>
            <w:vAlign w:val="center"/>
            <w:tcMar>
              <w:top w:w="85" w:type="dxa"/>
              <w:bottom w:w="85" w:type="dxa"/>
              <w:left w:w="95" w:type="dxa"/>
              <w:right w:w="95" w:type="dxa"/>
            </w:tcMar>
            <w:shd w:fill="FFFFFF"/>
          </w:tcPr>
          <w:p>
            <w:pPr>
              <w:keepNext/>
              <w:spacing w:after="0" w:line="247" w:lineRule="auto"/>
            </w:pPr>
            <w:r>
              <w:rPr>
                <w:b w:val="0"/>
                <w:sz w:val="20"/>
              </w:rPr>
              <w:t>Image interpretation</w:t>
            </w:r>
          </w:p>
        </w:tc>
        <w:tc>
          <w:tcPr>
            <w:tcW w:type="dxa" w:w="6768"/>
            <w:vAlign w:val="center"/>
            <w:tcMar>
              <w:top w:w="85" w:type="dxa"/>
              <w:bottom w:w="85" w:type="dxa"/>
              <w:left w:w="95" w:type="dxa"/>
              <w:right w:w="95" w:type="dxa"/>
            </w:tcMar>
            <w:shd w:fill="FFFFFF"/>
          </w:tcPr>
          <w:p>
            <w:pPr>
              <w:keepNext/>
              <w:spacing w:after="0" w:line="247" w:lineRule="auto"/>
            </w:pPr>
            <w:r>
              <w:rPr>
                <w:b w:val="0"/>
                <w:sz w:val="20"/>
              </w:rPr>
              <w:t>Configured vision-capable model</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Speech transcription</w:t>
            </w:r>
          </w:p>
        </w:tc>
        <w:tc>
          <w:tcPr>
            <w:tcW w:type="dxa" w:w="6768"/>
            <w:vAlign w:val="center"/>
            <w:tcMar>
              <w:top w:w="85" w:type="dxa"/>
              <w:bottom w:w="85" w:type="dxa"/>
              <w:left w:w="95" w:type="dxa"/>
              <w:right w:w="95" w:type="dxa"/>
            </w:tcMar>
            <w:shd w:fill="F2F5F8"/>
          </w:tcPr>
          <w:p>
            <w:pPr>
              <w:spacing w:after="0" w:line="247" w:lineRule="auto"/>
            </w:pPr>
            <w:r>
              <w:rPr>
                <w:b w:val="0"/>
                <w:sz w:val="20"/>
              </w:rPr>
              <w:t>Enabled transcription backend</w:t>
            </w:r>
          </w:p>
        </w:tc>
      </w:tr>
    </w:tbl>
    <w:p>
      <w:pPr>
        <w:spacing w:after="40" w:before="0" w:line="240" w:lineRule="auto"/>
      </w:pPr>
      <w:r>
        <w:rPr>
          <w:sz w:val="4"/>
        </w:rPr>
      </w:r>
    </w:p>
    <w:p>
      <w:pPr>
        <w:keepLines/>
        <w:widowControl/>
      </w:pPr>
      <w:r>
        <w:t>“Cheapest configured model” is not a sufficient description of background selection unless the application can compare valid prices and capabilities. Confirm the selection rule, failure behaviour, and whether those calls count toward usage and caps.</w:t>
      </w:r>
    </w:p>
    <w:p>
      <w:pPr>
        <w:pStyle w:val="Heading2"/>
      </w:pPr>
      <w:r>
        <w:t>Credential storage</w:t>
      </w:r>
    </w:p>
    <w:p>
      <w:pPr>
        <w:keepLines/>
        <w:widowControl/>
      </w:pPr>
      <w:r>
        <w:t>Administrators enter vendor API keys through provider settings. The existing guide describes application-level encryption using the smenc:v1 format and INSTANCE_ENCRYPTION_KEY, or a local instance key file. API responses return a masked last-four hint rather than the saved secret. The encryption algorithm, key storage, permissions, and rotation procedure still need verification.</w:t>
      </w:r>
    </w:p>
    <w:p>
      <w:pPr>
        <w:widowControl/>
      </w:pPr>
      <w:r>
        <w:t>The guide distinguishes those saved provider keys from AWS bootstrap secrets. It describes Secrets Manager holding deployment values such as a table name and an optional bootstrap Groq key, while administrator-entered vendor keys remain encrypted in instance configuration. Do not describe all provider credentials as being stored in Secrets Manager unless the code confirms that.</w:t>
      </w:r>
    </w:p>
    <w:p>
      <w:pPr>
        <w:pStyle w:val="Heading2"/>
      </w:pPr>
      <w:r>
        <w:t>AWS authentication and local endpoints</w:t>
      </w:r>
    </w:p>
    <w:p>
      <w:pPr>
        <w:keepLines/>
        <w:widowControl/>
      </w:pPr>
      <w:r>
        <w:t>The documented settings route rejects pasted AWS access keys with HTTP 422, including a second check when configuration is saved. This is a settings restriction, separate from sensitive-data detection in the chat composer.</w:t>
      </w:r>
    </w:p>
    <w:p>
      <w:pPr>
        <w:widowControl/>
      </w:pPr>
      <w:r>
        <w:t>Bedrock obtains AWS credentials through the SDK credential chain, such as a local profile or SSO session, environment credentials, or a runtime role. The awsProfile setting names a profile; it does not contain the credentials. ALLOW_REAL_AWS=false is described as a hard stop for real AWS calls, with canUseBedrock() enforcing the gate.</w:t>
      </w:r>
    </w:p>
    <w:p>
      <w:pPr>
        <w:widowControl/>
      </w:pPr>
      <w:r>
        <w:t>Local authentication emulation can set an endpoint that points AWS clients at a local service. The documented withRealAwsEndpoints() wrapper prevents that setting from redirecting real AWS service requests to the emulator. Cognito retains its explicit local endpoint. Verify which clients use the wrapper and how the real-AWS gate covers transcription and embeddings.</w:t>
      </w:r>
    </w:p>
    <w:p>
      <w:pPr>
        <w:pStyle w:val="Heading2"/>
      </w:pPr>
      <w:r>
        <w:t>Model availability controls</w:t>
      </w:r>
    </w:p>
    <w:p>
      <w:pPr>
        <w:keepLines/>
        <w:widowControl/>
      </w:pPr>
      <w:r>
        <w:t>The existing guide describes Enable as a successful initial access check, Test as a repeat check, and Check access as checking models associated with a provider connection. It gives verification a lifetime of about seven days. Hide removes a model from the chat menu but is described as leaving existing tier assignments intact. Confirm those distinctions so the interface and guide agree on what can still execute.</w:t>
      </w:r>
    </w:p>
    <w:p>
      <w:pPr>
        <w:pStyle w:val="Heading1"/>
      </w:pPr>
      <w:r>
        <w:t>8 Prompt construction and citations</w:t>
      </w:r>
    </w:p>
    <w:p>
      <w:pPr>
        <w:keepLines/>
        <w:widowControl/>
      </w:pPr>
      <w:r>
        <w:t>Every turn receives conversational instructions intended to produce a natural, concise reply. Operational instructions and workspace context are added only when the turn needs them. Recent history and a summary can maintain continuity without making every exchange sound like a document search.</w:t>
      </w:r>
    </w:p>
    <w:p>
      <w:pPr>
        <w:widowControl/>
      </w:pPr>
      <w:r>
        <w:t>Retrieved passages are evidence. They may contain useful facts, but they can also contain text such as “Ignore previous instructions.” That sentence must remain content from the file rather than becoming an instruction to the assistant.</w:t>
      </w:r>
    </w:p>
    <w:p>
      <w:pPr>
        <w:widowControl/>
      </w:pPr>
      <w:r>
        <w:t>The documented prompt guard filters injection patterns and delimits retrieved text. These are safeguards against document content influencing the instruction hierarchy; they do not guarantee that prompt injection is impossible.</w:t>
      </w:r>
    </w:p>
    <w:p>
      <w:pPr>
        <w:pStyle w:val="Heading2"/>
      </w:pPr>
      <w:r>
        <w:t>Evidence supplied for a response</w:t>
      </w:r>
    </w:p>
    <w:p>
      <w:pPr>
        <w:keepLines/>
        <w:widowControl/>
      </w:pPr>
      <w:r>
        <w:t>“Packed sources” means the selected passages included in the model's input for that turn. The answer can cite those passages with numbered markers. Conversation history and the model's general knowledge are not automatically documentary sources.</w:t>
      </w:r>
    </w:p>
    <w:p>
      <w:pPr>
        <w:widowControl/>
      </w:pPr>
      <w:r>
        <w:t>The intended Sources display shows passages both supplied to the model and cited in the response. Providing a passage does not mean the model used it, and a valid reference does not establish that the passage supports every nearby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cantSplit/>
          <w:tblHeader/>
        </w:trPr>
        <w:tc>
          <w:tcPr>
            <w:tcW w:type="dxa" w:w="3312"/>
            <w:vAlign w:val="center"/>
            <w:tcMar>
              <w:top w:w="85" w:type="dxa"/>
              <w:bottom w:w="85" w:type="dxa"/>
              <w:left w:w="95" w:type="dxa"/>
              <w:right w:w="95" w:type="dxa"/>
            </w:tcMar>
            <w:shd w:fill="24384B"/>
          </w:tcPr>
          <w:p>
            <w:pPr>
              <w:keepNext/>
              <w:spacing w:after="0" w:line="247" w:lineRule="auto"/>
            </w:pPr>
            <w:r>
              <w:rPr>
                <w:b/>
                <w:color w:val="FFFFFF"/>
                <w:sz w:val="20"/>
              </w:rPr>
              <w:t>Citation outcome</w:t>
            </w:r>
          </w:p>
        </w:tc>
        <w:tc>
          <w:tcPr>
            <w:tcW w:type="dxa" w:w="6768"/>
            <w:vAlign w:val="center"/>
            <w:tcMar>
              <w:top w:w="85" w:type="dxa"/>
              <w:bottom w:w="85" w:type="dxa"/>
              <w:left w:w="95" w:type="dxa"/>
              <w:right w:w="95" w:type="dxa"/>
            </w:tcMar>
            <w:shd w:fill="24384B"/>
          </w:tcPr>
          <w:p>
            <w:pPr>
              <w:keepNext/>
              <w:spacing w:after="0" w:line="247" w:lineRule="auto"/>
            </w:pPr>
            <w:r>
              <w:rPr>
                <w:b/>
                <w:color w:val="FFFFFF"/>
                <w:sz w:val="20"/>
              </w:rPr>
              <w:t>Meaning</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Valid reference</w:t>
            </w:r>
          </w:p>
        </w:tc>
        <w:tc>
          <w:tcPr>
            <w:tcW w:type="dxa" w:w="6768"/>
            <w:vAlign w:val="center"/>
            <w:tcMar>
              <w:top w:w="85" w:type="dxa"/>
              <w:bottom w:w="85" w:type="dxa"/>
              <w:left w:w="95" w:type="dxa"/>
              <w:right w:w="95" w:type="dxa"/>
            </w:tcMar>
            <w:shd w:fill="FFFFFF"/>
          </w:tcPr>
          <w:p>
            <w:pPr>
              <w:spacing w:after="0" w:line="247" w:lineRule="auto"/>
            </w:pPr>
            <w:r>
              <w:rPr>
                <w:b w:val="0"/>
                <w:sz w:val="20"/>
              </w:rPr>
              <w:t>The marker matches a supplied passage index</w:t>
            </w:r>
          </w:p>
        </w:tc>
      </w:tr>
      <w:tr>
        <w:trPr>
          <w:cantSplit/>
        </w:trPr>
        <w:tc>
          <w:tcPr>
            <w:tcW w:type="dxa" w:w="3312"/>
            <w:vAlign w:val="center"/>
            <w:tcMar>
              <w:top w:w="85" w:type="dxa"/>
              <w:bottom w:w="85" w:type="dxa"/>
              <w:left w:w="95" w:type="dxa"/>
              <w:right w:w="95" w:type="dxa"/>
            </w:tcMar>
            <w:shd w:fill="F2F5F8"/>
          </w:tcPr>
          <w:p>
            <w:pPr>
              <w:keepNext/>
              <w:spacing w:after="0" w:line="247" w:lineRule="auto"/>
            </w:pPr>
            <w:r>
              <w:rPr>
                <w:b w:val="0"/>
                <w:sz w:val="20"/>
              </w:rPr>
              <w:t>Invalid reference</w:t>
            </w:r>
          </w:p>
        </w:tc>
        <w:tc>
          <w:tcPr>
            <w:tcW w:type="dxa" w:w="6768"/>
            <w:vAlign w:val="center"/>
            <w:tcMar>
              <w:top w:w="85" w:type="dxa"/>
              <w:bottom w:w="85" w:type="dxa"/>
              <w:left w:w="95" w:type="dxa"/>
              <w:right w:w="95" w:type="dxa"/>
            </w:tcMar>
            <w:shd w:fill="F2F5F8"/>
          </w:tcPr>
          <w:p>
            <w:pPr>
              <w:keepNext/>
              <w:spacing w:after="0" w:line="247" w:lineRule="auto"/>
            </w:pPr>
            <w:r>
              <w:rPr>
                <w:b w:val="0"/>
                <w:sz w:val="20"/>
              </w:rPr>
              <w:t>The marker refers to no supplied passage index</w:t>
            </w:r>
          </w:p>
        </w:tc>
      </w:tr>
      <w:tr>
        <w:trPr>
          <w:cantSplit/>
        </w:trPr>
        <w:tc>
          <w:tcPr>
            <w:tcW w:type="dxa" w:w="3312"/>
            <w:vAlign w:val="center"/>
            <w:tcMar>
              <w:top w:w="85" w:type="dxa"/>
              <w:bottom w:w="85" w:type="dxa"/>
              <w:left w:w="95" w:type="dxa"/>
              <w:right w:w="95" w:type="dxa"/>
            </w:tcMar>
            <w:shd w:fill="FFFFFF"/>
          </w:tcPr>
          <w:p>
            <w:pPr>
              <w:keepNext/>
              <w:spacing w:after="0" w:line="247" w:lineRule="auto"/>
            </w:pPr>
            <w:r>
              <w:rPr>
                <w:b w:val="0"/>
                <w:sz w:val="20"/>
              </w:rPr>
              <w:t>Unused passage</w:t>
            </w:r>
          </w:p>
        </w:tc>
        <w:tc>
          <w:tcPr>
            <w:tcW w:type="dxa" w:w="6768"/>
            <w:vAlign w:val="center"/>
            <w:tcMar>
              <w:top w:w="85" w:type="dxa"/>
              <w:bottom w:w="85" w:type="dxa"/>
              <w:left w:w="95" w:type="dxa"/>
              <w:right w:w="95" w:type="dxa"/>
            </w:tcMar>
            <w:shd w:fill="FFFFFF"/>
          </w:tcPr>
          <w:p>
            <w:pPr>
              <w:keepNext/>
              <w:spacing w:after="0" w:line="247" w:lineRule="auto"/>
            </w:pPr>
            <w:r>
              <w:rPr>
                <w:b w:val="0"/>
                <w:sz w:val="20"/>
              </w:rPr>
              <w:t>A supplied passage was not cited</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Declined for lack of evidence</w:t>
            </w:r>
          </w:p>
        </w:tc>
        <w:tc>
          <w:tcPr>
            <w:tcW w:type="dxa" w:w="6768"/>
            <w:vAlign w:val="center"/>
            <w:tcMar>
              <w:top w:w="85" w:type="dxa"/>
              <w:bottom w:w="85" w:type="dxa"/>
              <w:left w:w="95" w:type="dxa"/>
              <w:right w:w="95" w:type="dxa"/>
            </w:tcMar>
            <w:shd w:fill="F2F5F8"/>
          </w:tcPr>
          <w:p>
            <w:pPr>
              <w:spacing w:after="0" w:line="247" w:lineRule="auto"/>
            </w:pPr>
            <w:r>
              <w:rPr>
                <w:b w:val="0"/>
                <w:sz w:val="20"/>
              </w:rPr>
              <w:t>The reply acknowledges insufficient evidence and cites nothing</w:t>
            </w:r>
          </w:p>
        </w:tc>
      </w:tr>
    </w:tbl>
    <w:p>
      <w:pPr>
        <w:spacing w:after="40" w:before="0" w:line="240" w:lineRule="auto"/>
      </w:pPr>
      <w:r>
        <w:rPr>
          <w:sz w:val="4"/>
        </w:rPr>
      </w:r>
    </w:p>
    <w:p>
      <w:pPr>
        <w:widowControl/>
      </w:pPr>
      <w:r>
        <w:t>The documented audit checks citation markers after generation. It does not call a second model to judge factual truth. Verify how the results affect stored status and visible sources, particularly when the answer has already streamed to the user.</w:t>
      </w:r>
    </w:p>
    <w:p>
      <w:pPr>
        <w:pStyle w:val="Heading2"/>
      </w:pPr>
      <w:r>
        <w:t>Similarity and source eligibility</w:t>
      </w:r>
    </w:p>
    <w:p>
      <w:pPr>
        <w:keepLines/>
        <w:widowControl/>
      </w:pPr>
      <w:r>
        <w:t>Embeddings represent content as numerical vectors. Retrieval compares a query vector with document vectors to find related passages. Higher cosine similarity normally indicates a closer match; lower cosine distance indicates a closer match.</w:t>
      </w:r>
    </w:p>
    <w:p>
      <w:pPr>
        <w:widowControl/>
      </w:pPr>
      <w:r>
        <w:t>The existing guide mixes the term “cosine distance” with a minimum similarity threshold of 0.5. The code must establish the returned metric, any conversion, and the comparison direction. The intended rule is to admit sufficiently relevant passages while enforcing the current user's workspace boundary. Document chunks form the citation index; facts are described as a separate store.</w:t>
      </w:r>
    </w:p>
    <w:p>
      <w:pPr>
        <w:pStyle w:val="Heading1"/>
      </w:pPr>
      <w:r>
        <w:t>9 Knowledge ingestion and retrieval</w:t>
      </w:r>
    </w:p>
    <w:p>
      <w:pPr>
        <w:keepLines/>
        <w:widowControl/>
      </w:pPr>
      <w:r>
        <w:t>Retrieval-augmented generation, or RAG, supplies relevant document passages to a model while it creates an answer. SecureMind's knowledge path first prepares documents for search, then retrieves a limited set of passages for each relevant request.</w:t>
      </w:r>
    </w:p>
    <w:p>
      <w:pPr>
        <w:widowControl/>
      </w:pPr>
      <w:r>
        <w:t>1. Associate the upload with its user and workspace.</w:t>
      </w:r>
    </w:p>
    <w:p>
      <w:pPr>
        <w:widowControl/>
      </w:pPr>
      <w:r>
        <w:t>2. Extract usable text from the file, including any supported image or spreadsheet processing.</w:t>
      </w:r>
    </w:p>
    <w:p>
      <w:pPr>
        <w:widowControl/>
      </w:pPr>
      <w:r>
        <w:t>3. Scrub extracted text using the administrator's detection policy.</w:t>
      </w:r>
    </w:p>
    <w:p>
      <w:pPr>
        <w:widowControl/>
      </w:pPr>
      <w:r>
        <w:t>4. Divide the scrubbed text into overlapping chunks.</w:t>
      </w:r>
    </w:p>
    <w:p>
      <w:pPr>
        <w:widowControl/>
      </w:pPr>
      <w:r>
        <w:t>5. Generate an embedding for each chunk and store its text, vector, and ownership metadata.</w:t>
      </w:r>
    </w:p>
    <w:p>
      <w:pPr>
        <w:widowControl/>
      </w:pPr>
      <w:r>
        <w:t>6. At query time, embed the query, search authorized workspace chunks, and supply qualifying passages to the chat model.</w:t>
      </w:r>
    </w:p>
    <w:p>
      <w:pPr>
        <w:pStyle w:val="Heading2"/>
      </w:pPr>
      <w:r>
        <w:t>Files and vectors serve different purposes</w:t>
      </w:r>
    </w:p>
    <w:p>
      <w:pPr>
        <w:keepLines/>
        <w:widowControl/>
      </w:pPr>
      <w:r>
        <w:t>The original file preserves the upload. Extracted text makes its contents usable. Chunks provide searchable passages, and embeddings help find related passages. A vector does not replace the file or preserve a readable copy of it.</w:t>
      </w:r>
    </w:p>
    <w:p>
      <w:pPr>
        <w:widowControl/>
      </w:pPr>
      <w:r>
        <w:t>This explains why a local installation can keep originals on disk while PostgreSQL holds text, metadata, and pgvector embeddings. It also means scrubbing extracted text does not sanitize the original. Confirm original retention, permissions, deletion, and reprocessing for both deployments.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3888"/>
      </w:tblGrid>
      <w:tr>
        <w:trPr>
          <w:cantSplit/>
          <w:tblHeader/>
        </w:trPr>
        <w:tc>
          <w:tcPr>
            <w:tcW w:type="dxa" w:w="2376"/>
            <w:vAlign w:val="center"/>
            <w:tcMar>
              <w:top w:w="85" w:type="dxa"/>
              <w:bottom w:w="85" w:type="dxa"/>
              <w:left w:w="95" w:type="dxa"/>
              <w:right w:w="95" w:type="dxa"/>
            </w:tcMar>
            <w:shd w:fill="24384B"/>
          </w:tcPr>
          <w:p>
            <w:pPr>
              <w:keepNext/>
              <w:spacing w:after="0" w:line="247" w:lineRule="auto"/>
            </w:pPr>
            <w:r>
              <w:rPr>
                <w:b/>
                <w:color w:val="FFFFFF"/>
                <w:sz w:val="20"/>
              </w:rPr>
              <w:t>Setting</w:t>
            </w:r>
          </w:p>
        </w:tc>
        <w:tc>
          <w:tcPr>
            <w:tcW w:type="dxa" w:w="3816"/>
            <w:vAlign w:val="center"/>
            <w:tcMar>
              <w:top w:w="85" w:type="dxa"/>
              <w:bottom w:w="85" w:type="dxa"/>
              <w:left w:w="95" w:type="dxa"/>
              <w:right w:w="95" w:type="dxa"/>
            </w:tcMar>
            <w:shd w:fill="24384B"/>
          </w:tcPr>
          <w:p>
            <w:pPr>
              <w:keepNext/>
              <w:spacing w:after="0" w:line="247" w:lineRule="auto"/>
            </w:pPr>
            <w:r>
              <w:rPr>
                <w:b/>
                <w:color w:val="FFFFFF"/>
                <w:sz w:val="20"/>
              </w:rPr>
              <w:t>Documented value</w:t>
            </w:r>
          </w:p>
        </w:tc>
        <w:tc>
          <w:tcPr>
            <w:tcW w:type="dxa" w:w="3888"/>
            <w:vAlign w:val="center"/>
            <w:tcMar>
              <w:top w:w="85" w:type="dxa"/>
              <w:bottom w:w="85" w:type="dxa"/>
              <w:left w:w="95" w:type="dxa"/>
              <w:right w:w="95" w:type="dxa"/>
            </w:tcMar>
            <w:shd w:fill="24384B"/>
          </w:tcPr>
          <w:p>
            <w:pPr>
              <w:keepNext/>
              <w:spacing w:after="0" w:line="247" w:lineRule="auto"/>
            </w:pPr>
            <w:r>
              <w:rPr>
                <w:b/>
                <w:color w:val="FFFFFF"/>
                <w:sz w:val="20"/>
              </w:rPr>
              <w:t>Purpose</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Target chunk length</w:t>
            </w:r>
          </w:p>
        </w:tc>
        <w:tc>
          <w:tcPr>
            <w:tcW w:type="dxa" w:w="3816"/>
            <w:vAlign w:val="center"/>
            <w:tcMar>
              <w:top w:w="85" w:type="dxa"/>
              <w:bottom w:w="85" w:type="dxa"/>
              <w:left w:w="95" w:type="dxa"/>
              <w:right w:w="95" w:type="dxa"/>
            </w:tcMar>
            <w:shd w:fill="FFFFFF"/>
          </w:tcPr>
          <w:p>
            <w:pPr>
              <w:spacing w:after="0" w:line="247" w:lineRule="auto"/>
            </w:pPr>
            <w:r>
              <w:rPr>
                <w:b w:val="0"/>
                <w:sz w:val="20"/>
              </w:rPr>
              <w:t>About 1,500 characters</w:t>
            </w:r>
          </w:p>
        </w:tc>
        <w:tc>
          <w:tcPr>
            <w:tcW w:type="dxa" w:w="3888"/>
            <w:vAlign w:val="center"/>
            <w:tcMar>
              <w:top w:w="85" w:type="dxa"/>
              <w:bottom w:w="85" w:type="dxa"/>
              <w:left w:w="95" w:type="dxa"/>
              <w:right w:w="95" w:type="dxa"/>
            </w:tcMar>
            <w:shd w:fill="FFFFFF"/>
          </w:tcPr>
          <w:p>
            <w:pPr>
              <w:spacing w:after="0" w:line="247" w:lineRule="auto"/>
            </w:pPr>
            <w:r>
              <w:rPr>
                <w:b w:val="0"/>
                <w:sz w:val="20"/>
              </w:rPr>
              <w:t>Keeps passages manageable</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Chunk overlap</w:t>
            </w:r>
          </w:p>
        </w:tc>
        <w:tc>
          <w:tcPr>
            <w:tcW w:type="dxa" w:w="3816"/>
            <w:vAlign w:val="center"/>
            <w:tcMar>
              <w:top w:w="85" w:type="dxa"/>
              <w:bottom w:w="85" w:type="dxa"/>
              <w:left w:w="95" w:type="dxa"/>
              <w:right w:w="95" w:type="dxa"/>
            </w:tcMar>
            <w:shd w:fill="F2F5F8"/>
          </w:tcPr>
          <w:p>
            <w:pPr>
              <w:spacing w:after="0" w:line="247" w:lineRule="auto"/>
            </w:pPr>
            <w:r>
              <w:rPr>
                <w:b w:val="0"/>
                <w:sz w:val="20"/>
              </w:rPr>
              <w:t>About 200 characters</w:t>
            </w:r>
          </w:p>
        </w:tc>
        <w:tc>
          <w:tcPr>
            <w:tcW w:type="dxa" w:w="3888"/>
            <w:vAlign w:val="center"/>
            <w:tcMar>
              <w:top w:w="85" w:type="dxa"/>
              <w:bottom w:w="85" w:type="dxa"/>
              <w:left w:w="95" w:type="dxa"/>
              <w:right w:w="95" w:type="dxa"/>
            </w:tcMar>
            <w:shd w:fill="F2F5F8"/>
          </w:tcPr>
          <w:p>
            <w:pPr>
              <w:spacing w:after="0" w:line="247" w:lineRule="auto"/>
            </w:pPr>
            <w:r>
              <w:rPr>
                <w:b w:val="0"/>
                <w:sz w:val="20"/>
              </w:rPr>
              <w:t>Preserves context across boundaries</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Minimum piece length</w:t>
            </w:r>
          </w:p>
        </w:tc>
        <w:tc>
          <w:tcPr>
            <w:tcW w:type="dxa" w:w="3816"/>
            <w:vAlign w:val="center"/>
            <w:tcMar>
              <w:top w:w="85" w:type="dxa"/>
              <w:bottom w:w="85" w:type="dxa"/>
              <w:left w:w="95" w:type="dxa"/>
              <w:right w:w="95" w:type="dxa"/>
            </w:tcMar>
            <w:shd w:fill="FFFFFF"/>
          </w:tcPr>
          <w:p>
            <w:pPr>
              <w:spacing w:after="0" w:line="247" w:lineRule="auto"/>
            </w:pPr>
            <w:r>
              <w:rPr>
                <w:b w:val="0"/>
                <w:sz w:val="20"/>
              </w:rPr>
              <w:t>80 characters</w:t>
            </w:r>
          </w:p>
        </w:tc>
        <w:tc>
          <w:tcPr>
            <w:tcW w:type="dxa" w:w="3888"/>
            <w:vAlign w:val="center"/>
            <w:tcMar>
              <w:top w:w="85" w:type="dxa"/>
              <w:bottom w:w="85" w:type="dxa"/>
              <w:left w:w="95" w:type="dxa"/>
              <w:right w:w="95" w:type="dxa"/>
            </w:tcMar>
            <w:shd w:fill="FFFFFF"/>
          </w:tcPr>
          <w:p>
            <w:pPr>
              <w:spacing w:after="0" w:line="247" w:lineRule="auto"/>
            </w:pPr>
            <w:r>
              <w:rPr>
                <w:b w:val="0"/>
                <w:sz w:val="20"/>
              </w:rPr>
              <w:t>Drops very short pieces</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Preferred boundaries</w:t>
            </w:r>
          </w:p>
        </w:tc>
        <w:tc>
          <w:tcPr>
            <w:tcW w:type="dxa" w:w="3816"/>
            <w:vAlign w:val="center"/>
            <w:tcMar>
              <w:top w:w="85" w:type="dxa"/>
              <w:bottom w:w="85" w:type="dxa"/>
              <w:left w:w="95" w:type="dxa"/>
              <w:right w:w="95" w:type="dxa"/>
            </w:tcMar>
            <w:shd w:fill="F2F5F8"/>
          </w:tcPr>
          <w:p>
            <w:pPr>
              <w:spacing w:after="0" w:line="247" w:lineRule="auto"/>
            </w:pPr>
            <w:r>
              <w:rPr>
                <w:b w:val="0"/>
                <w:sz w:val="20"/>
              </w:rPr>
              <w:t>Paragraphs or sentences</w:t>
            </w:r>
          </w:p>
        </w:tc>
        <w:tc>
          <w:tcPr>
            <w:tcW w:type="dxa" w:w="3888"/>
            <w:vAlign w:val="center"/>
            <w:tcMar>
              <w:top w:w="85" w:type="dxa"/>
              <w:bottom w:w="85" w:type="dxa"/>
              <w:left w:w="95" w:type="dxa"/>
              <w:right w:w="95" w:type="dxa"/>
            </w:tcMar>
            <w:shd w:fill="F2F5F8"/>
          </w:tcPr>
          <w:p>
            <w:pPr>
              <w:spacing w:after="0" w:line="247" w:lineRule="auto"/>
            </w:pPr>
            <w:r>
              <w:rPr>
                <w:b w:val="0"/>
                <w:sz w:val="20"/>
              </w:rPr>
              <w:t>Avoids unnecessary splits</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Local embedding model</w:t>
            </w:r>
          </w:p>
        </w:tc>
        <w:tc>
          <w:tcPr>
            <w:tcW w:type="dxa" w:w="3816"/>
            <w:vAlign w:val="center"/>
            <w:tcMar>
              <w:top w:w="85" w:type="dxa"/>
              <w:bottom w:w="85" w:type="dxa"/>
              <w:left w:w="95" w:type="dxa"/>
              <w:right w:w="95" w:type="dxa"/>
            </w:tcMar>
            <w:shd w:fill="FFFFFF"/>
          </w:tcPr>
          <w:p>
            <w:pPr>
              <w:spacing w:after="0" w:line="247" w:lineRule="auto"/>
            </w:pPr>
            <w:r>
              <w:rPr>
                <w:b w:val="0"/>
                <w:sz w:val="20"/>
              </w:rPr>
              <w:t>nomic-embed-text through Ollama</w:t>
            </w:r>
          </w:p>
        </w:tc>
        <w:tc>
          <w:tcPr>
            <w:tcW w:type="dxa" w:w="3888"/>
            <w:vAlign w:val="center"/>
            <w:tcMar>
              <w:top w:w="85" w:type="dxa"/>
              <w:bottom w:w="85" w:type="dxa"/>
              <w:left w:w="95" w:type="dxa"/>
              <w:right w:w="95" w:type="dxa"/>
            </w:tcMar>
            <w:shd w:fill="FFFFFF"/>
          </w:tcPr>
          <w:p>
            <w:pPr>
              <w:spacing w:after="0" w:line="247" w:lineRule="auto"/>
            </w:pPr>
            <w:r>
              <w:rPr>
                <w:b w:val="0"/>
                <w:sz w:val="20"/>
              </w:rPr>
              <w:t>Creates document and query vectors</w:t>
            </w:r>
          </w:p>
        </w:tc>
      </w:tr>
      <w:tr>
        <w:trPr>
          <w:cantSplit/>
        </w:trPr>
        <w:tc>
          <w:tcPr>
            <w:tcW w:type="dxa" w:w="2376"/>
            <w:vAlign w:val="center"/>
            <w:tcMar>
              <w:top w:w="85" w:type="dxa"/>
              <w:bottom w:w="85" w:type="dxa"/>
              <w:left w:w="95" w:type="dxa"/>
              <w:right w:w="95" w:type="dxa"/>
            </w:tcMar>
            <w:shd w:fill="F2F5F8"/>
          </w:tcPr>
          <w:p>
            <w:pPr>
              <w:keepNext/>
              <w:spacing w:after="0" w:line="247" w:lineRule="auto"/>
            </w:pPr>
            <w:r>
              <w:rPr>
                <w:b w:val="0"/>
                <w:sz w:val="20"/>
              </w:rPr>
              <w:t>Local dimensions</w:t>
            </w:r>
          </w:p>
        </w:tc>
        <w:tc>
          <w:tcPr>
            <w:tcW w:type="dxa" w:w="3816"/>
            <w:vAlign w:val="center"/>
            <w:tcMar>
              <w:top w:w="85" w:type="dxa"/>
              <w:bottom w:w="85" w:type="dxa"/>
              <w:left w:w="95" w:type="dxa"/>
              <w:right w:w="95" w:type="dxa"/>
            </w:tcMar>
            <w:shd w:fill="F2F5F8"/>
          </w:tcPr>
          <w:p>
            <w:pPr>
              <w:keepNext/>
              <w:spacing w:after="0" w:line="247" w:lineRule="auto"/>
            </w:pPr>
            <w:r>
              <w:rPr>
                <w:b w:val="0"/>
                <w:sz w:val="20"/>
              </w:rPr>
              <w:t>768</w:t>
            </w:r>
          </w:p>
        </w:tc>
        <w:tc>
          <w:tcPr>
            <w:tcW w:type="dxa" w:w="3888"/>
            <w:vAlign w:val="center"/>
            <w:tcMar>
              <w:top w:w="85" w:type="dxa"/>
              <w:bottom w:w="85" w:type="dxa"/>
              <w:left w:w="95" w:type="dxa"/>
              <w:right w:w="95" w:type="dxa"/>
            </w:tcMar>
            <w:shd w:fill="F2F5F8"/>
          </w:tcPr>
          <w:p>
            <w:pPr>
              <w:keepNext/>
              <w:spacing w:after="0" w:line="247" w:lineRule="auto"/>
            </w:pPr>
            <w:r>
              <w:rPr>
                <w:b w:val="0"/>
                <w:sz w:val="20"/>
              </w:rPr>
              <w:t>Must match the local index</w:t>
            </w:r>
          </w:p>
        </w:tc>
      </w:tr>
      <w:tr>
        <w:trPr>
          <w:cantSplit/>
        </w:trPr>
        <w:tc>
          <w:tcPr>
            <w:tcW w:type="dxa" w:w="2376"/>
            <w:vAlign w:val="center"/>
            <w:tcMar>
              <w:top w:w="85" w:type="dxa"/>
              <w:bottom w:w="85" w:type="dxa"/>
              <w:left w:w="95" w:type="dxa"/>
              <w:right w:w="95" w:type="dxa"/>
            </w:tcMar>
            <w:shd w:fill="FFFFFF"/>
          </w:tcPr>
          <w:p>
            <w:pPr>
              <w:keepNext/>
              <w:spacing w:after="0" w:line="247" w:lineRule="auto"/>
            </w:pPr>
            <w:r>
              <w:rPr>
                <w:b w:val="0"/>
                <w:sz w:val="20"/>
              </w:rPr>
              <w:t>AWS embedding target</w:t>
            </w:r>
          </w:p>
        </w:tc>
        <w:tc>
          <w:tcPr>
            <w:tcW w:type="dxa" w:w="3816"/>
            <w:vAlign w:val="center"/>
            <w:tcMar>
              <w:top w:w="85" w:type="dxa"/>
              <w:bottom w:w="85" w:type="dxa"/>
              <w:left w:w="95" w:type="dxa"/>
              <w:right w:w="95" w:type="dxa"/>
            </w:tcMar>
            <w:shd w:fill="FFFFFF"/>
          </w:tcPr>
          <w:p>
            <w:pPr>
              <w:keepNext/>
              <w:spacing w:after="0" w:line="247" w:lineRule="auto"/>
            </w:pPr>
            <w:r>
              <w:rPr>
                <w:b w:val="0"/>
                <w:sz w:val="20"/>
              </w:rPr>
              <w:t>Amazon Titan Text Embeddings v2</w:t>
            </w:r>
          </w:p>
        </w:tc>
        <w:tc>
          <w:tcPr>
            <w:tcW w:type="dxa" w:w="3888"/>
            <w:vAlign w:val="center"/>
            <w:tcMar>
              <w:top w:w="85" w:type="dxa"/>
              <w:bottom w:w="85" w:type="dxa"/>
              <w:left w:w="95" w:type="dxa"/>
              <w:right w:w="95" w:type="dxa"/>
            </w:tcMar>
            <w:shd w:fill="FFFFFF"/>
          </w:tcPr>
          <w:p>
            <w:pPr>
              <w:keepNext/>
              <w:spacing w:after="0" w:line="247" w:lineRule="auto"/>
            </w:pPr>
            <w:r>
              <w:rPr>
                <w:b w:val="0"/>
                <w:sz w:val="20"/>
              </w:rPr>
              <w:t>Creates text embeddings in AWS</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AWS dimensions</w:t>
            </w:r>
          </w:p>
        </w:tc>
        <w:tc>
          <w:tcPr>
            <w:tcW w:type="dxa" w:w="3816"/>
            <w:vAlign w:val="center"/>
            <w:tcMar>
              <w:top w:w="85" w:type="dxa"/>
              <w:bottom w:w="85" w:type="dxa"/>
              <w:left w:w="95" w:type="dxa"/>
              <w:right w:w="95" w:type="dxa"/>
            </w:tcMar>
            <w:shd w:fill="F2F5F8"/>
          </w:tcPr>
          <w:p>
            <w:pPr>
              <w:spacing w:after="0" w:line="247" w:lineRule="auto"/>
            </w:pPr>
            <w:r>
              <w:rPr>
                <w:b w:val="0"/>
                <w:sz w:val="20"/>
              </w:rPr>
              <w:t>1,024 in the existing guide</w:t>
            </w:r>
          </w:p>
        </w:tc>
        <w:tc>
          <w:tcPr>
            <w:tcW w:type="dxa" w:w="3888"/>
            <w:vAlign w:val="center"/>
            <w:tcMar>
              <w:top w:w="85" w:type="dxa"/>
              <w:bottom w:w="85" w:type="dxa"/>
              <w:left w:w="95" w:type="dxa"/>
              <w:right w:w="95" w:type="dxa"/>
            </w:tcMar>
            <w:shd w:fill="F2F5F8"/>
          </w:tcPr>
          <w:p>
            <w:pPr>
              <w:spacing w:after="0" w:line="247" w:lineRule="auto"/>
            </w:pPr>
            <w:r>
              <w:rPr>
                <w:b w:val="0"/>
                <w:sz w:val="20"/>
              </w:rPr>
              <w:t>Confirm model request and index configuration</w:t>
            </w:r>
          </w:p>
        </w:tc>
      </w:tr>
    </w:tbl>
    <w:p>
      <w:pPr>
        <w:spacing w:after="40" w:before="0" w:line="240" w:lineRule="auto"/>
      </w:pPr>
      <w:r>
        <w:rPr>
          <w:sz w:val="4"/>
        </w:rPr>
      </w:r>
    </w:p>
    <w:p>
      <w:pPr>
        <w:widowControl/>
      </w:pPr>
      <w:r>
        <w:t>These are documented settings to verify, including what happens to short documents. The AWS vector-store description also needs confirmation; recording a vector in DynamoDB and executing an indexed similarity search are separate capabilities that must be traced in the implementation.</w:t>
      </w:r>
    </w:p>
    <w:p>
      <w:pPr>
        <w:pStyle w:val="Heading2"/>
      </w:pPr>
      <w:r>
        <w:t>Spreadsheets and images</w:t>
      </w:r>
    </w:p>
    <w:p>
      <w:pPr>
        <w:keepLines/>
        <w:widowControl/>
      </w:pPr>
      <w:r>
        <w:t>The guide describes a constrained spreadsheet-analysis route instead of sending an entire grid to the model. Explain its allowed operations, row or cell limits, and the data supplied to the model once the route has been inspected.</w:t>
      </w:r>
    </w:p>
    <w:p>
      <w:pPr>
        <w:widowControl/>
      </w:pPr>
      <w:r>
        <w:t>Image interpretation and text embedding are separate steps. A vision model can produce a description or extract text, which is then scrubbed and embedded by a text embedding model. This does not mean the raw image was scrubbed before being sent to the vision provider.</w:t>
      </w:r>
    </w:p>
    <w:p>
      <w:pPr>
        <w:widowControl/>
      </w:pPr>
      <w:r>
        <w:t>The existing guide gives conflicting image paths: a forced Groq vision model, optional Bedrock or Groq settings, and a filename-only stub when Groq is missing. Verify the actual precedence and make provider absence explicit. Reprocessing is described as using stored local originals; establish how it works in AWS.</w:t>
      </w:r>
    </w:p>
    <w:p>
      <w:pPr>
        <w:pStyle w:val="Heading1"/>
      </w:pPr>
      <w:r>
        <w:t>10 Memory and configurable AI settings</w:t>
      </w:r>
    </w:p>
    <w:p>
      <w:pPr>
        <w:keepLines/>
        <w:widowControl/>
      </w:pPr>
      <w:r>
        <w:t>Working context combines recent messages with a summary of earlier conversation. This lets the model continue a discussion without receiving every previous message in full. The summary is supplied as text; it need not be stored as an embedding.</w:t>
      </w:r>
    </w:p>
    <w:p>
      <w:pPr>
        <w:widowControl/>
      </w:pPr>
      <w:r>
        <w:t>The existing guide describes a session summary and separate long-term facts, but does not establish their exact persistence or selection rules. Verify when summarization runs, which messages it reads, how much context is retained, and which model performs the work.</w:t>
      </w:r>
    </w:p>
    <w:p>
      <w:pPr>
        <w:widowControl/>
      </w:pPr>
      <w:r>
        <w:t>Long-term facts are described as being extracted from user-written content through the summarize route. Assistant replies are not described as durable facts. Facts remain separate from the document citation index.</w:t>
      </w:r>
    </w:p>
    <w:p>
      <w:pPr>
        <w:pStyle w:val="Heading2"/>
      </w:pPr>
      <w:r>
        <w:t>Memory controls and saved items</w:t>
      </w:r>
    </w:p>
    <w:p>
      <w:pPr>
        <w:keepLines/>
        <w:widowControl/>
      </w:pPr>
      <w:r>
        <w:t>The guide describes correcting, pinning, forgetting, restoring, and deleting facts. Forget is described as retaining a recoverable row; Delete removes it. These controls must be located in the actual UI and checked against their API behaviour before being documented as available.</w:t>
      </w:r>
    </w:p>
    <w:p>
      <w:pPr>
        <w:widowControl/>
      </w:pPr>
      <w:r>
        <w:t>Saved items are conversation bookmarks. Selecting one scrolls to and highlights the message; removing one deletes the bookmark. A bookmark does not create a knowledge document or a long-term fact.</w:t>
      </w:r>
    </w:p>
    <w:p>
      <w:pPr>
        <w:pStyle w:val="Heading2"/>
      </w:pPr>
      <w:r>
        <w:t>Different settings control different stages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3888"/>
      </w:tblGrid>
      <w:tr>
        <w:trPr>
          <w:cantSplit/>
          <w:tblHeader/>
        </w:trPr>
        <w:tc>
          <w:tcPr>
            <w:tcW w:type="dxa" w:w="2376"/>
            <w:vAlign w:val="center"/>
            <w:tcMar>
              <w:top w:w="85" w:type="dxa"/>
              <w:bottom w:w="85" w:type="dxa"/>
              <w:left w:w="95" w:type="dxa"/>
              <w:right w:w="95" w:type="dxa"/>
            </w:tcMar>
            <w:shd w:fill="24384B"/>
          </w:tcPr>
          <w:p>
            <w:pPr>
              <w:keepNext/>
              <w:spacing w:after="0" w:line="247" w:lineRule="auto"/>
            </w:pPr>
            <w:r>
              <w:rPr>
                <w:b/>
                <w:color w:val="FFFFFF"/>
                <w:sz w:val="20"/>
              </w:rPr>
              <w:t>Setting</w:t>
            </w:r>
          </w:p>
        </w:tc>
        <w:tc>
          <w:tcPr>
            <w:tcW w:type="dxa" w:w="3816"/>
            <w:vAlign w:val="center"/>
            <w:tcMar>
              <w:top w:w="85" w:type="dxa"/>
              <w:bottom w:w="85" w:type="dxa"/>
              <w:left w:w="95" w:type="dxa"/>
              <w:right w:w="95" w:type="dxa"/>
            </w:tcMar>
            <w:shd w:fill="24384B"/>
          </w:tcPr>
          <w:p>
            <w:pPr>
              <w:keepNext/>
              <w:spacing w:after="0" w:line="247" w:lineRule="auto"/>
            </w:pPr>
            <w:r>
              <w:rPr>
                <w:b/>
                <w:color w:val="FFFFFF"/>
                <w:sz w:val="20"/>
              </w:rPr>
              <w:t>What it controls</w:t>
            </w:r>
          </w:p>
        </w:tc>
        <w:tc>
          <w:tcPr>
            <w:tcW w:type="dxa" w:w="3888"/>
            <w:vAlign w:val="center"/>
            <w:tcMar>
              <w:top w:w="85" w:type="dxa"/>
              <w:bottom w:w="85" w:type="dxa"/>
              <w:left w:w="95" w:type="dxa"/>
              <w:right w:w="95" w:type="dxa"/>
            </w:tcMar>
            <w:shd w:fill="24384B"/>
          </w:tcPr>
          <w:p>
            <w:pPr>
              <w:keepNext/>
              <w:spacing w:after="0" w:line="247" w:lineRule="auto"/>
            </w:pPr>
            <w:r>
              <w:rPr>
                <w:b/>
                <w:color w:val="FFFFFF"/>
                <w:sz w:val="20"/>
              </w:rPr>
              <w:t>Current status</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Complexity score</w:t>
            </w:r>
          </w:p>
        </w:tc>
        <w:tc>
          <w:tcPr>
            <w:tcW w:type="dxa" w:w="3816"/>
            <w:vAlign w:val="center"/>
            <w:tcMar>
              <w:top w:w="85" w:type="dxa"/>
              <w:bottom w:w="85" w:type="dxa"/>
              <w:left w:w="95" w:type="dxa"/>
              <w:right w:w="95" w:type="dxa"/>
            </w:tcMar>
            <w:shd w:fill="FFFFFF"/>
          </w:tcPr>
          <w:p>
            <w:pPr>
              <w:spacing w:after="0" w:line="247" w:lineRule="auto"/>
            </w:pPr>
            <w:r>
              <w:rPr>
                <w:b w:val="0"/>
                <w:sz w:val="20"/>
              </w:rPr>
              <w:t>Selection of a routing tier</w:t>
            </w:r>
          </w:p>
        </w:tc>
        <w:tc>
          <w:tcPr>
            <w:tcW w:type="dxa" w:w="3888"/>
            <w:vAlign w:val="center"/>
            <w:tcMar>
              <w:top w:w="85" w:type="dxa"/>
              <w:bottom w:w="85" w:type="dxa"/>
              <w:left w:w="95" w:type="dxa"/>
              <w:right w:w="95" w:type="dxa"/>
            </w:tcMar>
            <w:shd w:fill="FFFFFF"/>
          </w:tcPr>
          <w:p>
            <w:pPr>
              <w:spacing w:after="0" w:line="247" w:lineRule="auto"/>
            </w:pPr>
            <w:r>
              <w:rPr>
                <w:b w:val="0"/>
                <w:sz w:val="20"/>
              </w:rPr>
              <w:t>Documented in section 6</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Retrieval top-k</w:t>
            </w:r>
          </w:p>
        </w:tc>
        <w:tc>
          <w:tcPr>
            <w:tcW w:type="dxa" w:w="3816"/>
            <w:vAlign w:val="center"/>
            <w:tcMar>
              <w:top w:w="85" w:type="dxa"/>
              <w:bottom w:w="85" w:type="dxa"/>
              <w:left w:w="95" w:type="dxa"/>
              <w:right w:w="95" w:type="dxa"/>
            </w:tcMar>
            <w:shd w:fill="F2F5F8"/>
          </w:tcPr>
          <w:p>
            <w:pPr>
              <w:spacing w:after="0" w:line="247" w:lineRule="auto"/>
            </w:pPr>
            <w:r>
              <w:rPr>
                <w:b w:val="0"/>
                <w:sz w:val="20"/>
              </w:rPr>
              <w:t>Number of passages requested from search</w:t>
            </w:r>
          </w:p>
        </w:tc>
        <w:tc>
          <w:tcPr>
            <w:tcW w:type="dxa" w:w="3888"/>
            <w:vAlign w:val="center"/>
            <w:tcMar>
              <w:top w:w="85" w:type="dxa"/>
              <w:bottom w:w="85" w:type="dxa"/>
              <w:left w:w="95" w:type="dxa"/>
              <w:right w:w="95" w:type="dxa"/>
            </w:tcMar>
            <w:shd w:fill="F2F5F8"/>
          </w:tcPr>
          <w:p>
            <w:pPr>
              <w:spacing w:after="0" w:line="247" w:lineRule="auto"/>
            </w:pPr>
            <w:r>
              <w:rPr>
                <w:b w:val="0"/>
                <w:sz w:val="20"/>
              </w:rPr>
              <w:t>Confirm configured value and later filtering</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Similarity threshold</w:t>
            </w:r>
          </w:p>
        </w:tc>
        <w:tc>
          <w:tcPr>
            <w:tcW w:type="dxa" w:w="3816"/>
            <w:vAlign w:val="center"/>
            <w:tcMar>
              <w:top w:w="85" w:type="dxa"/>
              <w:bottom w:w="85" w:type="dxa"/>
              <w:left w:w="95" w:type="dxa"/>
              <w:right w:w="95" w:type="dxa"/>
            </w:tcMar>
            <w:shd w:fill="FFFFFF"/>
          </w:tcPr>
          <w:p>
            <w:pPr>
              <w:spacing w:after="0" w:line="247" w:lineRule="auto"/>
            </w:pPr>
            <w:r>
              <w:rPr>
                <w:b w:val="0"/>
                <w:sz w:val="20"/>
              </w:rPr>
              <w:t>Relevance required for evidence</w:t>
            </w:r>
          </w:p>
        </w:tc>
        <w:tc>
          <w:tcPr>
            <w:tcW w:type="dxa" w:w="3888"/>
            <w:vAlign w:val="center"/>
            <w:tcMar>
              <w:top w:w="85" w:type="dxa"/>
              <w:bottom w:w="85" w:type="dxa"/>
              <w:left w:w="95" w:type="dxa"/>
              <w:right w:w="95" w:type="dxa"/>
            </w:tcMar>
            <w:shd w:fill="FFFFFF"/>
          </w:tcPr>
          <w:p>
            <w:pPr>
              <w:spacing w:after="0" w:line="247" w:lineRule="auto"/>
            </w:pPr>
            <w:r>
              <w:rPr>
                <w:b w:val="0"/>
                <w:sz w:val="20"/>
              </w:rPr>
              <w:t>Documented as 0.5; metric needs verification</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Chunk size and overlap</w:t>
            </w:r>
          </w:p>
        </w:tc>
        <w:tc>
          <w:tcPr>
            <w:tcW w:type="dxa" w:w="3816"/>
            <w:vAlign w:val="center"/>
            <w:tcMar>
              <w:top w:w="85" w:type="dxa"/>
              <w:bottom w:w="85" w:type="dxa"/>
              <w:left w:w="95" w:type="dxa"/>
              <w:right w:w="95" w:type="dxa"/>
            </w:tcMar>
            <w:shd w:fill="F2F5F8"/>
          </w:tcPr>
          <w:p>
            <w:pPr>
              <w:spacing w:after="0" w:line="247" w:lineRule="auto"/>
            </w:pPr>
            <w:r>
              <w:rPr>
                <w:b w:val="0"/>
                <w:sz w:val="20"/>
              </w:rPr>
              <w:t>How documents are split before embedding</w:t>
            </w:r>
          </w:p>
        </w:tc>
        <w:tc>
          <w:tcPr>
            <w:tcW w:type="dxa" w:w="3888"/>
            <w:vAlign w:val="center"/>
            <w:tcMar>
              <w:top w:w="85" w:type="dxa"/>
              <w:bottom w:w="85" w:type="dxa"/>
              <w:left w:w="95" w:type="dxa"/>
              <w:right w:w="95" w:type="dxa"/>
            </w:tcMar>
            <w:shd w:fill="F2F5F8"/>
          </w:tcPr>
          <w:p>
            <w:pPr>
              <w:spacing w:after="0" w:line="247" w:lineRule="auto"/>
            </w:pPr>
            <w:r>
              <w:rPr>
                <w:b w:val="0"/>
                <w:sz w:val="20"/>
              </w:rPr>
              <w:t>Documented in section 9</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Temperature</w:t>
            </w:r>
          </w:p>
        </w:tc>
        <w:tc>
          <w:tcPr>
            <w:tcW w:type="dxa" w:w="3816"/>
            <w:vAlign w:val="center"/>
            <w:tcMar>
              <w:top w:w="85" w:type="dxa"/>
              <w:bottom w:w="85" w:type="dxa"/>
              <w:left w:w="95" w:type="dxa"/>
              <w:right w:w="95" w:type="dxa"/>
            </w:tcMar>
            <w:shd w:fill="FFFFFF"/>
          </w:tcPr>
          <w:p>
            <w:pPr>
              <w:spacing w:after="0" w:line="247" w:lineRule="auto"/>
            </w:pPr>
            <w:r>
              <w:rPr>
                <w:b w:val="0"/>
                <w:sz w:val="20"/>
              </w:rPr>
              <w:t>Variation in generation</w:t>
            </w:r>
          </w:p>
        </w:tc>
        <w:tc>
          <w:tcPr>
            <w:tcW w:type="dxa" w:w="3888"/>
            <w:vAlign w:val="center"/>
            <w:tcMar>
              <w:top w:w="85" w:type="dxa"/>
              <w:bottom w:w="85" w:type="dxa"/>
              <w:left w:w="95" w:type="dxa"/>
              <w:right w:w="95" w:type="dxa"/>
            </w:tcMar>
            <w:shd w:fill="FFFFFF"/>
          </w:tcPr>
          <w:p>
            <w:pPr>
              <w:spacing w:after="0" w:line="247" w:lineRule="auto"/>
            </w:pPr>
            <w:r>
              <w:rPr>
                <w:b w:val="0"/>
                <w:sz w:val="20"/>
              </w:rPr>
              <w:t>Confirm per task and provider</w:t>
            </w:r>
          </w:p>
        </w:tc>
      </w:tr>
      <w:tr>
        <w:trPr>
          <w:cantSplit/>
        </w:trPr>
        <w:tc>
          <w:tcPr>
            <w:tcW w:type="dxa" w:w="2376"/>
            <w:vAlign w:val="center"/>
            <w:tcMar>
              <w:top w:w="85" w:type="dxa"/>
              <w:bottom w:w="85" w:type="dxa"/>
              <w:left w:w="95" w:type="dxa"/>
              <w:right w:w="95" w:type="dxa"/>
            </w:tcMar>
            <w:shd w:fill="F2F5F8"/>
          </w:tcPr>
          <w:p>
            <w:pPr>
              <w:keepNext/>
              <w:spacing w:after="0" w:line="247" w:lineRule="auto"/>
            </w:pPr>
            <w:r>
              <w:rPr>
                <w:b w:val="0"/>
                <w:sz w:val="20"/>
              </w:rPr>
              <w:t>Generation top-p</w:t>
            </w:r>
          </w:p>
        </w:tc>
        <w:tc>
          <w:tcPr>
            <w:tcW w:type="dxa" w:w="3816"/>
            <w:vAlign w:val="center"/>
            <w:tcMar>
              <w:top w:w="85" w:type="dxa"/>
              <w:bottom w:w="85" w:type="dxa"/>
              <w:left w:w="95" w:type="dxa"/>
              <w:right w:w="95" w:type="dxa"/>
            </w:tcMar>
            <w:shd w:fill="F2F5F8"/>
          </w:tcPr>
          <w:p>
            <w:pPr>
              <w:keepNext/>
              <w:spacing w:after="0" w:line="247" w:lineRule="auto"/>
            </w:pPr>
            <w:r>
              <w:rPr>
                <w:b w:val="0"/>
                <w:sz w:val="20"/>
              </w:rPr>
              <w:t>Probability mass considered during token selection</w:t>
            </w:r>
          </w:p>
        </w:tc>
        <w:tc>
          <w:tcPr>
            <w:tcW w:type="dxa" w:w="3888"/>
            <w:vAlign w:val="center"/>
            <w:tcMar>
              <w:top w:w="85" w:type="dxa"/>
              <w:bottom w:w="85" w:type="dxa"/>
              <w:left w:w="95" w:type="dxa"/>
              <w:right w:w="95" w:type="dxa"/>
            </w:tcMar>
            <w:shd w:fill="F2F5F8"/>
          </w:tcPr>
          <w:p>
            <w:pPr>
              <w:keepNext/>
              <w:spacing w:after="0" w:line="247" w:lineRule="auto"/>
            </w:pPr>
            <w:r>
              <w:rPr>
                <w:b w:val="0"/>
                <w:sz w:val="20"/>
              </w:rPr>
              <w:t>Confirm support and configured values</w:t>
            </w:r>
          </w:p>
        </w:tc>
      </w:tr>
      <w:tr>
        <w:trPr>
          <w:cantSplit/>
        </w:trPr>
        <w:tc>
          <w:tcPr>
            <w:tcW w:type="dxa" w:w="2376"/>
            <w:vAlign w:val="center"/>
            <w:tcMar>
              <w:top w:w="85" w:type="dxa"/>
              <w:bottom w:w="85" w:type="dxa"/>
              <w:left w:w="95" w:type="dxa"/>
              <w:right w:w="95" w:type="dxa"/>
            </w:tcMar>
            <w:shd w:fill="FFFFFF"/>
          </w:tcPr>
          <w:p>
            <w:pPr>
              <w:keepNext/>
              <w:spacing w:after="0" w:line="247" w:lineRule="auto"/>
            </w:pPr>
            <w:r>
              <w:rPr>
                <w:b w:val="0"/>
                <w:sz w:val="20"/>
              </w:rPr>
              <w:t>Generation top-k</w:t>
            </w:r>
          </w:p>
        </w:tc>
        <w:tc>
          <w:tcPr>
            <w:tcW w:type="dxa" w:w="3816"/>
            <w:vAlign w:val="center"/>
            <w:tcMar>
              <w:top w:w="85" w:type="dxa"/>
              <w:bottom w:w="85" w:type="dxa"/>
              <w:left w:w="95" w:type="dxa"/>
              <w:right w:w="95" w:type="dxa"/>
            </w:tcMar>
            <w:shd w:fill="FFFFFF"/>
          </w:tcPr>
          <w:p>
            <w:pPr>
              <w:keepNext/>
              <w:spacing w:after="0" w:line="247" w:lineRule="auto"/>
            </w:pPr>
            <w:r>
              <w:rPr>
                <w:b w:val="0"/>
                <w:sz w:val="20"/>
              </w:rPr>
              <w:t>Candidate-token limit where supported</w:t>
            </w:r>
          </w:p>
        </w:tc>
        <w:tc>
          <w:tcPr>
            <w:tcW w:type="dxa" w:w="3888"/>
            <w:vAlign w:val="center"/>
            <w:tcMar>
              <w:top w:w="85" w:type="dxa"/>
              <w:bottom w:w="85" w:type="dxa"/>
              <w:left w:w="95" w:type="dxa"/>
              <w:right w:w="95" w:type="dxa"/>
            </w:tcMar>
            <w:shd w:fill="FFFFFF"/>
          </w:tcPr>
          <w:p>
            <w:pPr>
              <w:keepNext/>
              <w:spacing w:after="0" w:line="247" w:lineRule="auto"/>
            </w:pPr>
            <w:r>
              <w:rPr>
                <w:b w:val="0"/>
                <w:sz w:val="20"/>
              </w:rPr>
              <w:t>Distinct from retrieval top-k</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Output token limit</w:t>
            </w:r>
          </w:p>
        </w:tc>
        <w:tc>
          <w:tcPr>
            <w:tcW w:type="dxa" w:w="3816"/>
            <w:vAlign w:val="center"/>
            <w:tcMar>
              <w:top w:w="85" w:type="dxa"/>
              <w:bottom w:w="85" w:type="dxa"/>
              <w:left w:w="95" w:type="dxa"/>
              <w:right w:w="95" w:type="dxa"/>
            </w:tcMar>
            <w:shd w:fill="F2F5F8"/>
          </w:tcPr>
          <w:p>
            <w:pPr>
              <w:spacing w:after="0" w:line="247" w:lineRule="auto"/>
            </w:pPr>
            <w:r>
              <w:rPr>
                <w:b w:val="0"/>
                <w:sz w:val="20"/>
              </w:rPr>
              <w:t>Maximum generated response length</w:t>
            </w:r>
          </w:p>
        </w:tc>
        <w:tc>
          <w:tcPr>
            <w:tcW w:type="dxa" w:w="3888"/>
            <w:vAlign w:val="center"/>
            <w:tcMar>
              <w:top w:w="85" w:type="dxa"/>
              <w:bottom w:w="85" w:type="dxa"/>
              <w:left w:w="95" w:type="dxa"/>
              <w:right w:w="95" w:type="dxa"/>
            </w:tcMar>
            <w:shd w:fill="F2F5F8"/>
          </w:tcPr>
          <w:p>
            <w:pPr>
              <w:spacing w:after="0" w:line="247" w:lineRule="auto"/>
            </w:pPr>
            <w:r>
              <w:rPr>
                <w:b w:val="0"/>
                <w:sz w:val="20"/>
              </w:rPr>
              <w:t>Confirm per task and provider</w:t>
            </w:r>
          </w:p>
        </w:tc>
      </w:tr>
    </w:tbl>
    <w:p>
      <w:pPr>
        <w:spacing w:after="40" w:before="0" w:line="240" w:lineRule="auto"/>
      </w:pPr>
      <w:r>
        <w:rPr>
          <w:sz w:val="4"/>
        </w:rPr>
      </w:r>
    </w:p>
    <w:p>
      <w:pPr>
        <w:keepLines/>
        <w:widowControl/>
      </w:pPr>
      <w:r>
        <w:t>These settings are not necessarily uniform across chat, classification, summarization, vision, and transcription. The configuration inventory should show defaults, overrides, and which values the interface exposes.</w:t>
      </w:r>
    </w:p>
    <w:p>
      <w:pPr>
        <w:widowControl/>
      </w:pPr>
      <w:r>
        <w:t>Exposing advanced controls is a future design consideration. Changing chunking or embedding configuration can require reprocessing documents or rebuilding vectors, while generation settings affect future requests. Workspace caps and locally hosted Whisper are also future considerations, rather than features introduced by this guide.</w:t>
      </w:r>
    </w:p>
    <w:p>
      <w:pPr>
        <w:pStyle w:val="Heading1"/>
      </w:pPr>
      <w:r>
        <w:t>11 Voice and transcription</w:t>
      </w:r>
    </w:p>
    <w:p>
      <w:pPr>
        <w:keepLines/>
        <w:widowControl/>
      </w:pPr>
      <w:r>
        <w:t>Voice remains disabled until the operator configures a backend. The existing guide identifies Groq-hosted Whisper and Amazon Transcribe. A self-hosted Whisper option is under consideration and should not be presented as already implemented.</w:t>
      </w:r>
    </w:p>
    <w:p>
      <w:pPr>
        <w:widowControl/>
      </w:pPr>
      <w:r>
        <w:t>The browser captures microphone audio. A hosted transcription service processes that audio and returns text for the composer. Detection then reviews the transcript when it is sent, as it would typed text. Because audio reaches the transcription service first, text redaction does not protect the original audio before that transfer.</w:t>
      </w:r>
    </w:p>
    <w:p>
      <w:pPr>
        <w:widowControl/>
      </w:pPr>
      <w:r>
        <w:t>Groq Whisper is described as receiving audio uploads, including chunks used for a growing preview. Amazon Transcribe is described as providing a streaming path. Live text and a final transcription can differ.</w:t>
      </w:r>
    </w:p>
    <w:p>
      <w:pPr>
        <w:pStyle w:val="Heading2"/>
      </w:pPr>
      <w:r>
        <w:t>Browser connection and AWS processing</w:t>
      </w:r>
    </w:p>
    <w:p>
      <w:pPr>
        <w:keepLines/>
        <w:widowControl/>
      </w:pPr>
      <w:r>
        <w:t>A browser can stream audio directly to Transcribe over an authorized connection, or the application can relay it through a backend. In either case, AWS performs the transcription. “Streaming in the browser” does not mean the speech-recognition model runs on the user's device.</w:t>
      </w:r>
    </w:p>
    <w:p>
      <w:pPr>
        <w:widowControl/>
      </w:pPr>
      <w:r>
        <w:t>Confirm which path SecureMind uses, how the connection is authorized, and which runtime role needs permission. The source describes hosted Chromium support and a StartStreamTranscription permission; verify the transport-specific action and actual browser support rather than treating those as universal requirements.</w:t>
      </w:r>
    </w:p>
    <w:p>
      <w:pPr>
        <w:widowControl/>
      </w:pPr>
      <w:r>
        <w:t>Enabling Transcribe uses the operator's AWS account and can incur charges. Confirm the explicit enablement control, its interaction with the real-AWS gate, and whether transcription charges appear in Insights or the monthly cap. The audio waveform is not described as the stored chat message; temporary audio retention and cleanup still need verification.</w:t>
      </w:r>
    </w:p>
    <w:p>
      <w:pPr>
        <w:pStyle w:val="Heading1"/>
      </w:pPr>
      <w:r>
        <w:t>12 Cost estimates and monthly limits</w:t>
      </w:r>
    </w:p>
    <w:p>
      <w:pPr>
        <w:keepLines/>
        <w:widowControl/>
      </w:pPr>
      <w:r>
        <w:t>Cost estimates translate recorded token usage into an approximate charge. They support comparisons, reporting, and application-level spending limits. They do not query the provider's invoice or include all infrastructure, local hardware, storage, or transcription costs.</w:t>
      </w:r>
    </w:p>
    <w:p>
      <w:pPr>
        <w:pStyle w:val="Heading2"/>
      </w:pPr>
      <w:r>
        <w:t>Calculation</w:t>
      </w:r>
    </w:p>
    <w:p>
      <w:pPr>
        <w:keepLines/>
        <w:widowControl/>
      </w:pPr>
      <w:r>
        <w:t>Rates are expressed in USD per million tokens. Multiply input tokens by the input rate, add output tokens multiplied by the output rate, and divide the total by 1,000,000. This produces the raw inference estimate.</w:t>
      </w:r>
    </w:p>
    <w:p>
      <w:pPr>
        <w:widowControl/>
      </w:pPr>
      <w:r>
        <w:t>The documented estimator first uses an administrator's model-rate override where available, otherwise a maintained provider table, otherwise a fallback rate. For non-local calls, it adds 10 percent and rounds upward to the next $0.0001. Rate overrides apply to new events; they do not rewrite stored history.</w:t>
      </w:r>
    </w:p>
    <w:p>
      <w:pPr>
        <w:widowControl/>
      </w:pPr>
      <w:r>
        <w:t>Ollama is recorded as $0 in provider inference cost. This represents no metered vendor charge in that estimate, not free hardware or electricity.</w:t>
      </w:r>
    </w:p>
    <w:p>
      <w:pPr>
        <w:widowControl/>
      </w:pPr>
      <w:r>
        <w:t>The existing fallback uses input and output rates of $0.59 and $0.79 per million tokens. That is a configured fallback, not a guaranteed upper bound for an unknown model. Missing rates must remain visible, since an expensive unpriced model could still be underestimated.</w:t>
      </w:r>
    </w:p>
    <w:p>
      <w:pPr>
        <w:pStyle w:val="Heading2"/>
      </w:pPr>
      <w:r>
        <w:t>Worked example</w:t>
      </w:r>
    </w:p>
    <w:p>
      <w:pPr>
        <w:keepLines/>
        <w:widowControl/>
      </w:pPr>
      <w:r>
        <w:t>The example below uses illustrative rates to explain the arithmetic. It does not prescribe a provider, model assignment, or current vendor price. Both calculations use 1,000 input tokens and 500 output tokens.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2808"/>
        <w:gridCol w:w="2808"/>
      </w:tblGrid>
      <w:tr>
        <w:trPr>
          <w:cantSplit/>
          <w:tblHeader/>
        </w:trPr>
        <w:tc>
          <w:tcPr>
            <w:tcW w:type="dxa" w:w="4464"/>
            <w:vAlign w:val="center"/>
            <w:tcMar>
              <w:top w:w="85" w:type="dxa"/>
              <w:bottom w:w="85" w:type="dxa"/>
              <w:left w:w="95" w:type="dxa"/>
              <w:right w:w="95" w:type="dxa"/>
            </w:tcMar>
            <w:shd w:fill="24384B"/>
          </w:tcPr>
          <w:p>
            <w:pPr>
              <w:keepNext/>
              <w:spacing w:after="0" w:line="247" w:lineRule="auto"/>
            </w:pPr>
            <w:r>
              <w:rPr>
                <w:b/>
                <w:color w:val="FFFFFF"/>
                <w:sz w:val="20"/>
              </w:rPr>
              <w:t>Calculation</w:t>
            </w:r>
          </w:p>
        </w:tc>
        <w:tc>
          <w:tcPr>
            <w:tcW w:type="dxa" w:w="2808"/>
            <w:vAlign w:val="center"/>
            <w:tcMar>
              <w:top w:w="85" w:type="dxa"/>
              <w:bottom w:w="85" w:type="dxa"/>
              <w:left w:w="95" w:type="dxa"/>
              <w:right w:w="95" w:type="dxa"/>
            </w:tcMar>
            <w:shd w:fill="24384B"/>
          </w:tcPr>
          <w:p>
            <w:pPr>
              <w:keepNext/>
              <w:spacing w:after="0" w:line="247" w:lineRule="auto"/>
            </w:pPr>
            <w:r>
              <w:rPr>
                <w:b/>
                <w:color w:val="FFFFFF"/>
                <w:sz w:val="20"/>
              </w:rPr>
              <w:t>Selected model</w:t>
            </w:r>
          </w:p>
        </w:tc>
        <w:tc>
          <w:tcPr>
            <w:tcW w:type="dxa" w:w="2808"/>
            <w:vAlign w:val="center"/>
            <w:tcMar>
              <w:top w:w="85" w:type="dxa"/>
              <w:bottom w:w="85" w:type="dxa"/>
              <w:left w:w="95" w:type="dxa"/>
              <w:right w:w="95" w:type="dxa"/>
            </w:tcMar>
            <w:shd w:fill="24384B"/>
          </w:tcPr>
          <w:p>
            <w:pPr>
              <w:keepNext/>
              <w:spacing w:after="0" w:line="247" w:lineRule="auto"/>
            </w:pPr>
            <w:r>
              <w:rPr>
                <w:b/>
                <w:color w:val="FFFFFF"/>
                <w:sz w:val="20"/>
              </w:rPr>
              <w:t>Comparison baseline</w:t>
            </w:r>
          </w:p>
        </w:tc>
      </w:tr>
      <w:tr>
        <w:trPr>
          <w:cantSplit/>
        </w:trPr>
        <w:tc>
          <w:tcPr>
            <w:tcW w:type="dxa" w:w="4464"/>
            <w:vAlign w:val="center"/>
            <w:tcMar>
              <w:top w:w="85" w:type="dxa"/>
              <w:bottom w:w="85" w:type="dxa"/>
              <w:left w:w="95" w:type="dxa"/>
              <w:right w:w="95" w:type="dxa"/>
            </w:tcMar>
            <w:shd w:fill="FFFFFF"/>
          </w:tcPr>
          <w:p>
            <w:pPr>
              <w:spacing w:after="0" w:line="247" w:lineRule="auto"/>
            </w:pPr>
            <w:r>
              <w:rPr>
                <w:b w:val="0"/>
                <w:sz w:val="20"/>
              </w:rPr>
              <w:t>Input rate per million tokens</w:t>
            </w:r>
          </w:p>
        </w:tc>
        <w:tc>
          <w:tcPr>
            <w:tcW w:type="dxa" w:w="2808"/>
            <w:vAlign w:val="center"/>
            <w:tcMar>
              <w:top w:w="85" w:type="dxa"/>
              <w:bottom w:w="85" w:type="dxa"/>
              <w:left w:w="95" w:type="dxa"/>
              <w:right w:w="95" w:type="dxa"/>
            </w:tcMar>
            <w:shd w:fill="FFFFFF"/>
          </w:tcPr>
          <w:p>
            <w:pPr>
              <w:spacing w:after="0" w:line="247" w:lineRule="auto"/>
            </w:pPr>
            <w:r>
              <w:rPr>
                <w:b w:val="0"/>
                <w:sz w:val="20"/>
              </w:rPr>
              <w:t>$0.15</w:t>
            </w:r>
          </w:p>
        </w:tc>
        <w:tc>
          <w:tcPr>
            <w:tcW w:type="dxa" w:w="2808"/>
            <w:vAlign w:val="center"/>
            <w:tcMar>
              <w:top w:w="85" w:type="dxa"/>
              <w:bottom w:w="85" w:type="dxa"/>
              <w:left w:w="95" w:type="dxa"/>
              <w:right w:w="95" w:type="dxa"/>
            </w:tcMar>
            <w:shd w:fill="FFFFFF"/>
          </w:tcPr>
          <w:p>
            <w:pPr>
              <w:spacing w:after="0" w:line="247" w:lineRule="auto"/>
            </w:pPr>
            <w:r>
              <w:rPr>
                <w:b w:val="0"/>
                <w:sz w:val="20"/>
              </w:rPr>
              <w:t>$0.59</w:t>
            </w:r>
          </w:p>
        </w:tc>
      </w:tr>
      <w:tr>
        <w:trPr>
          <w:cantSplit/>
        </w:trPr>
        <w:tc>
          <w:tcPr>
            <w:tcW w:type="dxa" w:w="4464"/>
            <w:vAlign w:val="center"/>
            <w:tcMar>
              <w:top w:w="85" w:type="dxa"/>
              <w:bottom w:w="85" w:type="dxa"/>
              <w:left w:w="95" w:type="dxa"/>
              <w:right w:w="95" w:type="dxa"/>
            </w:tcMar>
            <w:shd w:fill="F2F5F8"/>
          </w:tcPr>
          <w:p>
            <w:pPr>
              <w:spacing w:after="0" w:line="247" w:lineRule="auto"/>
            </w:pPr>
            <w:r>
              <w:rPr>
                <w:b w:val="0"/>
                <w:sz w:val="20"/>
              </w:rPr>
              <w:t>Output rate per million tokens</w:t>
            </w:r>
          </w:p>
        </w:tc>
        <w:tc>
          <w:tcPr>
            <w:tcW w:type="dxa" w:w="2808"/>
            <w:vAlign w:val="center"/>
            <w:tcMar>
              <w:top w:w="85" w:type="dxa"/>
              <w:bottom w:w="85" w:type="dxa"/>
              <w:left w:w="95" w:type="dxa"/>
              <w:right w:w="95" w:type="dxa"/>
            </w:tcMar>
            <w:shd w:fill="F2F5F8"/>
          </w:tcPr>
          <w:p>
            <w:pPr>
              <w:spacing w:after="0" w:line="247" w:lineRule="auto"/>
            </w:pPr>
            <w:r>
              <w:rPr>
                <w:b w:val="0"/>
                <w:sz w:val="20"/>
              </w:rPr>
              <w:t>$0.60</w:t>
            </w:r>
          </w:p>
        </w:tc>
        <w:tc>
          <w:tcPr>
            <w:tcW w:type="dxa" w:w="2808"/>
            <w:vAlign w:val="center"/>
            <w:tcMar>
              <w:top w:w="85" w:type="dxa"/>
              <w:bottom w:w="85" w:type="dxa"/>
              <w:left w:w="95" w:type="dxa"/>
              <w:right w:w="95" w:type="dxa"/>
            </w:tcMar>
            <w:shd w:fill="F2F5F8"/>
          </w:tcPr>
          <w:p>
            <w:pPr>
              <w:spacing w:after="0" w:line="247" w:lineRule="auto"/>
            </w:pPr>
            <w:r>
              <w:rPr>
                <w:b w:val="0"/>
                <w:sz w:val="20"/>
              </w:rPr>
              <w:t>$0.79</w:t>
            </w:r>
          </w:p>
        </w:tc>
      </w:tr>
      <w:tr>
        <w:trPr>
          <w:cantSplit/>
        </w:trPr>
        <w:tc>
          <w:tcPr>
            <w:tcW w:type="dxa" w:w="4464"/>
            <w:vAlign w:val="center"/>
            <w:tcMar>
              <w:top w:w="85" w:type="dxa"/>
              <w:bottom w:w="85" w:type="dxa"/>
              <w:left w:w="95" w:type="dxa"/>
              <w:right w:w="95" w:type="dxa"/>
            </w:tcMar>
            <w:shd w:fill="FFFFFF"/>
          </w:tcPr>
          <w:p>
            <w:pPr>
              <w:keepNext/>
              <w:spacing w:after="0" w:line="247" w:lineRule="auto"/>
            </w:pPr>
            <w:r>
              <w:rPr>
                <w:b w:val="0"/>
                <w:sz w:val="20"/>
              </w:rPr>
              <w:t>Raw cost</w:t>
            </w:r>
          </w:p>
        </w:tc>
        <w:tc>
          <w:tcPr>
            <w:tcW w:type="dxa" w:w="2808"/>
            <w:vAlign w:val="center"/>
            <w:tcMar>
              <w:top w:w="85" w:type="dxa"/>
              <w:bottom w:w="85" w:type="dxa"/>
              <w:left w:w="95" w:type="dxa"/>
              <w:right w:w="95" w:type="dxa"/>
            </w:tcMar>
            <w:shd w:fill="FFFFFF"/>
          </w:tcPr>
          <w:p>
            <w:pPr>
              <w:keepNext/>
              <w:spacing w:after="0" w:line="247" w:lineRule="auto"/>
            </w:pPr>
            <w:r>
              <w:rPr>
                <w:b w:val="0"/>
                <w:sz w:val="20"/>
              </w:rPr>
              <w:t>$0.000450</w:t>
            </w:r>
          </w:p>
        </w:tc>
        <w:tc>
          <w:tcPr>
            <w:tcW w:type="dxa" w:w="2808"/>
            <w:vAlign w:val="center"/>
            <w:tcMar>
              <w:top w:w="85" w:type="dxa"/>
              <w:bottom w:w="85" w:type="dxa"/>
              <w:left w:w="95" w:type="dxa"/>
              <w:right w:w="95" w:type="dxa"/>
            </w:tcMar>
            <w:shd w:fill="FFFFFF"/>
          </w:tcPr>
          <w:p>
            <w:pPr>
              <w:keepNext/>
              <w:spacing w:after="0" w:line="247" w:lineRule="auto"/>
            </w:pPr>
            <w:r>
              <w:rPr>
                <w:b w:val="0"/>
                <w:sz w:val="20"/>
              </w:rPr>
              <w:t>$0.000985</w:t>
            </w:r>
          </w:p>
        </w:tc>
      </w:tr>
      <w:tr>
        <w:trPr>
          <w:cantSplit/>
        </w:trPr>
        <w:tc>
          <w:tcPr>
            <w:tcW w:type="dxa" w:w="4464"/>
            <w:vAlign w:val="center"/>
            <w:tcMar>
              <w:top w:w="85" w:type="dxa"/>
              <w:bottom w:w="85" w:type="dxa"/>
              <w:left w:w="95" w:type="dxa"/>
              <w:right w:w="95" w:type="dxa"/>
            </w:tcMar>
            <w:shd w:fill="F2F5F8"/>
          </w:tcPr>
          <w:p>
            <w:pPr>
              <w:keepNext/>
              <w:spacing w:after="0" w:line="247" w:lineRule="auto"/>
            </w:pPr>
            <w:r>
              <w:rPr>
                <w:b w:val="0"/>
                <w:sz w:val="20"/>
              </w:rPr>
              <w:t>After 10 percent uplift</w:t>
            </w:r>
          </w:p>
        </w:tc>
        <w:tc>
          <w:tcPr>
            <w:tcW w:type="dxa" w:w="2808"/>
            <w:vAlign w:val="center"/>
            <w:tcMar>
              <w:top w:w="85" w:type="dxa"/>
              <w:bottom w:w="85" w:type="dxa"/>
              <w:left w:w="95" w:type="dxa"/>
              <w:right w:w="95" w:type="dxa"/>
            </w:tcMar>
            <w:shd w:fill="F2F5F8"/>
          </w:tcPr>
          <w:p>
            <w:pPr>
              <w:keepNext/>
              <w:spacing w:after="0" w:line="247" w:lineRule="auto"/>
            </w:pPr>
            <w:r>
              <w:rPr>
                <w:b w:val="0"/>
                <w:sz w:val="20"/>
              </w:rPr>
              <w:t>$0.000495</w:t>
            </w:r>
          </w:p>
        </w:tc>
        <w:tc>
          <w:tcPr>
            <w:tcW w:type="dxa" w:w="2808"/>
            <w:vAlign w:val="center"/>
            <w:tcMar>
              <w:top w:w="85" w:type="dxa"/>
              <w:bottom w:w="85" w:type="dxa"/>
              <w:left w:w="95" w:type="dxa"/>
              <w:right w:w="95" w:type="dxa"/>
            </w:tcMar>
            <w:shd w:fill="F2F5F8"/>
          </w:tcPr>
          <w:p>
            <w:pPr>
              <w:keepNext/>
              <w:spacing w:after="0" w:line="247" w:lineRule="auto"/>
            </w:pPr>
            <w:r>
              <w:rPr>
                <w:b w:val="0"/>
                <w:sz w:val="20"/>
              </w:rPr>
              <w:t>$0.0010835</w:t>
            </w:r>
          </w:p>
        </w:tc>
      </w:tr>
      <w:tr>
        <w:trPr>
          <w:cantSplit/>
        </w:trPr>
        <w:tc>
          <w:tcPr>
            <w:tcW w:type="dxa" w:w="4464"/>
            <w:vAlign w:val="center"/>
            <w:tcMar>
              <w:top w:w="85" w:type="dxa"/>
              <w:bottom w:w="85" w:type="dxa"/>
              <w:left w:w="95" w:type="dxa"/>
              <w:right w:w="95" w:type="dxa"/>
            </w:tcMar>
            <w:shd w:fill="FFFFFF"/>
          </w:tcPr>
          <w:p>
            <w:pPr>
              <w:spacing w:after="0" w:line="247" w:lineRule="auto"/>
            </w:pPr>
            <w:r>
              <w:rPr>
                <w:b w:val="0"/>
                <w:sz w:val="20"/>
              </w:rPr>
              <w:t>After rounding upward</w:t>
            </w:r>
          </w:p>
        </w:tc>
        <w:tc>
          <w:tcPr>
            <w:tcW w:type="dxa" w:w="2808"/>
            <w:vAlign w:val="center"/>
            <w:tcMar>
              <w:top w:w="85" w:type="dxa"/>
              <w:bottom w:w="85" w:type="dxa"/>
              <w:left w:w="95" w:type="dxa"/>
              <w:right w:w="95" w:type="dxa"/>
            </w:tcMar>
            <w:shd w:fill="FFFFFF"/>
          </w:tcPr>
          <w:p>
            <w:pPr>
              <w:spacing w:after="0" w:line="247" w:lineRule="auto"/>
            </w:pPr>
            <w:r>
              <w:rPr>
                <w:b w:val="0"/>
                <w:sz w:val="20"/>
              </w:rPr>
              <w:t>$0.0005</w:t>
            </w:r>
          </w:p>
        </w:tc>
        <w:tc>
          <w:tcPr>
            <w:tcW w:type="dxa" w:w="2808"/>
            <w:vAlign w:val="center"/>
            <w:tcMar>
              <w:top w:w="85" w:type="dxa"/>
              <w:bottom w:w="85" w:type="dxa"/>
              <w:left w:w="95" w:type="dxa"/>
              <w:right w:w="95" w:type="dxa"/>
            </w:tcMar>
            <w:shd w:fill="FFFFFF"/>
          </w:tcPr>
          <w:p>
            <w:pPr>
              <w:spacing w:after="0" w:line="247" w:lineRule="auto"/>
            </w:pPr>
            <w:r>
              <w:rPr>
                <w:b w:val="0"/>
                <w:sz w:val="20"/>
              </w:rPr>
              <w:t>$0.0011</w:t>
            </w:r>
          </w:p>
        </w:tc>
      </w:tr>
    </w:tbl>
    <w:p>
      <w:pPr>
        <w:spacing w:after="40" w:before="0" w:line="240" w:lineRule="auto"/>
      </w:pPr>
      <w:r>
        <w:rPr>
          <w:sz w:val="4"/>
        </w:rPr>
      </w:r>
    </w:p>
    <w:p>
      <w:pPr>
        <w:widowControl/>
      </w:pPr>
      <w:r>
        <w:t>The difference is $0.0006 for this example. A baseline is a comparison model, separate from the chat model and the fallback model. It estimates what those token counts would cost at the baseline's rates; it is not a measurement of an actual alternative response.</w:t>
      </w:r>
    </w:p>
    <w:p>
      <w:pPr>
        <w:widowControl/>
      </w:pPr>
      <w:r>
        <w:t>The intended interface lets the user select a baseline and see savings or additional spend. The existing guide instead describes a fixed baseline and savings clamped to zero. Confirm the selectable baseline, persistence, historical recalculation, and signed difference. A positive baseline-minus-actual value represents estimated savings; a negative value represents additional estimated spend.</w:t>
      </w:r>
    </w:p>
    <w:p>
      <w:pPr>
        <w:pStyle w:val="Heading2"/>
      </w:pPr>
      <w:r>
        <w:t>Monthly cap behaviour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cantSplit/>
          <w:tblHeader/>
        </w:trPr>
        <w:tc>
          <w:tcPr>
            <w:tcW w:type="dxa" w:w="3312"/>
            <w:vAlign w:val="center"/>
            <w:tcMar>
              <w:top w:w="85" w:type="dxa"/>
              <w:bottom w:w="85" w:type="dxa"/>
              <w:left w:w="95" w:type="dxa"/>
              <w:right w:w="95" w:type="dxa"/>
            </w:tcMar>
            <w:shd w:fill="24384B"/>
          </w:tcPr>
          <w:p>
            <w:pPr>
              <w:keepNext/>
              <w:spacing w:after="0" w:line="247" w:lineRule="auto"/>
            </w:pPr>
            <w:r>
              <w:rPr>
                <w:b/>
                <w:color w:val="FFFFFF"/>
                <w:sz w:val="20"/>
              </w:rPr>
              <w:t>Rule</w:t>
            </w:r>
          </w:p>
        </w:tc>
        <w:tc>
          <w:tcPr>
            <w:tcW w:type="dxa" w:w="6768"/>
            <w:vAlign w:val="center"/>
            <w:tcMar>
              <w:top w:w="85" w:type="dxa"/>
              <w:bottom w:w="85" w:type="dxa"/>
              <w:left w:w="95" w:type="dxa"/>
              <w:right w:w="95" w:type="dxa"/>
            </w:tcMar>
            <w:shd w:fill="24384B"/>
          </w:tcPr>
          <w:p>
            <w:pPr>
              <w:keepNext/>
              <w:spacing w:after="0" w:line="247" w:lineRule="auto"/>
            </w:pPr>
            <w:r>
              <w:rPr>
                <w:b/>
                <w:color w:val="FFFFFF"/>
                <w:sz w:val="20"/>
              </w:rPr>
              <w:t>Documented behaviour</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Scope</w:t>
            </w:r>
          </w:p>
        </w:tc>
        <w:tc>
          <w:tcPr>
            <w:tcW w:type="dxa" w:w="6768"/>
            <w:vAlign w:val="center"/>
            <w:tcMar>
              <w:top w:w="85" w:type="dxa"/>
              <w:bottom w:w="85" w:type="dxa"/>
              <w:left w:w="95" w:type="dxa"/>
              <w:right w:w="95" w:type="dxa"/>
            </w:tcMar>
            <w:shd w:fill="FFFFFF"/>
          </w:tcPr>
          <w:p>
            <w:pPr>
              <w:spacing w:after="0" w:line="247" w:lineRule="auto"/>
            </w:pPr>
            <w:r>
              <w:rPr>
                <w:b w:val="0"/>
                <w:sz w:val="20"/>
              </w:rPr>
              <w:t>Per user, summed from stored inference estimates</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Period</w:t>
            </w:r>
          </w:p>
        </w:tc>
        <w:tc>
          <w:tcPr>
            <w:tcW w:type="dxa" w:w="6768"/>
            <w:vAlign w:val="center"/>
            <w:tcMar>
              <w:top w:w="85" w:type="dxa"/>
              <w:bottom w:w="85" w:type="dxa"/>
              <w:left w:w="95" w:type="dxa"/>
              <w:right w:w="95" w:type="dxa"/>
            </w:tcMar>
            <w:shd w:fill="F2F5F8"/>
          </w:tcPr>
          <w:p>
            <w:pPr>
              <w:spacing w:after="0" w:line="247" w:lineRule="auto"/>
            </w:pPr>
            <w:r>
              <w:rPr>
                <w:b w:val="0"/>
                <w:sz w:val="20"/>
              </w:rPr>
              <w:t>Current UTC calendar month, starting at 00:00 UTC on day one</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Default</w:t>
            </w:r>
          </w:p>
        </w:tc>
        <w:tc>
          <w:tcPr>
            <w:tcW w:type="dxa" w:w="6768"/>
            <w:vAlign w:val="center"/>
            <w:tcMar>
              <w:top w:w="85" w:type="dxa"/>
              <w:bottom w:w="85" w:type="dxa"/>
              <w:left w:w="95" w:type="dxa"/>
              <w:right w:w="95" w:type="dxa"/>
            </w:tcMar>
            <w:shd w:fill="FFFFFF"/>
          </w:tcPr>
          <w:p>
            <w:pPr>
              <w:spacing w:after="0" w:line="247" w:lineRule="auto"/>
            </w:pPr>
            <w:r>
              <w:rPr>
                <w:b w:val="0"/>
                <w:sz w:val="20"/>
              </w:rPr>
              <w:t>$10, subject to profile and installation configuration</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Unlimited</w:t>
            </w:r>
          </w:p>
        </w:tc>
        <w:tc>
          <w:tcPr>
            <w:tcW w:type="dxa" w:w="6768"/>
            <w:vAlign w:val="center"/>
            <w:tcMar>
              <w:top w:w="85" w:type="dxa"/>
              <w:bottom w:w="85" w:type="dxa"/>
              <w:left w:w="95" w:type="dxa"/>
              <w:right w:w="95" w:type="dxa"/>
            </w:tcMar>
            <w:shd w:fill="F2F5F8"/>
          </w:tcPr>
          <w:p>
            <w:pPr>
              <w:spacing w:after="0" w:line="247" w:lineRule="auto"/>
            </w:pPr>
            <w:r>
              <w:rPr>
                <w:b w:val="0"/>
                <w:sz w:val="20"/>
              </w:rPr>
              <w:t>A null cap; separate from a numeric maximum</w:t>
            </w:r>
          </w:p>
        </w:tc>
      </w:tr>
      <w:tr>
        <w:trPr>
          <w:cantSplit/>
        </w:trPr>
        <w:tc>
          <w:tcPr>
            <w:tcW w:type="dxa" w:w="3312"/>
            <w:vAlign w:val="center"/>
            <w:tcMar>
              <w:top w:w="85" w:type="dxa"/>
              <w:bottom w:w="85" w:type="dxa"/>
              <w:left w:w="95" w:type="dxa"/>
              <w:right w:w="95" w:type="dxa"/>
            </w:tcMar>
            <w:shd w:fill="FFFFFF"/>
          </w:tcPr>
          <w:p>
            <w:pPr>
              <w:spacing w:after="0" w:line="247" w:lineRule="auto"/>
            </w:pPr>
            <w:r>
              <w:rPr>
                <w:b w:val="0"/>
                <w:sz w:val="20"/>
              </w:rPr>
              <w:t>Largest accepted numeric cap</w:t>
            </w:r>
          </w:p>
        </w:tc>
        <w:tc>
          <w:tcPr>
            <w:tcW w:type="dxa" w:w="6768"/>
            <w:vAlign w:val="center"/>
            <w:tcMar>
              <w:top w:w="85" w:type="dxa"/>
              <w:bottom w:w="85" w:type="dxa"/>
              <w:left w:w="95" w:type="dxa"/>
              <w:right w:w="95" w:type="dxa"/>
            </w:tcMar>
            <w:shd w:fill="FFFFFF"/>
          </w:tcPr>
          <w:p>
            <w:pPr>
              <w:spacing w:after="0" w:line="247" w:lineRule="auto"/>
            </w:pPr>
            <w:r>
              <w:rPr>
                <w:b w:val="0"/>
                <w:sz w:val="20"/>
              </w:rPr>
              <w:t>$100,000, with up to two decimal places</w:t>
            </w:r>
          </w:p>
        </w:tc>
      </w:tr>
      <w:tr>
        <w:trPr>
          <w:cantSplit/>
        </w:trPr>
        <w:tc>
          <w:tcPr>
            <w:tcW w:type="dxa" w:w="3312"/>
            <w:vAlign w:val="center"/>
            <w:tcMar>
              <w:top w:w="85" w:type="dxa"/>
              <w:bottom w:w="85" w:type="dxa"/>
              <w:left w:w="95" w:type="dxa"/>
              <w:right w:w="95" w:type="dxa"/>
            </w:tcMar>
            <w:shd w:fill="F2F5F8"/>
          </w:tcPr>
          <w:p>
            <w:pPr>
              <w:keepNext/>
              <w:spacing w:after="0" w:line="247" w:lineRule="auto"/>
            </w:pPr>
            <w:r>
              <w:rPr>
                <w:b w:val="0"/>
                <w:sz w:val="20"/>
              </w:rPr>
              <w:t>Warnings</w:t>
            </w:r>
          </w:p>
        </w:tc>
        <w:tc>
          <w:tcPr>
            <w:tcW w:type="dxa" w:w="6768"/>
            <w:vAlign w:val="center"/>
            <w:tcMar>
              <w:top w:w="85" w:type="dxa"/>
              <w:bottom w:w="85" w:type="dxa"/>
              <w:left w:w="95" w:type="dxa"/>
              <w:right w:w="95" w:type="dxa"/>
            </w:tcMar>
            <w:shd w:fill="F2F5F8"/>
          </w:tcPr>
          <w:p>
            <w:pPr>
              <w:keepNext/>
              <w:spacing w:after="0" w:line="247" w:lineRule="auto"/>
            </w:pPr>
            <w:r>
              <w:rPr>
                <w:b w:val="0"/>
                <w:sz w:val="20"/>
              </w:rPr>
              <w:t>At 50 percent and 80 percent of the cap</w:t>
            </w:r>
          </w:p>
        </w:tc>
      </w:tr>
      <w:tr>
        <w:trPr>
          <w:cantSplit/>
        </w:trPr>
        <w:tc>
          <w:tcPr>
            <w:tcW w:type="dxa" w:w="3312"/>
            <w:vAlign w:val="center"/>
            <w:tcMar>
              <w:top w:w="85" w:type="dxa"/>
              <w:bottom w:w="85" w:type="dxa"/>
              <w:left w:w="95" w:type="dxa"/>
              <w:right w:w="95" w:type="dxa"/>
            </w:tcMar>
            <w:shd w:fill="FFFFFF"/>
          </w:tcPr>
          <w:p>
            <w:pPr>
              <w:keepNext/>
              <w:spacing w:after="0" w:line="247" w:lineRule="auto"/>
            </w:pPr>
            <w:r>
              <w:rPr>
                <w:b w:val="0"/>
                <w:sz w:val="20"/>
              </w:rPr>
              <w:t>Blocking</w:t>
            </w:r>
          </w:p>
        </w:tc>
        <w:tc>
          <w:tcPr>
            <w:tcW w:type="dxa" w:w="6768"/>
            <w:vAlign w:val="center"/>
            <w:tcMar>
              <w:top w:w="85" w:type="dxa"/>
              <w:bottom w:w="85" w:type="dxa"/>
              <w:left w:w="95" w:type="dxa"/>
              <w:right w:w="95" w:type="dxa"/>
            </w:tcMar>
            <w:shd w:fill="FFFFFF"/>
          </w:tcPr>
          <w:p>
            <w:pPr>
              <w:keepNext/>
              <w:spacing w:after="0" w:line="247" w:lineRule="auto"/>
            </w:pPr>
            <w:r>
              <w:rPr>
                <w:b w:val="0"/>
                <w:sz w:val="20"/>
              </w:rPr>
              <w:t>HTTP 402 before a billable chat call when already at the cap</w:t>
            </w:r>
          </w:p>
        </w:tc>
      </w:tr>
      <w:tr>
        <w:trPr>
          <w:cantSplit/>
        </w:trPr>
        <w:tc>
          <w:tcPr>
            <w:tcW w:type="dxa" w:w="3312"/>
            <w:vAlign w:val="center"/>
            <w:tcMar>
              <w:top w:w="85" w:type="dxa"/>
              <w:bottom w:w="85" w:type="dxa"/>
              <w:left w:w="95" w:type="dxa"/>
              <w:right w:w="95" w:type="dxa"/>
            </w:tcMar>
            <w:shd w:fill="F2F5F8"/>
          </w:tcPr>
          <w:p>
            <w:pPr>
              <w:spacing w:after="0" w:line="247" w:lineRule="auto"/>
            </w:pPr>
            <w:r>
              <w:rPr>
                <w:b w:val="0"/>
                <w:sz w:val="20"/>
              </w:rPr>
              <w:t>Local Ollama</w:t>
            </w:r>
          </w:p>
        </w:tc>
        <w:tc>
          <w:tcPr>
            <w:tcW w:type="dxa" w:w="6768"/>
            <w:vAlign w:val="center"/>
            <w:tcMar>
              <w:top w:w="85" w:type="dxa"/>
              <w:bottom w:w="85" w:type="dxa"/>
              <w:left w:w="95" w:type="dxa"/>
              <w:right w:w="95" w:type="dxa"/>
            </w:tcMar>
            <w:shd w:fill="F2F5F8"/>
          </w:tcPr>
          <w:p>
            <w:pPr>
              <w:spacing w:after="0" w:line="247" w:lineRule="auto"/>
            </w:pPr>
            <w:r>
              <w:rPr>
                <w:b w:val="0"/>
                <w:sz w:val="20"/>
              </w:rPr>
              <w:t>Excluded from the billable-chat cap</w:t>
            </w:r>
          </w:p>
        </w:tc>
      </w:tr>
    </w:tbl>
    <w:p>
      <w:pPr>
        <w:spacing w:after="40" w:before="0" w:line="240" w:lineRule="auto"/>
      </w:pPr>
      <w:r>
        <w:rPr>
          <w:sz w:val="4"/>
        </w:rPr>
      </w:r>
    </w:p>
    <w:p>
      <w:pPr>
        <w:keepLines/>
        <w:widowControl/>
      </w:pPr>
      <w:r>
        <w:t>The source describes a local owner without a profile as unlimited, while other missing profiles use the instance default. Administrators can raise caps. Confirm the UI and backend agree on these defaults.</w:t>
      </w:r>
    </w:p>
    <w:p>
      <w:pPr>
        <w:widowControl/>
      </w:pPr>
      <w:r>
        <w:t>A pre-call check does not establish a strict dollar ceiling: the next request can take the estimate over the cap, and concurrent requests may pass together. Verify handling of in-flight calls and which background, image, embedding, and transcription operations are counted. The application cap cannot guarantee the provider's final invoice.</w:t>
      </w:r>
    </w:p>
    <w:p>
      <w:pPr>
        <w:pStyle w:val="Heading1"/>
      </w:pPr>
      <w:r>
        <w:t>13 Insights</w:t>
      </w:r>
    </w:p>
    <w:p>
      <w:pPr>
        <w:keepLines/>
        <w:widowControl/>
      </w:pPr>
      <w:r>
        <w:t>Insights presents Models, Cost, and Security alongside the conversation. The selected workspace and date range determine the view. The documented ranges are Today, Weekly, Monthly, and All time.</w:t>
      </w:r>
    </w:p>
    <w:p>
      <w:pPr>
        <w:widowControl/>
      </w:pPr>
      <w:r>
        <w:t>The blue number beside a tier is described as the count of replies assigned to that tier, rather than all calls to a particular model. Provider chips are described as counts of assignable models from that provider. Verify the displayed labels and count logic so readers do not confuse availability with usage.</w:t>
      </w:r>
    </w:p>
    <w:p>
      <w:pPr>
        <w:widowControl/>
      </w:pPr>
      <w:r>
        <w:t>Usage records identify the model and tier that ran, token counts, grounding status, and success or failure. Cost views aggregate recorded estimates by time, model, workspace, and input versus output. Confirm whether supporting model calls are represented separately.</w:t>
      </w:r>
    </w:p>
    <w:p>
      <w:pPr>
        <w:widowControl/>
      </w:pPr>
      <w:r>
        <w:t>Security views group detection findings by category, source, and outcome. A coarse risk level reflects the detected category. These findings describe what detection flagged; they do not constitute a vulnerability scan or a complete measure of sensitive information leaving the system.</w:t>
      </w:r>
    </w:p>
    <w:p>
      <w:pPr>
        <w:widowControl/>
      </w:pPr>
      <w:r>
        <w:t>Administrators can access installation totals and per-user Usage, Cost, and Security views from the directory. The guide describes those views as excluding raw prompts and raw matched sensitive values. Verify the API responses as well as what is visible on screen.</w:t>
      </w:r>
    </w:p>
    <w:p>
      <w:pPr>
        <w:pStyle w:val="Heading1"/>
      </w:pPr>
      <w:r>
        <w:t>14 People and personal settings</w:t>
      </w:r>
    </w:p>
    <w:p>
      <w:pPr>
        <w:keepLines/>
        <w:widowControl/>
      </w:pPr>
      <w:r>
        <w:t>The documented hosted roles are Owner, Admin, and Member. Initial setup claims the first account through the setup flow; administrators subsequently create accounts, assign roles, set passwords, and suspend access. Removing an account's ability to sign in is not the same as deleting its history, documents, or retained files.</w:t>
      </w:r>
    </w:p>
    <w:p>
      <w:pPr>
        <w:widowControl/>
      </w:pPr>
      <w:r>
        <w:t>My Profile contains a display name, description, and avatar. Password changes and password recovery use Cognito where it is the authentication service. Recovery responses should avoid revealing whether an email address exists.</w:t>
      </w:r>
    </w:p>
    <w:p>
      <w:pPr>
        <w:widowControl/>
      </w:pPr>
      <w:r>
        <w:t>Workspace emojis identify workspaces in the sidebar. Composer emojis are ordinary characters inserted into a draft. Profile avatars are a separate setting, using a preset glyph or a cropped JPEG or PNG. The documented avatar route serves private images to authenticated sessions; access scoping and storage require verification.</w:t>
      </w:r>
    </w:p>
    <w:p>
      <w:pPr>
        <w:widowControl/>
      </w:pPr>
      <w:r>
        <w:t>Light and dark themes are described as device settings, with Dark as the initial choice and sm_theme as the saved browser key. Collapsing the composer status indicators is also described as a device preference. Neither setting is described as synchronizing across browsers.</w:t>
      </w:r>
    </w:p>
    <w:p>
      <w:pPr>
        <w:widowControl/>
      </w:pPr>
      <w:r>
        <w:t>The administrator directory shows each user's email, role, sign-in status, and month-to-date estimate against the cap. Its centralized Insights view covers the installation; a drill-down scopes the same reporting categories to a member.</w:t>
      </w:r>
    </w:p>
    <w:p>
      <w:pPr>
        <w:pStyle w:val="Heading1"/>
      </w:pPr>
      <w:r>
        <w:t>15 Storage and security boundaries</w:t>
      </w:r>
    </w:p>
    <w:p>
      <w:pPr>
        <w:pStyle w:val="Heading2"/>
      </w:pPr>
      <w:r>
        <w:t>Data locations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3888"/>
      </w:tblGrid>
      <w:tr>
        <w:trPr>
          <w:cantSplit/>
          <w:tblHeader/>
        </w:trPr>
        <w:tc>
          <w:tcPr>
            <w:tcW w:type="dxa" w:w="2376"/>
            <w:vAlign w:val="center"/>
            <w:tcMar>
              <w:top w:w="85" w:type="dxa"/>
              <w:bottom w:w="85" w:type="dxa"/>
              <w:left w:w="95" w:type="dxa"/>
              <w:right w:w="95" w:type="dxa"/>
            </w:tcMar>
            <w:shd w:fill="24384B"/>
          </w:tcPr>
          <w:p>
            <w:pPr>
              <w:keepNext/>
              <w:spacing w:after="0" w:line="247" w:lineRule="auto"/>
            </w:pPr>
            <w:r>
              <w:rPr>
                <w:b/>
                <w:color w:val="FFFFFF"/>
                <w:sz w:val="20"/>
              </w:rPr>
              <w:t>Data</w:t>
            </w:r>
          </w:p>
        </w:tc>
        <w:tc>
          <w:tcPr>
            <w:tcW w:type="dxa" w:w="3816"/>
            <w:vAlign w:val="center"/>
            <w:tcMar>
              <w:top w:w="85" w:type="dxa"/>
              <w:bottom w:w="85" w:type="dxa"/>
              <w:left w:w="95" w:type="dxa"/>
              <w:right w:w="95" w:type="dxa"/>
            </w:tcMar>
            <w:shd w:fill="24384B"/>
          </w:tcPr>
          <w:p>
            <w:pPr>
              <w:keepNext/>
              <w:spacing w:after="0" w:line="247" w:lineRule="auto"/>
            </w:pPr>
            <w:r>
              <w:rPr>
                <w:b/>
                <w:color w:val="FFFFFF"/>
                <w:sz w:val="20"/>
              </w:rPr>
              <w:t>Documented local location</w:t>
            </w:r>
          </w:p>
        </w:tc>
        <w:tc>
          <w:tcPr>
            <w:tcW w:type="dxa" w:w="3888"/>
            <w:vAlign w:val="center"/>
            <w:tcMar>
              <w:top w:w="85" w:type="dxa"/>
              <w:bottom w:w="85" w:type="dxa"/>
              <w:left w:w="95" w:type="dxa"/>
              <w:right w:w="95" w:type="dxa"/>
            </w:tcMar>
            <w:shd w:fill="24384B"/>
          </w:tcPr>
          <w:p>
            <w:pPr>
              <w:keepNext/>
              <w:spacing w:after="0" w:line="247" w:lineRule="auto"/>
            </w:pPr>
            <w:r>
              <w:rPr>
                <w:b/>
                <w:color w:val="FFFFFF"/>
                <w:sz w:val="20"/>
              </w:rPr>
              <w:t>AWS location or open question</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Workspaces, sessions, messages and summaries</w:t>
            </w:r>
          </w:p>
        </w:tc>
        <w:tc>
          <w:tcPr>
            <w:tcW w:type="dxa" w:w="3816"/>
            <w:vAlign w:val="center"/>
            <w:tcMar>
              <w:top w:w="85" w:type="dxa"/>
              <w:bottom w:w="85" w:type="dxa"/>
              <w:left w:w="95" w:type="dxa"/>
              <w:right w:w="95" w:type="dxa"/>
            </w:tcMar>
            <w:shd w:fill="FFFFFF"/>
          </w:tcPr>
          <w:p>
            <w:pPr>
              <w:spacing w:after="0" w:line="247" w:lineRule="auto"/>
            </w:pPr>
            <w:r>
              <w:rPr>
                <w:b w:val="0"/>
                <w:sz w:val="20"/>
              </w:rPr>
              <w:t>PostgreSQL</w:t>
            </w:r>
          </w:p>
        </w:tc>
        <w:tc>
          <w:tcPr>
            <w:tcW w:type="dxa" w:w="3888"/>
            <w:vAlign w:val="center"/>
            <w:tcMar>
              <w:top w:w="85" w:type="dxa"/>
              <w:bottom w:w="85" w:type="dxa"/>
              <w:left w:w="95" w:type="dxa"/>
              <w:right w:w="95" w:type="dxa"/>
            </w:tcMar>
            <w:shd w:fill="FFFFFF"/>
          </w:tcPr>
          <w:p>
            <w:pPr>
              <w:spacing w:after="0" w:line="247" w:lineRule="auto"/>
            </w:pPr>
            <w:r>
              <w:rPr>
                <w:b w:val="0"/>
                <w:sz w:val="20"/>
              </w:rPr>
              <w:t>DynamoDB application records</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Documents, scrubbed chunks and metadata</w:t>
            </w:r>
          </w:p>
        </w:tc>
        <w:tc>
          <w:tcPr>
            <w:tcW w:type="dxa" w:w="3816"/>
            <w:vAlign w:val="center"/>
            <w:tcMar>
              <w:top w:w="85" w:type="dxa"/>
              <w:bottom w:w="85" w:type="dxa"/>
              <w:left w:w="95" w:type="dxa"/>
              <w:right w:w="95" w:type="dxa"/>
            </w:tcMar>
            <w:shd w:fill="F2F5F8"/>
          </w:tcPr>
          <w:p>
            <w:pPr>
              <w:spacing w:after="0" w:line="247" w:lineRule="auto"/>
            </w:pPr>
            <w:r>
              <w:rPr>
                <w:b w:val="0"/>
                <w:sz w:val="20"/>
              </w:rPr>
              <w:t>PostgreSQL</w:t>
            </w:r>
          </w:p>
        </w:tc>
        <w:tc>
          <w:tcPr>
            <w:tcW w:type="dxa" w:w="3888"/>
            <w:vAlign w:val="center"/>
            <w:tcMar>
              <w:top w:w="85" w:type="dxa"/>
              <w:bottom w:w="85" w:type="dxa"/>
              <w:left w:w="95" w:type="dxa"/>
              <w:right w:w="95" w:type="dxa"/>
            </w:tcMar>
            <w:shd w:fill="F2F5F8"/>
          </w:tcPr>
          <w:p>
            <w:pPr>
              <w:spacing w:after="0" w:line="247" w:lineRule="auto"/>
            </w:pPr>
            <w:r>
              <w:rPr>
                <w:b w:val="0"/>
                <w:sz w:val="20"/>
              </w:rPr>
              <w:t>Confirm table layout and chunk storage</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Document embeddings</w:t>
            </w:r>
          </w:p>
        </w:tc>
        <w:tc>
          <w:tcPr>
            <w:tcW w:type="dxa" w:w="3816"/>
            <w:vAlign w:val="center"/>
            <w:tcMar>
              <w:top w:w="85" w:type="dxa"/>
              <w:bottom w:w="85" w:type="dxa"/>
              <w:left w:w="95" w:type="dxa"/>
              <w:right w:w="95" w:type="dxa"/>
            </w:tcMar>
            <w:shd w:fill="FFFFFF"/>
          </w:tcPr>
          <w:p>
            <w:pPr>
              <w:spacing w:after="0" w:line="247" w:lineRule="auto"/>
            </w:pPr>
            <w:r>
              <w:rPr>
                <w:b w:val="0"/>
                <w:sz w:val="20"/>
              </w:rPr>
              <w:t>pgvector, 768 dimensions</w:t>
            </w:r>
          </w:p>
        </w:tc>
        <w:tc>
          <w:tcPr>
            <w:tcW w:type="dxa" w:w="3888"/>
            <w:vAlign w:val="center"/>
            <w:tcMar>
              <w:top w:w="85" w:type="dxa"/>
              <w:bottom w:w="85" w:type="dxa"/>
              <w:left w:w="95" w:type="dxa"/>
              <w:right w:w="95" w:type="dxa"/>
            </w:tcMar>
            <w:shd w:fill="FFFFFF"/>
          </w:tcPr>
          <w:p>
            <w:pPr>
              <w:spacing w:after="0" w:line="247" w:lineRule="auto"/>
            </w:pPr>
            <w:r>
              <w:rPr>
                <w:b w:val="0"/>
                <w:sz w:val="20"/>
              </w:rPr>
              <w:t>Confirm service, index, query API and dimensions</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Long-term facts and bookmarks</w:t>
            </w:r>
          </w:p>
        </w:tc>
        <w:tc>
          <w:tcPr>
            <w:tcW w:type="dxa" w:w="3816"/>
            <w:vAlign w:val="center"/>
            <w:tcMar>
              <w:top w:w="85" w:type="dxa"/>
              <w:bottom w:w="85" w:type="dxa"/>
              <w:left w:w="95" w:type="dxa"/>
              <w:right w:w="95" w:type="dxa"/>
            </w:tcMar>
            <w:shd w:fill="F2F5F8"/>
          </w:tcPr>
          <w:p>
            <w:pPr>
              <w:spacing w:after="0" w:line="247" w:lineRule="auto"/>
            </w:pPr>
            <w:r>
              <w:rPr>
                <w:b w:val="0"/>
                <w:sz w:val="20"/>
              </w:rPr>
              <w:t>PostgreSQL records</w:t>
            </w:r>
          </w:p>
        </w:tc>
        <w:tc>
          <w:tcPr>
            <w:tcW w:type="dxa" w:w="3888"/>
            <w:vAlign w:val="center"/>
            <w:tcMar>
              <w:top w:w="85" w:type="dxa"/>
              <w:bottom w:w="85" w:type="dxa"/>
              <w:left w:w="95" w:type="dxa"/>
              <w:right w:w="95" w:type="dxa"/>
            </w:tcMar>
            <w:shd w:fill="F2F5F8"/>
          </w:tcPr>
          <w:p>
            <w:pPr>
              <w:spacing w:after="0" w:line="247" w:lineRule="auto"/>
            </w:pPr>
            <w:r>
              <w:rPr>
                <w:b w:val="0"/>
                <w:sz w:val="20"/>
              </w:rPr>
              <w:t>Confirm DynamoDB entities and ownership filters</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Original uploads</w:t>
            </w:r>
          </w:p>
        </w:tc>
        <w:tc>
          <w:tcPr>
            <w:tcW w:type="dxa" w:w="3816"/>
            <w:vAlign w:val="center"/>
            <w:tcMar>
              <w:top w:w="85" w:type="dxa"/>
              <w:bottom w:w="85" w:type="dxa"/>
              <w:left w:w="95" w:type="dxa"/>
              <w:right w:w="95" w:type="dxa"/>
            </w:tcMar>
            <w:shd w:fill="FFFFFF"/>
          </w:tcPr>
          <w:p>
            <w:pPr>
              <w:spacing w:after="0" w:line="247" w:lineRule="auto"/>
            </w:pPr>
            <w:r>
              <w:rPr>
                <w:b w:val="0"/>
                <w:sz w:val="20"/>
              </w:rPr>
              <w:t>Data directory on disk</w:t>
            </w:r>
          </w:p>
        </w:tc>
        <w:tc>
          <w:tcPr>
            <w:tcW w:type="dxa" w:w="3888"/>
            <w:vAlign w:val="center"/>
            <w:tcMar>
              <w:top w:w="85" w:type="dxa"/>
              <w:bottom w:w="85" w:type="dxa"/>
              <w:left w:w="95" w:type="dxa"/>
              <w:right w:w="95" w:type="dxa"/>
            </w:tcMar>
            <w:shd w:fill="FFFFFF"/>
          </w:tcPr>
          <w:p>
            <w:pPr>
              <w:spacing w:after="0" w:line="247" w:lineRule="auto"/>
            </w:pPr>
            <w:r>
              <w:rPr>
                <w:b w:val="0"/>
                <w:sz w:val="20"/>
              </w:rPr>
              <w:t>Retention and object location unresolved</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Profile images</w:t>
            </w:r>
          </w:p>
        </w:tc>
        <w:tc>
          <w:tcPr>
            <w:tcW w:type="dxa" w:w="3816"/>
            <w:vAlign w:val="center"/>
            <w:tcMar>
              <w:top w:w="85" w:type="dxa"/>
              <w:bottom w:w="85" w:type="dxa"/>
              <w:left w:w="95" w:type="dxa"/>
              <w:right w:w="95" w:type="dxa"/>
            </w:tcMar>
            <w:shd w:fill="F2F5F8"/>
          </w:tcPr>
          <w:p>
            <w:pPr>
              <w:spacing w:after="0" w:line="247" w:lineRule="auto"/>
            </w:pPr>
            <w:r>
              <w:rPr>
                <w:b w:val="0"/>
                <w:sz w:val="20"/>
              </w:rPr>
              <w:t>Local data directory</w:t>
            </w:r>
          </w:p>
        </w:tc>
        <w:tc>
          <w:tcPr>
            <w:tcW w:type="dxa" w:w="3888"/>
            <w:vAlign w:val="center"/>
            <w:tcMar>
              <w:top w:w="85" w:type="dxa"/>
              <w:bottom w:w="85" w:type="dxa"/>
              <w:left w:w="95" w:type="dxa"/>
              <w:right w:w="95" w:type="dxa"/>
            </w:tcMar>
            <w:shd w:fill="F2F5F8"/>
          </w:tcPr>
          <w:p>
            <w:pPr>
              <w:spacing w:after="0" w:line="247" w:lineRule="auto"/>
            </w:pPr>
            <w:r>
              <w:rPr>
                <w:b w:val="0"/>
                <w:sz w:val="20"/>
              </w:rPr>
              <w:t>Private object bucket and authenticated route</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Saved vendor credentials</w:t>
            </w:r>
          </w:p>
        </w:tc>
        <w:tc>
          <w:tcPr>
            <w:tcW w:type="dxa" w:w="3816"/>
            <w:vAlign w:val="center"/>
            <w:tcMar>
              <w:top w:w="85" w:type="dxa"/>
              <w:bottom w:w="85" w:type="dxa"/>
              <w:left w:w="95" w:type="dxa"/>
              <w:right w:w="95" w:type="dxa"/>
            </w:tcMar>
            <w:shd w:fill="FFFFFF"/>
          </w:tcPr>
          <w:p>
            <w:pPr>
              <w:spacing w:after="0" w:line="247" w:lineRule="auto"/>
            </w:pPr>
            <w:r>
              <w:rPr>
                <w:b w:val="0"/>
                <w:sz w:val="20"/>
              </w:rPr>
              <w:t>Encrypted instance configuration</w:t>
            </w:r>
          </w:p>
        </w:tc>
        <w:tc>
          <w:tcPr>
            <w:tcW w:type="dxa" w:w="3888"/>
            <w:vAlign w:val="center"/>
            <w:tcMar>
              <w:top w:w="85" w:type="dxa"/>
              <w:bottom w:w="85" w:type="dxa"/>
              <w:left w:w="95" w:type="dxa"/>
              <w:right w:w="95" w:type="dxa"/>
            </w:tcMar>
            <w:shd w:fill="FFFFFF"/>
          </w:tcPr>
          <w:p>
            <w:pPr>
              <w:spacing w:after="0" w:line="247" w:lineRule="auto"/>
            </w:pPr>
            <w:r>
              <w:rPr>
                <w:b w:val="0"/>
                <w:sz w:val="20"/>
              </w:rPr>
              <w:t>Encrypted instance configuration, per existing guide</w:t>
            </w:r>
          </w:p>
        </w:tc>
      </w:tr>
      <w:tr>
        <w:trPr>
          <w:cantSplit/>
        </w:trPr>
        <w:tc>
          <w:tcPr>
            <w:tcW w:type="dxa" w:w="2376"/>
            <w:vAlign w:val="center"/>
            <w:tcMar>
              <w:top w:w="85" w:type="dxa"/>
              <w:bottom w:w="85" w:type="dxa"/>
              <w:left w:w="95" w:type="dxa"/>
              <w:right w:w="95" w:type="dxa"/>
            </w:tcMar>
            <w:shd w:fill="F2F5F8"/>
          </w:tcPr>
          <w:p>
            <w:pPr>
              <w:spacing w:after="0" w:line="247" w:lineRule="auto"/>
            </w:pPr>
            <w:r>
              <w:rPr>
                <w:b w:val="0"/>
                <w:sz w:val="20"/>
              </w:rPr>
              <w:t>Encryption key material</w:t>
            </w:r>
          </w:p>
        </w:tc>
        <w:tc>
          <w:tcPr>
            <w:tcW w:type="dxa" w:w="3816"/>
            <w:vAlign w:val="center"/>
            <w:tcMar>
              <w:top w:w="85" w:type="dxa"/>
              <w:bottom w:w="85" w:type="dxa"/>
              <w:left w:w="95" w:type="dxa"/>
              <w:right w:w="95" w:type="dxa"/>
            </w:tcMar>
            <w:shd w:fill="F2F5F8"/>
          </w:tcPr>
          <w:p>
            <w:pPr>
              <w:spacing w:after="0" w:line="247" w:lineRule="auto"/>
            </w:pPr>
            <w:r>
              <w:rPr>
                <w:b w:val="0"/>
                <w:sz w:val="20"/>
              </w:rPr>
              <w:t>Environment or instance key file</w:t>
            </w:r>
          </w:p>
        </w:tc>
        <w:tc>
          <w:tcPr>
            <w:tcW w:type="dxa" w:w="3888"/>
            <w:vAlign w:val="center"/>
            <w:tcMar>
              <w:top w:w="85" w:type="dxa"/>
              <w:bottom w:w="85" w:type="dxa"/>
              <w:left w:w="95" w:type="dxa"/>
              <w:right w:w="95" w:type="dxa"/>
            </w:tcMar>
            <w:shd w:fill="F2F5F8"/>
          </w:tcPr>
          <w:p>
            <w:pPr>
              <w:spacing w:after="0" w:line="247" w:lineRule="auto"/>
            </w:pPr>
            <w:r>
              <w:rPr>
                <w:b w:val="0"/>
                <w:sz w:val="20"/>
              </w:rPr>
              <w:t>Confirm deployment storage and access</w:t>
            </w:r>
          </w:p>
        </w:tc>
      </w:tr>
      <w:tr>
        <w:trPr>
          <w:cantSplit/>
        </w:trPr>
        <w:tc>
          <w:tcPr>
            <w:tcW w:type="dxa" w:w="2376"/>
            <w:vAlign w:val="center"/>
            <w:tcMar>
              <w:top w:w="85" w:type="dxa"/>
              <w:bottom w:w="85" w:type="dxa"/>
              <w:left w:w="95" w:type="dxa"/>
              <w:right w:w="95" w:type="dxa"/>
            </w:tcMar>
            <w:shd w:fill="FFFFFF"/>
          </w:tcPr>
          <w:p>
            <w:pPr>
              <w:keepNext/>
              <w:spacing w:after="0" w:line="247" w:lineRule="auto"/>
            </w:pPr>
            <w:r>
              <w:rPr>
                <w:b w:val="0"/>
                <w:sz w:val="20"/>
              </w:rPr>
              <w:t>Bootstrap configuration</w:t>
            </w:r>
          </w:p>
        </w:tc>
        <w:tc>
          <w:tcPr>
            <w:tcW w:type="dxa" w:w="3816"/>
            <w:vAlign w:val="center"/>
            <w:tcMar>
              <w:top w:w="85" w:type="dxa"/>
              <w:bottom w:w="85" w:type="dxa"/>
              <w:left w:w="95" w:type="dxa"/>
              <w:right w:w="95" w:type="dxa"/>
            </w:tcMar>
            <w:shd w:fill="FFFFFF"/>
          </w:tcPr>
          <w:p>
            <w:pPr>
              <w:keepNext/>
              <w:spacing w:after="0" w:line="247" w:lineRule="auto"/>
            </w:pPr>
            <w:r>
              <w:rPr>
                <w:b w:val="0"/>
                <w:sz w:val="20"/>
              </w:rPr>
              <w:t>Deployment configuration</w:t>
            </w:r>
          </w:p>
        </w:tc>
        <w:tc>
          <w:tcPr>
            <w:tcW w:type="dxa" w:w="3888"/>
            <w:vAlign w:val="center"/>
            <w:tcMar>
              <w:top w:w="85" w:type="dxa"/>
              <w:bottom w:w="85" w:type="dxa"/>
              <w:left w:w="95" w:type="dxa"/>
              <w:right w:w="95" w:type="dxa"/>
            </w:tcMar>
            <w:shd w:fill="FFFFFF"/>
          </w:tcPr>
          <w:p>
            <w:pPr>
              <w:keepNext/>
              <w:spacing w:after="0" w:line="247" w:lineRule="auto"/>
            </w:pPr>
            <w:r>
              <w:rPr>
                <w:b w:val="0"/>
                <w:sz w:val="20"/>
              </w:rPr>
              <w:t>Secrets Manager, as documented</w:t>
            </w:r>
          </w:p>
        </w:tc>
      </w:tr>
      <w:tr>
        <w:trPr>
          <w:cantSplit/>
        </w:trPr>
        <w:tc>
          <w:tcPr>
            <w:tcW w:type="dxa" w:w="2376"/>
            <w:vAlign w:val="center"/>
            <w:tcMar>
              <w:top w:w="85" w:type="dxa"/>
              <w:bottom w:w="85" w:type="dxa"/>
              <w:left w:w="95" w:type="dxa"/>
              <w:right w:w="95" w:type="dxa"/>
            </w:tcMar>
            <w:shd w:fill="F2F5F8"/>
          </w:tcPr>
          <w:p>
            <w:pPr>
              <w:keepNext/>
              <w:spacing w:after="0" w:line="247" w:lineRule="auto"/>
            </w:pPr>
            <w:r>
              <w:rPr>
                <w:b w:val="0"/>
                <w:sz w:val="20"/>
              </w:rPr>
              <w:t>Usage and detection events</w:t>
            </w:r>
          </w:p>
        </w:tc>
        <w:tc>
          <w:tcPr>
            <w:tcW w:type="dxa" w:w="3816"/>
            <w:vAlign w:val="center"/>
            <w:tcMar>
              <w:top w:w="85" w:type="dxa"/>
              <w:bottom w:w="85" w:type="dxa"/>
              <w:left w:w="95" w:type="dxa"/>
              <w:right w:w="95" w:type="dxa"/>
            </w:tcMar>
            <w:shd w:fill="F2F5F8"/>
          </w:tcPr>
          <w:p>
            <w:pPr>
              <w:keepNext/>
              <w:spacing w:after="0" w:line="247" w:lineRule="auto"/>
            </w:pPr>
            <w:r>
              <w:rPr>
                <w:b w:val="0"/>
                <w:sz w:val="20"/>
              </w:rPr>
              <w:t>PostgreSQL</w:t>
            </w:r>
          </w:p>
        </w:tc>
        <w:tc>
          <w:tcPr>
            <w:tcW w:type="dxa" w:w="3888"/>
            <w:vAlign w:val="center"/>
            <w:tcMar>
              <w:top w:w="85" w:type="dxa"/>
              <w:bottom w:w="85" w:type="dxa"/>
              <w:left w:w="95" w:type="dxa"/>
              <w:right w:w="95" w:type="dxa"/>
            </w:tcMar>
            <w:shd w:fill="F2F5F8"/>
          </w:tcPr>
          <w:p>
            <w:pPr>
              <w:keepNext/>
              <w:spacing w:after="0" w:line="247" w:lineRule="auto"/>
            </w:pPr>
            <w:r>
              <w:rPr>
                <w:b w:val="0"/>
                <w:sz w:val="20"/>
              </w:rPr>
              <w:t>DynamoDB, as documented</w:t>
            </w:r>
          </w:p>
        </w:tc>
      </w:tr>
      <w:tr>
        <w:trPr>
          <w:cantSplit/>
        </w:trPr>
        <w:tc>
          <w:tcPr>
            <w:tcW w:type="dxa" w:w="2376"/>
            <w:vAlign w:val="center"/>
            <w:tcMar>
              <w:top w:w="85" w:type="dxa"/>
              <w:bottom w:w="85" w:type="dxa"/>
              <w:left w:w="95" w:type="dxa"/>
              <w:right w:w="95" w:type="dxa"/>
            </w:tcMar>
            <w:shd w:fill="FFFFFF"/>
          </w:tcPr>
          <w:p>
            <w:pPr>
              <w:spacing w:after="0" w:line="247" w:lineRule="auto"/>
            </w:pPr>
            <w:r>
              <w:rPr>
                <w:b w:val="0"/>
                <w:sz w:val="20"/>
              </w:rPr>
              <w:t>Runtime logs</w:t>
            </w:r>
          </w:p>
        </w:tc>
        <w:tc>
          <w:tcPr>
            <w:tcW w:type="dxa" w:w="3816"/>
            <w:vAlign w:val="center"/>
            <w:tcMar>
              <w:top w:w="85" w:type="dxa"/>
              <w:bottom w:w="85" w:type="dxa"/>
              <w:left w:w="95" w:type="dxa"/>
              <w:right w:w="95" w:type="dxa"/>
            </w:tcMar>
            <w:shd w:fill="FFFFFF"/>
          </w:tcPr>
          <w:p>
            <w:pPr>
              <w:spacing w:after="0" w:line="247" w:lineRule="auto"/>
            </w:pPr>
            <w:r>
              <w:rPr>
                <w:b w:val="0"/>
                <w:sz w:val="20"/>
              </w:rPr>
              <w:t>Local runtime logs</w:t>
            </w:r>
          </w:p>
        </w:tc>
        <w:tc>
          <w:tcPr>
            <w:tcW w:type="dxa" w:w="3888"/>
            <w:vAlign w:val="center"/>
            <w:tcMar>
              <w:top w:w="85" w:type="dxa"/>
              <w:bottom w:w="85" w:type="dxa"/>
              <w:left w:w="95" w:type="dxa"/>
              <w:right w:w="95" w:type="dxa"/>
            </w:tcMar>
            <w:shd w:fill="FFFFFF"/>
          </w:tcPr>
          <w:p>
            <w:pPr>
              <w:spacing w:after="0" w:line="247" w:lineRule="auto"/>
            </w:pPr>
            <w:r>
              <w:rPr>
                <w:b w:val="0"/>
                <w:sz w:val="20"/>
              </w:rPr>
              <w:t>CloudWatch for Lambda</w:t>
            </w:r>
          </w:p>
        </w:tc>
      </w:tr>
    </w:tbl>
    <w:p>
      <w:pPr>
        <w:spacing w:after="40" w:before="0" w:line="240" w:lineRule="auto"/>
      </w:pPr>
      <w:r>
        <w:rPr>
          <w:sz w:val="4"/>
        </w:rPr>
      </w:r>
    </w:p>
    <w:p>
      <w:pPr>
        <w:keepLines/>
        <w:widowControl/>
      </w:pPr>
      <w:r>
        <w:t>The local vector column is described as managed outside Prisma and queried with raw SQL. Ownership and workspace restrictions must therefore be checked in those queries as well as in ordinary application routes. The cloud equivalent requires the same review.</w:t>
      </w:r>
    </w:p>
    <w:p>
      <w:pPr>
        <w:pStyle w:val="Heading2"/>
      </w:pPr>
      <w:r>
        <w:t>Encryption and discovery</w:t>
      </w:r>
    </w:p>
    <w:p>
      <w:pPr>
        <w:keepLines/>
        <w:widowControl/>
      </w:pPr>
      <w:r>
        <w:t>Redaction removes or replaces detected content. Encryption protects stored data using cryptographic keys. These controls address different risks: retained originals and credentials still need protection even if searchable text has been scrubbed.</w:t>
      </w:r>
    </w:p>
    <w:p>
      <w:pPr>
        <w:widowControl/>
      </w:pPr>
      <w:r>
        <w:t>AWS KMS can manage keys used for encryption. Macie can discover sensitive data in supported S3 content. A useful Macie use case would depend on whether SecureMind retains suitable files in S3 and whether that discovery is worth the operational cost. It is not a substitute for synchronous message detection.</w:t>
      </w:r>
    </w:p>
    <w:p>
      <w:pPr>
        <w:widowControl/>
      </w:pPr>
      <w:r>
        <w:t>Do not label KMS as unused until the deployment's managed-service encryption has been inspected. An application may rely on it indirectly without exposing a KMS feature. Any optional AWS-specific control should have a clear purpose and should not make the local installation dependent on AWS.</w:t>
      </w:r>
    </w:p>
    <w:p>
      <w:pPr>
        <w:pStyle w:val="Heading2"/>
      </w:pPr>
      <w:r>
        <w:t>Product limits</w:t>
      </w:r>
    </w:p>
    <w:p>
      <w:pPr>
        <w:keepLines/>
        <w:widowControl/>
      </w:pPr>
      <w:r>
        <w:t>Detection can miss sensitive data. Policy changes are forward-looking unless a reprocessing action is explicitly performed. A stored original can retain information removed from its extracted text. Removing a finding does not restore redacted content, and deleting a login does not establish a complete data purge.</w:t>
      </w:r>
    </w:p>
    <w:p>
      <w:pPr>
        <w:widowControl/>
      </w:pPr>
      <w:r>
        <w:t>Citation auditing validates reference structure rather than factual truth. Prompt-injection safeguards reduce risk without guaranteeing immunity. Cost caps use estimates rather than provider billing, and a deployment region does not establish where every connected vendor processes data.</w:t>
      </w:r>
    </w:p>
    <w:p>
      <w:pPr>
        <w:widowControl/>
      </w:pPr>
      <w:r>
        <w:t>The existing guide does not describe Bedrock Guardrails or per-workspace provider policies as implemented features. Output scanning, complete deletion, credential protection, and cloud vector search remain specific review items rather than assumptions.</w:t>
      </w:r>
    </w:p>
    <w:p>
      <w:pPr>
        <w:pStyle w:val="Heading1"/>
      </w:pPr>
      <w:r>
        <w:t>16 Implementation references</w:t>
      </w:r>
    </w:p>
    <w:p>
      <w:pPr>
        <w:keepLines/>
        <w:widowControl/>
      </w:pPr>
      <w:r>
        <w:t>A .ts file contains TypeScript application code. A .md file contains Markdown documentation. The references below point to the described implementation, where developers can verify a rule or function. They are not separate policy documents or proof that the behaviour has been tested.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408"/>
      </w:tblGrid>
      <w:tr>
        <w:trPr>
          <w:cantSplit/>
          <w:tblHeader/>
        </w:trPr>
        <w:tc>
          <w:tcPr>
            <w:tcW w:type="dxa" w:w="3672"/>
            <w:vAlign w:val="center"/>
            <w:tcMar>
              <w:top w:w="85" w:type="dxa"/>
              <w:bottom w:w="85" w:type="dxa"/>
              <w:left w:w="95" w:type="dxa"/>
              <w:right w:w="95" w:type="dxa"/>
            </w:tcMar>
            <w:shd w:fill="24384B"/>
          </w:tcPr>
          <w:p>
            <w:pPr>
              <w:keepNext/>
              <w:spacing w:after="0" w:line="247" w:lineRule="auto"/>
            </w:pPr>
            <w:r>
              <w:rPr>
                <w:b/>
                <w:color w:val="FFFFFF"/>
                <w:sz w:val="20"/>
              </w:rPr>
              <w:t>Behaviour</w:t>
            </w:r>
          </w:p>
        </w:tc>
        <w:tc>
          <w:tcPr>
            <w:tcW w:type="dxa" w:w="6408"/>
            <w:vAlign w:val="center"/>
            <w:tcMar>
              <w:top w:w="85" w:type="dxa"/>
              <w:bottom w:w="85" w:type="dxa"/>
              <w:left w:w="95" w:type="dxa"/>
              <w:right w:w="95" w:type="dxa"/>
            </w:tcMar>
            <w:shd w:fill="24384B"/>
          </w:tcPr>
          <w:p>
            <w:pPr>
              <w:keepNext/>
              <w:spacing w:after="0" w:line="247" w:lineRule="auto"/>
            </w:pPr>
            <w:r>
              <w:rPr>
                <w:b/>
                <w:color w:val="FFFFFF"/>
                <w:sz w:val="19"/>
              </w:rPr>
              <w:t>Source reference</w:t>
            </w:r>
          </w:p>
        </w:tc>
      </w:tr>
      <w:tr>
        <w:trPr>
          <w:cantSplit/>
        </w:trPr>
        <w:tc>
          <w:tcPr>
            <w:tcW w:type="dxa" w:w="3672"/>
            <w:vAlign w:val="center"/>
            <w:tcMar>
              <w:top w:w="85" w:type="dxa"/>
              <w:bottom w:w="85" w:type="dxa"/>
              <w:left w:w="95" w:type="dxa"/>
              <w:right w:w="95" w:type="dxa"/>
            </w:tcMar>
            <w:shd w:fill="FFFFFF"/>
          </w:tcPr>
          <w:p>
            <w:pPr>
              <w:spacing w:after="0" w:line="247" w:lineRule="auto"/>
            </w:pPr>
            <w:r>
              <w:rPr>
                <w:b w:val="0"/>
                <w:sz w:val="20"/>
              </w:rPr>
              <w:t>Request orchestration and streaming</w:t>
            </w:r>
          </w:p>
        </w:tc>
        <w:tc>
          <w:tcPr>
            <w:tcW w:type="dxa" w:w="6408"/>
            <w:vAlign w:val="center"/>
            <w:tcMar>
              <w:top w:w="85" w:type="dxa"/>
              <w:bottom w:w="85" w:type="dxa"/>
              <w:left w:w="95" w:type="dxa"/>
              <w:right w:w="95" w:type="dxa"/>
            </w:tcMar>
            <w:shd w:fill="FFFFFF"/>
          </w:tcPr>
          <w:p>
            <w:pPr>
              <w:spacing w:after="0" w:line="247" w:lineRule="auto"/>
            </w:pPr>
            <w:r>
              <w:rPr>
                <w:b w:val="0"/>
                <w:sz w:val="19"/>
              </w:rPr>
              <w:t>src/lib/chat/run-chat-stream.ts</w:t>
            </w:r>
          </w:p>
        </w:tc>
      </w:tr>
      <w:tr>
        <w:trPr>
          <w:cantSplit/>
        </w:trPr>
        <w:tc>
          <w:tcPr>
            <w:tcW w:type="dxa" w:w="3672"/>
            <w:vAlign w:val="center"/>
            <w:tcMar>
              <w:top w:w="85" w:type="dxa"/>
              <w:bottom w:w="85" w:type="dxa"/>
              <w:left w:w="95" w:type="dxa"/>
              <w:right w:w="95" w:type="dxa"/>
            </w:tcMar>
            <w:shd w:fill="F2F5F8"/>
          </w:tcPr>
          <w:p>
            <w:pPr>
              <w:spacing w:after="0" w:line="247" w:lineRule="auto"/>
            </w:pPr>
            <w:r>
              <w:rPr>
                <w:b w:val="0"/>
                <w:sz w:val="20"/>
              </w:rPr>
              <w:t>Authenticated user identity</w:t>
            </w:r>
          </w:p>
        </w:tc>
        <w:tc>
          <w:tcPr>
            <w:tcW w:type="dxa" w:w="6408"/>
            <w:vAlign w:val="center"/>
            <w:tcMar>
              <w:top w:w="85" w:type="dxa"/>
              <w:bottom w:w="85" w:type="dxa"/>
              <w:left w:w="95" w:type="dxa"/>
              <w:right w:w="95" w:type="dxa"/>
            </w:tcMar>
            <w:shd w:fill="F2F5F8"/>
          </w:tcPr>
          <w:p>
            <w:pPr>
              <w:spacing w:after="0" w:line="247" w:lineRule="auto"/>
            </w:pPr>
            <w:r>
              <w:rPr>
                <w:b w:val="0"/>
                <w:sz w:val="19"/>
              </w:rPr>
              <w:t>src/lib/identity.ts</w:t>
            </w:r>
          </w:p>
        </w:tc>
      </w:tr>
      <w:tr>
        <w:trPr>
          <w:cantSplit/>
        </w:trPr>
        <w:tc>
          <w:tcPr>
            <w:tcW w:type="dxa" w:w="3672"/>
            <w:vAlign w:val="center"/>
            <w:tcMar>
              <w:top w:w="85" w:type="dxa"/>
              <w:bottom w:w="85" w:type="dxa"/>
              <w:left w:w="95" w:type="dxa"/>
              <w:right w:w="95" w:type="dxa"/>
            </w:tcMar>
            <w:shd w:fill="FFFFFF"/>
          </w:tcPr>
          <w:p>
            <w:pPr>
              <w:spacing w:after="0" w:line="247" w:lineRule="auto"/>
            </w:pPr>
            <w:r>
              <w:rPr>
                <w:b w:val="0"/>
                <w:sz w:val="20"/>
              </w:rPr>
              <w:t>Turn classification and retrieval policy</w:t>
            </w:r>
          </w:p>
        </w:tc>
        <w:tc>
          <w:tcPr>
            <w:tcW w:type="dxa" w:w="6408"/>
            <w:vAlign w:val="center"/>
            <w:tcMar>
              <w:top w:w="85" w:type="dxa"/>
              <w:bottom w:w="85" w:type="dxa"/>
              <w:left w:w="95" w:type="dxa"/>
              <w:right w:w="95" w:type="dxa"/>
            </w:tcMar>
            <w:shd w:fill="FFFFFF"/>
          </w:tcPr>
          <w:p>
            <w:pPr>
              <w:spacing w:after="0" w:line="247" w:lineRule="auto"/>
            </w:pPr>
            <w:r>
              <w:rPr>
                <w:b w:val="0"/>
                <w:sz w:val="19"/>
              </w:rPr>
              <w:t>src/lib/turn-policy/decide-turn.ts</w:t>
            </w:r>
          </w:p>
        </w:tc>
      </w:tr>
      <w:tr>
        <w:trPr>
          <w:cantSplit/>
        </w:trPr>
        <w:tc>
          <w:tcPr>
            <w:tcW w:type="dxa" w:w="3672"/>
            <w:vAlign w:val="center"/>
            <w:tcMar>
              <w:top w:w="85" w:type="dxa"/>
              <w:bottom w:w="85" w:type="dxa"/>
              <w:left w:w="95" w:type="dxa"/>
              <w:right w:w="95" w:type="dxa"/>
            </w:tcMar>
            <w:shd w:fill="F2F5F8"/>
          </w:tcPr>
          <w:p>
            <w:pPr>
              <w:spacing w:after="0" w:line="247" w:lineRule="auto"/>
            </w:pPr>
            <w:r>
              <w:rPr>
                <w:b w:val="0"/>
                <w:sz w:val="20"/>
              </w:rPr>
              <w:t>Complexity score and thread inheritance</w:t>
            </w:r>
          </w:p>
        </w:tc>
        <w:tc>
          <w:tcPr>
            <w:tcW w:type="dxa" w:w="6408"/>
            <w:vAlign w:val="center"/>
            <w:tcMar>
              <w:top w:w="85" w:type="dxa"/>
              <w:bottom w:w="85" w:type="dxa"/>
              <w:left w:w="95" w:type="dxa"/>
              <w:right w:w="95" w:type="dxa"/>
            </w:tcMar>
            <w:shd w:fill="F2F5F8"/>
          </w:tcPr>
          <w:p>
            <w:pPr>
              <w:spacing w:after="0" w:line="247" w:lineRule="auto"/>
            </w:pPr>
            <w:r>
              <w:rPr>
                <w:b w:val="0"/>
                <w:sz w:val="19"/>
              </w:rPr>
              <w:t>src/lib/models/route-message.ts</w:t>
            </w:r>
          </w:p>
        </w:tc>
      </w:tr>
      <w:tr>
        <w:trPr>
          <w:cantSplit/>
        </w:trPr>
        <w:tc>
          <w:tcPr>
            <w:tcW w:type="dxa" w:w="3672"/>
            <w:vAlign w:val="center"/>
            <w:tcMar>
              <w:top w:w="85" w:type="dxa"/>
              <w:bottom w:w="85" w:type="dxa"/>
              <w:left w:w="95" w:type="dxa"/>
              <w:right w:w="95" w:type="dxa"/>
            </w:tcMar>
            <w:shd w:fill="FFFFFF"/>
          </w:tcPr>
          <w:p>
            <w:pPr>
              <w:spacing w:after="0" w:line="247" w:lineRule="auto"/>
            </w:pPr>
            <w:r>
              <w:rPr>
                <w:b w:val="0"/>
                <w:sz w:val="20"/>
              </w:rPr>
              <w:t>Model routing and defaults</w:t>
            </w:r>
          </w:p>
        </w:tc>
        <w:tc>
          <w:tcPr>
            <w:tcW w:type="dxa" w:w="6408"/>
            <w:vAlign w:val="center"/>
            <w:tcMar>
              <w:top w:w="85" w:type="dxa"/>
              <w:bottom w:w="85" w:type="dxa"/>
              <w:left w:w="95" w:type="dxa"/>
              <w:right w:w="95" w:type="dxa"/>
            </w:tcMar>
            <w:shd w:fill="FFFFFF"/>
          </w:tcPr>
          <w:p>
            <w:pPr>
              <w:spacing w:after="0" w:line="247" w:lineRule="auto"/>
            </w:pPr>
            <w:r>
              <w:rPr>
                <w:b w:val="0"/>
                <w:sz w:val="19"/>
              </w:rPr>
              <w:t>src/lib/models/router.ts</w:t>
            </w:r>
          </w:p>
        </w:tc>
      </w:tr>
      <w:tr>
        <w:trPr>
          <w:cantSplit/>
        </w:trPr>
        <w:tc>
          <w:tcPr>
            <w:tcW w:type="dxa" w:w="3672"/>
            <w:vAlign w:val="center"/>
            <w:tcMar>
              <w:top w:w="85" w:type="dxa"/>
              <w:bottom w:w="85" w:type="dxa"/>
              <w:left w:w="95" w:type="dxa"/>
              <w:right w:w="95" w:type="dxa"/>
            </w:tcMar>
            <w:shd w:fill="F2F5F8"/>
          </w:tcPr>
          <w:p>
            <w:pPr>
              <w:spacing w:after="0" w:line="247" w:lineRule="auto"/>
            </w:pPr>
            <w:r>
              <w:rPr>
                <w:b w:val="0"/>
                <w:sz w:val="20"/>
              </w:rPr>
              <w:t>Optional Groq classifier</w:t>
            </w:r>
          </w:p>
        </w:tc>
        <w:tc>
          <w:tcPr>
            <w:tcW w:type="dxa" w:w="6408"/>
            <w:vAlign w:val="center"/>
            <w:tcMar>
              <w:top w:w="85" w:type="dxa"/>
              <w:bottom w:w="85" w:type="dxa"/>
              <w:left w:w="95" w:type="dxa"/>
              <w:right w:w="95" w:type="dxa"/>
            </w:tcMar>
            <w:shd w:fill="F2F5F8"/>
          </w:tcPr>
          <w:p>
            <w:pPr>
              <w:spacing w:after="0" w:line="247" w:lineRule="auto"/>
            </w:pPr>
            <w:r>
              <w:rPr>
                <w:b w:val="0"/>
                <w:sz w:val="19"/>
              </w:rPr>
              <w:t>src/lib/models/groq.ts</w:t>
            </w:r>
          </w:p>
        </w:tc>
      </w:tr>
      <w:tr>
        <w:trPr>
          <w:cantSplit/>
        </w:trPr>
        <w:tc>
          <w:tcPr>
            <w:tcW w:type="dxa" w:w="3672"/>
            <w:vAlign w:val="center"/>
            <w:tcMar>
              <w:top w:w="85" w:type="dxa"/>
              <w:bottom w:w="85" w:type="dxa"/>
              <w:left w:w="95" w:type="dxa"/>
              <w:right w:w="95" w:type="dxa"/>
            </w:tcMar>
            <w:shd w:fill="FFFFFF"/>
          </w:tcPr>
          <w:p>
            <w:pPr>
              <w:spacing w:after="0" w:line="247" w:lineRule="auto"/>
            </w:pPr>
            <w:r>
              <w:rPr>
                <w:b w:val="0"/>
                <w:sz w:val="20"/>
              </w:rPr>
              <w:t>Allowed model selection</w:t>
            </w:r>
          </w:p>
        </w:tc>
        <w:tc>
          <w:tcPr>
            <w:tcW w:type="dxa" w:w="6408"/>
            <w:vAlign w:val="center"/>
            <w:tcMar>
              <w:top w:w="85" w:type="dxa"/>
              <w:bottom w:w="85" w:type="dxa"/>
              <w:left w:w="95" w:type="dxa"/>
              <w:right w:w="95" w:type="dxa"/>
            </w:tcMar>
            <w:shd w:fill="FFFFFF"/>
          </w:tcPr>
          <w:p>
            <w:pPr>
              <w:spacing w:after="0" w:line="247" w:lineRule="auto"/>
            </w:pPr>
            <w:r>
              <w:rPr>
                <w:b w:val="0"/>
                <w:sz w:val="19"/>
              </w:rPr>
              <w:t>src/lib/models/allowlist.ts</w:t>
            </w:r>
          </w:p>
        </w:tc>
      </w:tr>
      <w:tr>
        <w:trPr>
          <w:cantSplit/>
        </w:trPr>
        <w:tc>
          <w:tcPr>
            <w:tcW w:type="dxa" w:w="3672"/>
            <w:vAlign w:val="center"/>
            <w:tcMar>
              <w:top w:w="85" w:type="dxa"/>
              <w:bottom w:w="85" w:type="dxa"/>
              <w:left w:w="95" w:type="dxa"/>
              <w:right w:w="95" w:type="dxa"/>
            </w:tcMar>
            <w:shd w:fill="F2F5F8"/>
          </w:tcPr>
          <w:p>
            <w:pPr>
              <w:spacing w:after="0" w:line="247" w:lineRule="auto"/>
            </w:pPr>
            <w:r>
              <w:rPr>
                <w:b w:val="0"/>
                <w:sz w:val="20"/>
              </w:rPr>
              <w:t>Detection families and safe terms</w:t>
            </w:r>
          </w:p>
        </w:tc>
        <w:tc>
          <w:tcPr>
            <w:tcW w:type="dxa" w:w="6408"/>
            <w:vAlign w:val="center"/>
            <w:tcMar>
              <w:top w:w="85" w:type="dxa"/>
              <w:bottom w:w="85" w:type="dxa"/>
              <w:left w:w="95" w:type="dxa"/>
              <w:right w:w="95" w:type="dxa"/>
            </w:tcMar>
            <w:shd w:fill="F2F5F8"/>
          </w:tcPr>
          <w:p>
            <w:pPr>
              <w:spacing w:after="0" w:line="247" w:lineRule="auto"/>
            </w:pPr>
            <w:r>
              <w:rPr>
                <w:b w:val="0"/>
                <w:sz w:val="19"/>
              </w:rPr>
              <w:t>src/lib/pii.ts</w:t>
            </w:r>
          </w:p>
        </w:tc>
      </w:tr>
      <w:tr>
        <w:trPr>
          <w:cantSplit/>
        </w:trPr>
        <w:tc>
          <w:tcPr>
            <w:tcW w:type="dxa" w:w="3672"/>
            <w:vAlign w:val="center"/>
            <w:tcMar>
              <w:top w:w="85" w:type="dxa"/>
              <w:bottom w:w="85" w:type="dxa"/>
              <w:left w:w="95" w:type="dxa"/>
              <w:right w:w="95" w:type="dxa"/>
            </w:tcMar>
            <w:shd w:fill="FFFFFF"/>
          </w:tcPr>
          <w:p>
            <w:pPr>
              <w:spacing w:after="0" w:line="247" w:lineRule="auto"/>
            </w:pPr>
            <w:r>
              <w:rPr>
                <w:b w:val="0"/>
                <w:sz w:val="20"/>
              </w:rPr>
              <w:t>Extraction, scrubbing and chunking</w:t>
            </w:r>
          </w:p>
        </w:tc>
        <w:tc>
          <w:tcPr>
            <w:tcW w:type="dxa" w:w="6408"/>
            <w:vAlign w:val="center"/>
            <w:tcMar>
              <w:top w:w="85" w:type="dxa"/>
              <w:bottom w:w="85" w:type="dxa"/>
              <w:left w:w="95" w:type="dxa"/>
              <w:right w:w="95" w:type="dxa"/>
            </w:tcMar>
            <w:shd w:fill="FFFFFF"/>
          </w:tcPr>
          <w:p>
            <w:pPr>
              <w:spacing w:after="0" w:line="247" w:lineRule="auto"/>
            </w:pPr>
            <w:r>
              <w:rPr>
                <w:b w:val="0"/>
                <w:sz w:val="19"/>
              </w:rPr>
              <w:t>src/lib/documents.ts</w:t>
            </w:r>
          </w:p>
        </w:tc>
      </w:tr>
      <w:tr>
        <w:trPr>
          <w:cantSplit/>
        </w:trPr>
        <w:tc>
          <w:tcPr>
            <w:tcW w:type="dxa" w:w="3672"/>
            <w:vAlign w:val="center"/>
            <w:tcMar>
              <w:top w:w="85" w:type="dxa"/>
              <w:bottom w:w="85" w:type="dxa"/>
              <w:left w:w="95" w:type="dxa"/>
              <w:right w:w="95" w:type="dxa"/>
            </w:tcMar>
            <w:shd w:fill="F2F5F8"/>
          </w:tcPr>
          <w:p>
            <w:pPr>
              <w:spacing w:after="0" w:line="247" w:lineRule="auto"/>
            </w:pPr>
            <w:r>
              <w:rPr>
                <w:b w:val="0"/>
                <w:sz w:val="20"/>
              </w:rPr>
              <w:t>Retrieval and evidence threshold</w:t>
            </w:r>
          </w:p>
        </w:tc>
        <w:tc>
          <w:tcPr>
            <w:tcW w:type="dxa" w:w="6408"/>
            <w:vAlign w:val="center"/>
            <w:tcMar>
              <w:top w:w="85" w:type="dxa"/>
              <w:bottom w:w="85" w:type="dxa"/>
              <w:left w:w="95" w:type="dxa"/>
              <w:right w:w="95" w:type="dxa"/>
            </w:tcMar>
            <w:shd w:fill="F2F5F8"/>
          </w:tcPr>
          <w:p>
            <w:pPr>
              <w:spacing w:after="0" w:line="247" w:lineRule="auto"/>
            </w:pPr>
            <w:r>
              <w:rPr>
                <w:b w:val="0"/>
                <w:sz w:val="19"/>
              </w:rPr>
              <w:t>src/lib/memory.ts</w:t>
            </w:r>
          </w:p>
        </w:tc>
      </w:tr>
      <w:tr>
        <w:trPr>
          <w:cantSplit/>
        </w:trPr>
        <w:tc>
          <w:tcPr>
            <w:tcW w:type="dxa" w:w="3672"/>
            <w:vAlign w:val="center"/>
            <w:tcMar>
              <w:top w:w="85" w:type="dxa"/>
              <w:bottom w:w="85" w:type="dxa"/>
              <w:left w:w="95" w:type="dxa"/>
              <w:right w:w="95" w:type="dxa"/>
            </w:tcMar>
            <w:shd w:fill="FFFFFF"/>
          </w:tcPr>
          <w:p>
            <w:pPr>
              <w:spacing w:after="0" w:line="247" w:lineRule="auto"/>
            </w:pPr>
            <w:r>
              <w:rPr>
                <w:b w:val="0"/>
                <w:sz w:val="20"/>
              </w:rPr>
              <w:t>Citation-marker auditing</w:t>
            </w:r>
          </w:p>
        </w:tc>
        <w:tc>
          <w:tcPr>
            <w:tcW w:type="dxa" w:w="6408"/>
            <w:vAlign w:val="center"/>
            <w:tcMar>
              <w:top w:w="85" w:type="dxa"/>
              <w:bottom w:w="85" w:type="dxa"/>
              <w:left w:w="95" w:type="dxa"/>
              <w:right w:w="95" w:type="dxa"/>
            </w:tcMar>
            <w:shd w:fill="FFFFFF"/>
          </w:tcPr>
          <w:p>
            <w:pPr>
              <w:spacing w:after="0" w:line="247" w:lineRule="auto"/>
            </w:pPr>
            <w:r>
              <w:rPr>
                <w:b w:val="0"/>
                <w:sz w:val="19"/>
              </w:rPr>
              <w:t>src/lib/citation-audit.ts</w:t>
            </w:r>
          </w:p>
        </w:tc>
      </w:tr>
      <w:tr>
        <w:trPr>
          <w:cantSplit/>
        </w:trPr>
        <w:tc>
          <w:tcPr>
            <w:tcW w:type="dxa" w:w="3672"/>
            <w:vAlign w:val="center"/>
            <w:tcMar>
              <w:top w:w="85" w:type="dxa"/>
              <w:bottom w:w="85" w:type="dxa"/>
              <w:left w:w="95" w:type="dxa"/>
              <w:right w:w="95" w:type="dxa"/>
            </w:tcMar>
            <w:shd w:fill="F2F5F8"/>
          </w:tcPr>
          <w:p>
            <w:pPr>
              <w:spacing w:after="0" w:line="247" w:lineRule="auto"/>
            </w:pPr>
            <w:r>
              <w:rPr>
                <w:b w:val="0"/>
                <w:sz w:val="20"/>
              </w:rPr>
              <w:t>Retrieved-content safeguards</w:t>
            </w:r>
          </w:p>
        </w:tc>
        <w:tc>
          <w:tcPr>
            <w:tcW w:type="dxa" w:w="6408"/>
            <w:vAlign w:val="center"/>
            <w:tcMar>
              <w:top w:w="85" w:type="dxa"/>
              <w:bottom w:w="85" w:type="dxa"/>
              <w:left w:w="95" w:type="dxa"/>
              <w:right w:w="95" w:type="dxa"/>
            </w:tcMar>
            <w:shd w:fill="F2F5F8"/>
          </w:tcPr>
          <w:p>
            <w:pPr>
              <w:spacing w:after="0" w:line="247" w:lineRule="auto"/>
            </w:pPr>
            <w:r>
              <w:rPr>
                <w:b w:val="0"/>
                <w:sz w:val="19"/>
              </w:rPr>
              <w:t>src/lib/prompt-guard.ts</w:t>
            </w:r>
          </w:p>
        </w:tc>
      </w:tr>
      <w:tr>
        <w:trPr>
          <w:cantSplit/>
        </w:trPr>
        <w:tc>
          <w:tcPr>
            <w:tcW w:type="dxa" w:w="3672"/>
            <w:vAlign w:val="center"/>
            <w:tcMar>
              <w:top w:w="85" w:type="dxa"/>
              <w:bottom w:w="85" w:type="dxa"/>
              <w:left w:w="95" w:type="dxa"/>
              <w:right w:w="95" w:type="dxa"/>
            </w:tcMar>
            <w:shd w:fill="FFFFFF"/>
          </w:tcPr>
          <w:p>
            <w:pPr>
              <w:spacing w:after="0" w:line="247" w:lineRule="auto"/>
            </w:pPr>
            <w:r>
              <w:rPr>
                <w:b w:val="0"/>
                <w:sz w:val="20"/>
              </w:rPr>
              <w:t>Pricing calculation and adjustments</w:t>
            </w:r>
          </w:p>
        </w:tc>
        <w:tc>
          <w:tcPr>
            <w:tcW w:type="dxa" w:w="6408"/>
            <w:vAlign w:val="center"/>
            <w:tcMar>
              <w:top w:w="85" w:type="dxa"/>
              <w:bottom w:w="85" w:type="dxa"/>
              <w:left w:w="95" w:type="dxa"/>
              <w:right w:w="95" w:type="dxa"/>
            </w:tcMar>
            <w:shd w:fill="FFFFFF"/>
          </w:tcPr>
          <w:p>
            <w:pPr>
              <w:spacing w:after="0" w:line="247" w:lineRule="auto"/>
            </w:pPr>
            <w:r>
              <w:rPr>
                <w:b w:val="0"/>
                <w:sz w:val="19"/>
              </w:rPr>
              <w:t>src/lib/pricing/index.ts and types.ts</w:t>
            </w:r>
          </w:p>
        </w:tc>
      </w:tr>
      <w:tr>
        <w:trPr>
          <w:cantSplit/>
        </w:trPr>
        <w:tc>
          <w:tcPr>
            <w:tcW w:type="dxa" w:w="3672"/>
            <w:vAlign w:val="center"/>
            <w:tcMar>
              <w:top w:w="85" w:type="dxa"/>
              <w:bottom w:w="85" w:type="dxa"/>
              <w:left w:w="95" w:type="dxa"/>
              <w:right w:w="95" w:type="dxa"/>
            </w:tcMar>
            <w:shd w:fill="F2F5F8"/>
          </w:tcPr>
          <w:p>
            <w:pPr>
              <w:keepNext/>
              <w:spacing w:after="0" w:line="247" w:lineRule="auto"/>
            </w:pPr>
            <w:r>
              <w:rPr>
                <w:b w:val="0"/>
                <w:sz w:val="20"/>
              </w:rPr>
              <w:t>Provider rate table</w:t>
            </w:r>
          </w:p>
        </w:tc>
        <w:tc>
          <w:tcPr>
            <w:tcW w:type="dxa" w:w="6408"/>
            <w:vAlign w:val="center"/>
            <w:tcMar>
              <w:top w:w="85" w:type="dxa"/>
              <w:bottom w:w="85" w:type="dxa"/>
              <w:left w:w="95" w:type="dxa"/>
              <w:right w:w="95" w:type="dxa"/>
            </w:tcMar>
            <w:shd w:fill="F2F5F8"/>
          </w:tcPr>
          <w:p>
            <w:pPr>
              <w:keepNext/>
              <w:spacing w:after="0" w:line="247" w:lineRule="auto"/>
            </w:pPr>
            <w:r>
              <w:rPr>
                <w:b w:val="0"/>
                <w:sz w:val="19"/>
              </w:rPr>
              <w:t>src/lib/pricing/groq.ts</w:t>
            </w:r>
          </w:p>
        </w:tc>
      </w:tr>
      <w:tr>
        <w:trPr>
          <w:cantSplit/>
        </w:trPr>
        <w:tc>
          <w:tcPr>
            <w:tcW w:type="dxa" w:w="3672"/>
            <w:vAlign w:val="center"/>
            <w:tcMar>
              <w:top w:w="85" w:type="dxa"/>
              <w:bottom w:w="85" w:type="dxa"/>
              <w:left w:w="95" w:type="dxa"/>
              <w:right w:w="95" w:type="dxa"/>
            </w:tcMar>
            <w:shd w:fill="FFFFFF"/>
          </w:tcPr>
          <w:p>
            <w:pPr>
              <w:keepNext/>
              <w:spacing w:after="0" w:line="247" w:lineRule="auto"/>
            </w:pPr>
            <w:r>
              <w:rPr>
                <w:b w:val="0"/>
                <w:sz w:val="20"/>
              </w:rPr>
              <w:t>Monthly cap enforcement</w:t>
            </w:r>
          </w:p>
        </w:tc>
        <w:tc>
          <w:tcPr>
            <w:tcW w:type="dxa" w:w="6408"/>
            <w:vAlign w:val="center"/>
            <w:tcMar>
              <w:top w:w="85" w:type="dxa"/>
              <w:bottom w:w="85" w:type="dxa"/>
              <w:left w:w="95" w:type="dxa"/>
              <w:right w:w="95" w:type="dxa"/>
            </w:tcMar>
            <w:shd w:fill="FFFFFF"/>
          </w:tcPr>
          <w:p>
            <w:pPr>
              <w:keepNext/>
              <w:spacing w:after="0" w:line="247" w:lineRule="auto"/>
            </w:pPr>
            <w:r>
              <w:rPr>
                <w:b w:val="0"/>
                <w:sz w:val="19"/>
              </w:rPr>
              <w:t>src/lib/cost-cap.ts</w:t>
            </w:r>
          </w:p>
        </w:tc>
      </w:tr>
      <w:tr>
        <w:trPr>
          <w:cantSplit/>
        </w:trPr>
        <w:tc>
          <w:tcPr>
            <w:tcW w:type="dxa" w:w="3672"/>
            <w:vAlign w:val="center"/>
            <w:tcMar>
              <w:top w:w="85" w:type="dxa"/>
              <w:bottom w:w="85" w:type="dxa"/>
              <w:left w:w="95" w:type="dxa"/>
              <w:right w:w="95" w:type="dxa"/>
            </w:tcMar>
            <w:shd w:fill="F2F5F8"/>
          </w:tcPr>
          <w:p>
            <w:pPr>
              <w:spacing w:after="0" w:line="247" w:lineRule="auto"/>
            </w:pPr>
            <w:r>
              <w:rPr>
                <w:b w:val="0"/>
                <w:sz w:val="20"/>
              </w:rPr>
              <w:t>AWS credential resolution</w:t>
            </w:r>
          </w:p>
        </w:tc>
        <w:tc>
          <w:tcPr>
            <w:tcW w:type="dxa" w:w="6408"/>
            <w:vAlign w:val="center"/>
            <w:tcMar>
              <w:top w:w="85" w:type="dxa"/>
              <w:bottom w:w="85" w:type="dxa"/>
              <w:left w:w="95" w:type="dxa"/>
              <w:right w:w="95" w:type="dxa"/>
            </w:tcMar>
            <w:shd w:fill="F2F5F8"/>
          </w:tcPr>
          <w:p>
            <w:pPr>
              <w:spacing w:after="0" w:line="247" w:lineRule="auto"/>
            </w:pPr>
            <w:r>
              <w:rPr>
                <w:b w:val="0"/>
                <w:sz w:val="19"/>
              </w:rPr>
              <w:t>src/lib/aws-credentials.ts</w:t>
            </w:r>
          </w:p>
        </w:tc>
      </w:tr>
    </w:tbl>
    <w:p>
      <w:pPr>
        <w:spacing w:after="40" w:before="0" w:line="240" w:lineRule="auto"/>
      </w:pPr>
      <w:r>
        <w:rPr>
          <w:sz w:val="4"/>
        </w:rPr>
      </w:r>
    </w:p>
    <w:p>
      <w:pPr>
        <w:pStyle w:val="Heading2"/>
      </w:pPr>
      <w:r>
        <w:t>AWS reference material</w:t>
      </w:r>
    </w:p>
    <w:p>
      <w:pPr>
        <w:keepLines/>
        <w:widowControl/>
      </w:pPr>
      <w:r>
        <w:t>These references explain service capabilities. They do not verify SecureMind's implementation.</w:t>
      </w:r>
    </w:p>
    <w:p>
      <w:pPr>
        <w:widowControl/>
      </w:pPr>
      <w:r>
        <w:t>Amazon Transcribe streaming setup</w:t>
      </w:r>
    </w:p>
    <w:p>
      <w:pPr>
        <w:widowControl/>
      </w:pPr>
      <w:r>
        <w:rPr>
          <w:sz w:val="18"/>
        </w:rPr>
        <w:t>https://docs.aws.amazon.com/transcribe/latest/dg/streaming-setting-up.html</w:t>
      </w:r>
    </w:p>
    <w:p>
      <w:pPr>
        <w:widowControl/>
      </w:pPr>
      <w:r>
        <w:t>Amazon S3 encryption with AWS KMS</w:t>
      </w:r>
    </w:p>
    <w:p>
      <w:pPr>
        <w:widowControl/>
      </w:pPr>
      <w:r>
        <w:rPr>
          <w:sz w:val="18"/>
        </w:rPr>
        <w:t>https://docs.aws.amazon.com/AmazonS3/latest/userguide/UsingKMSEncryption.html</w:t>
      </w:r>
    </w:p>
    <w:p>
      <w:pPr>
        <w:widowControl/>
      </w:pPr>
      <w:r>
        <w:t>Amazon Macie documentation</w:t>
      </w:r>
    </w:p>
    <w:p>
      <w:pPr>
        <w:widowControl/>
      </w:pPr>
      <w:r>
        <w:rPr>
          <w:sz w:val="18"/>
        </w:rPr>
        <w:t>https://docs.aws.amazon.com/macie/</w:t>
      </w:r>
    </w:p>
    <w:p>
      <w:pPr>
        <w:pStyle w:val="Heading1"/>
      </w:pPr>
      <w:r>
        <w:t>Appendix A Implementation review checklist</w:t>
      </w:r>
    </w:p>
    <w:p>
      <w:pPr>
        <w:keepLines/>
        <w:widowControl/>
      </w:pPr>
      <w:r>
        <w:t>Use this checklist with the codebase to resolve the remaining questions. For each item, record the actual behaviour, the file or infrastructure definition that proves it, and whether the guide or application needs changing. Intended behaviour should not be marked implemented solely because it appears in this guide.</w:t>
      </w:r>
    </w:p>
    <w:p>
      <w:pPr>
        <w:pStyle w:val="Heading2"/>
      </w:pPr>
      <w:r>
        <w:t>A1 Deployment and request lifecycle</w:t>
      </w:r>
    </w:p>
    <w:p>
      <w:pPr>
        <w:keepLines/>
        <w:widowControl/>
      </w:pPr>
      <w:r>
        <w:t>1. Cloud routing. Inventory every API route. Confirm which run on Amplify and which use API Gateway and Lambda. Compare this with the intended all-API-Gateway backend and update the architecture diagrams accordingly.</w:t>
      </w:r>
    </w:p>
    <w:p>
      <w:pPr>
        <w:widowControl/>
      </w:pPr>
      <w:r>
        <w:t>2. Streaming. Identify the local and cloud transports, timeouts, authentication, disconnect handling, and partial-response storage. Establish whether Stop or a workspace switch cancels provider generation or only browser delivery. Decide whether the existing transport needs any additional service.</w:t>
      </w:r>
    </w:p>
    <w:p>
      <w:pPr>
        <w:widowControl/>
      </w:pPr>
      <w:r>
        <w:t>3. Queue isolation. Trace the reviewed text, attachments, and workspace identifier from composition through enqueue and send. Confirm what is discarded on switching workspaces and whether any queued message can reach a different workspace.</w:t>
      </w:r>
    </w:p>
    <w:p>
      <w:pPr>
        <w:widowControl/>
      </w:pPr>
      <w:r>
        <w:t>4. Authentication and ownership. Verify getIdentity, role enforcement, the Floci configuration, initial setup, and record-level access. Check that vector queries and file routes enforce user and workspace ownership. Confirm one continuous session per workspace and whether any workspace-count cap already exists.</w:t>
      </w:r>
    </w:p>
    <w:p>
      <w:pPr>
        <w:pStyle w:val="Heading2"/>
      </w:pPr>
      <w:r>
        <w:t>A2 Detection and credentials</w:t>
      </w:r>
    </w:p>
    <w:p>
      <w:pPr>
        <w:keepLines/>
        <w:widowControl/>
      </w:pPr>
      <w:r>
        <w:t>5. Detection coverage. Compare the Low, Balanced, and High table with the code. Verify safe-term eligibility, cumulative coverage, the default, and forward-only policy changes. Determine how browser processing behaves for large drafts and whether any worker or size limit is used.</w:t>
      </w:r>
    </w:p>
    <w:p>
      <w:pPr>
        <w:widowControl/>
      </w:pPr>
      <w:r>
        <w:t>6. Input enforcement. Determine whether chat is scrubbed again on the server. Test the original-value handling in the normal UI and direct API path. Verify raw matches are excluded from database fields, logs, localStorage, telemetry, and error reports.</w:t>
      </w:r>
    </w:p>
    <w:p>
      <w:pPr>
        <w:widowControl/>
      </w:pPr>
      <w:r>
        <w:t>7. Output scanning. Resolve the disagreement between expected algorithmic scanning and the source claim of no output scanning. Identify exactly what runs before streaming, during streaming, before persistence, and after completion.</w:t>
      </w:r>
    </w:p>
    <w:p>
      <w:pPr>
        <w:widowControl/>
      </w:pPr>
      <w:r>
        <w:t>8. Provider secrets. Confirm smenc:v1 encryption, algorithm and key derivation, where INSTANCE_ENCRYPTION_KEY lives, local key-file permissions, rotation, decryption access, and masked API responses. Identify which values actually reside in Secrets Manager and any KMS dependency.</w:t>
      </w:r>
    </w:p>
    <w:p>
      <w:pPr>
        <w:widowControl/>
      </w:pPr>
      <w:r>
        <w:t>9. AWS access. Verify rejection of pasted AWS keys in settings, credential-chain behaviour, awsProfile handling, endpoint isolation, and the real-AWS gate for every relevant service. Confirm role-based permissions for hosted execution.</w:t>
      </w:r>
    </w:p>
    <w:p>
      <w:pPr>
        <w:pStyle w:val="Heading2"/>
      </w:pPr>
      <w:r>
        <w:t>A3 Models and scoring</w:t>
      </w:r>
    </w:p>
    <w:p>
      <w:pPr>
        <w:keepLines/>
        <w:widowControl/>
      </w:pPr>
      <w:r>
        <w:t>10. Provider-independent selection. Trace configured tier models, invalid assignments, defaults, and fallback precedence in both deployments. Remove reliance on Groq where optional provider configuration is intended. Confirm the no-provider cloud response and local installed-model behaviour.</w:t>
      </w:r>
    </w:p>
    <w:p>
      <w:pPr>
        <w:widowControl/>
      </w:pPr>
      <w:r>
        <w:t>11. Scoring accuracy. Verify the baseline, weights, thresholds, order of caps, and message-length comparisons. Investigate the unreachable over-450-character branch. Test short difficult prompts and long simple prompts without assuming length equals complexity.</w:t>
      </w:r>
    </w:p>
    <w:p>
      <w:pPr>
        <w:widowControl/>
      </w:pPr>
      <w:r>
        <w:t>12. Thread inheritance and classification. Verify the under-160 rule, exclusions, recent-message window, tier inheritance, and any actual expiry rule. Confirm the 34-to-46 ambiguous band, optional classifier model and settings, failure fallback, Micro overrides, and legacy High/Fast normalization.</w:t>
      </w:r>
    </w:p>
    <w:p>
      <w:pPr>
        <w:widowControl/>
      </w:pPr>
      <w:r>
        <w:t>13. Fixed mode and catalogue controls. Confirm that a fixed model changes runtime routing without unexpectedly overwriting saved tier assignments. Check allowlist enforcement, capability checks, verification expiry, and what Hide does to an assigned model.</w:t>
      </w:r>
    </w:p>
    <w:p>
      <w:pPr>
        <w:widowControl/>
      </w:pPr>
      <w:r>
        <w:t>14. Background work. Identify every summarization, extraction, classification, and other supporting call. Record its provider, model selection, enablement, failure behaviour, and usage accounting. Replace “cheapest configured model” with the actual selection rule.</w:t>
      </w:r>
    </w:p>
    <w:p>
      <w:pPr>
        <w:pStyle w:val="Heading2"/>
      </w:pPr>
      <w:r>
        <w:t>A4 Knowledge and memory</w:t>
      </w:r>
    </w:p>
    <w:p>
      <w:pPr>
        <w:keepLines/>
        <w:widowControl/>
      </w:pPr>
      <w:r>
        <w:t>15. Vector storage. Identify the actual AWS vector service and API, index creation, supported dimensions, and similarity query. Verify the reported Titan and local embedding settings. Distinguish separate physical indexes from user/workspace-filtered records and confirm isolation on every retrieval path.</w:t>
      </w:r>
    </w:p>
    <w:p>
      <w:pPr>
        <w:widowControl/>
      </w:pPr>
      <w:r>
        <w:t>16. Retrieval and citations. Establish whether the query returns cosine similarity or distance, how 0.5 is applied, the retrieval top-k value, source limits, and prior-source filtering. Verify prompt safeguards, source display, audit timing, declined status, and invalid or unused markers.</w:t>
      </w:r>
    </w:p>
    <w:p>
      <w:pPr>
        <w:widowControl/>
      </w:pPr>
      <w:r>
        <w:t>17. Ingestion and originals. Trace extraction, scrubbing, chunking, storage, and embedding. Confirm chunk size, overlap, boundary selection, dropped short pieces, and file-type differences. Identify original-file locations, retained sensitive content, access, deletion, and reprocessing in each deployment.</w:t>
      </w:r>
    </w:p>
    <w:p>
      <w:pPr>
        <w:widowControl/>
      </w:pPr>
      <w:r>
        <w:t>18. Images and spreadsheets. Resolve the conflicting Groq, Bedrock, and filename-stub paths. Verify a configured vision model can be used and what happens without one. Determine whether raw images leave before redaction. Document spreadsheet operations, limits, and exactly what data reaches the model.</w:t>
      </w:r>
    </w:p>
    <w:p>
      <w:pPr>
        <w:widowControl/>
      </w:pPr>
      <w:r>
        <w:t>19. Summary and facts. Locate session-summary storage, update triggers, context selection, extraction model, and the distinction between user facts and assistant replies. Find the UI and routes for correct, pin, forget, restore, and delete; do not claim controls that are absent.</w:t>
      </w:r>
    </w:p>
    <w:p>
      <w:pPr>
        <w:widowControl/>
      </w:pPr>
      <w:r>
        <w:t>20. Settings inventory. Record chat and background temperature, generation top-p and top-k, token limits, retrieval top-k, chunking, and embedding settings. Separate existing user controls from future proposals. Include the consequences of changing settings that require re-embedding.</w:t>
      </w:r>
    </w:p>
    <w:p>
      <w:pPr>
        <w:pStyle w:val="Heading2"/>
      </w:pPr>
      <w:r>
        <w:t>A5 Cost reporting and user controls</w:t>
      </w:r>
    </w:p>
    <w:p>
      <w:pPr>
        <w:keepLines/>
        <w:widowControl/>
      </w:pPr>
      <w:r>
        <w:t>21. Baseline comparison. Verify the user-selectable comparison model, where its choice is saved, historical recalculation, and treatment of additional spend. Resolve the fixed baseline and zero-clamped savings described in the old guide.</w:t>
      </w:r>
    </w:p>
    <w:p>
      <w:pPr>
        <w:widowControl/>
      </w:pPr>
      <w:r>
        <w:t>22. Estimator and cap. Verify rate sources, overrides, missing-price flags, fallback rates, uplift, rounding, token counting, and zero/error handling. Confirm null Unlimited versus the $100,000 numeric limit, defaults, warnings, UTC reset, concurrent requests, and overruns. Identify which supporting calls and services count toward reporting and blocking.</w:t>
      </w:r>
    </w:p>
    <w:p>
      <w:pPr>
        <w:widowControl/>
      </w:pPr>
      <w:r>
        <w:t>23. Voice. Confirm Groq Whisper and Transcribe backend names, audio path, browser support, permission action, signed connection or relay, explicit enablement, billing visibility, temporary retention, and transcript detection. Keep self-hosted Whisper as a future option unless implemented.</w:t>
      </w:r>
    </w:p>
    <w:p>
      <w:pPr>
        <w:widowControl/>
      </w:pPr>
      <w:r>
        <w:t>24. Insights and account data. Verify tier reply counts versus model calls and provider availability counts. Check administrator totals, per-user access, avatars, bookmarks, themes, account deletion versus data deletion, and the absence of raw sensitive values in analytics.</w:t>
      </w:r>
    </w:p>
    <w:p>
      <w:pPr>
        <w:pStyle w:val="Heading2"/>
      </w:pPr>
      <w:r>
        <w:t>A6 Follow-on design decisions</w:t>
      </w:r>
    </w:p>
    <w:p>
      <w:pPr>
        <w:keepLines/>
        <w:widowControl/>
      </w:pPr>
      <w:r>
        <w:t>Consider advanced AI controls, workspace limits, self-hosted Whisper, and optional AWS security controls after verification. Preserve the low-cost local experience. Update the guide and architecture diagrams from the verified implementation, and track application changes separately from documentation corrections.</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SecureMind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6"/>
      </w:rPr>
      <w:t>SECUREMIND  |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Calibri" w:hAnsi="Calibri"/>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SecureMind Technical Guide</dc:title>
  <dc:subject>Architecture and application behaviour</dc:subject>
  <dc:creator>Orie Hulan</dc:creator>
  <cp:keywords>SecureMind, architecture, technical guide</cp:keywords>
  <dc:description>generated by python-docx</dc:description>
  <cp:lastModifiedBy/>
  <cp:revision>1</cp:revision>
  <dcterms:created xsi:type="dcterms:W3CDTF">2013-12-23T23:15:00Z</dcterms:created>
  <dcterms:modified xsi:type="dcterms:W3CDTF">2013-12-23T23:15:00Z</dcterms:modified>
  <cp:category/>
</cp:coreProperties>
</file>