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fill="5B4DB8" w:val="clear"/>
            <w:tcBorders>
              <w:top w:val="single" w:sz="4" w:color="5B4DB8"/>
              <w:left w:val="single" w:sz="4" w:color="5B4DB8"/>
              <w:bottom w:val="single" w:sz="4" w:color="5B4DB8"/>
              <w:right w:val="single" w:sz="4" w:color="5B4DB8"/>
            </w:tcBorders>
            <w:tcMar>
              <w:top w:w="160" w:type="dxa"/>
              <w:left w:w="160" w:type="dxa"/>
              <w:bottom w:w="160" w:type="dxa"/>
              <w:right w:w="160" w:type="dxa"/>
            </w:tcMar>
          </w:tcPr>
          <w:p>
            <w:pPr>
              <w:spacing w:before="120" w:after="0"/>
            </w:pPr>
            <w:r/>
            <w:r>
              <w:rPr>
                <w:rFonts w:ascii="Calibri" w:hAnsi="Calibri" w:eastAsia="Calibri"/>
                <w:b/>
                <w:i w:val="0"/>
                <w:color w:val="FFFFFF"/>
                <w:sz w:val="22"/>
              </w:rPr>
              <w:t>SECUREMIND</w:t>
            </w:r>
          </w:p>
          <w:p>
            <w:pPr>
              <w:spacing w:before="160" w:after="40"/>
            </w:pPr>
            <w:r>
              <w:rPr>
                <w:rFonts w:ascii="Calibri" w:hAnsi="Calibri" w:eastAsia="Calibri"/>
                <w:b/>
                <w:i w:val="0"/>
                <w:color w:val="FFFFFF"/>
                <w:sz w:val="56"/>
              </w:rPr>
              <w:t>Technical Guide</w:t>
            </w:r>
          </w:p>
          <w:p>
            <w:pPr>
              <w:spacing w:before="40" w:after="120"/>
            </w:pPr>
            <w:r>
              <w:rPr>
                <w:rFonts w:ascii="Calibri" w:hAnsi="Calibri" w:eastAsia="Calibri"/>
                <w:b w:val="0"/>
                <w:i w:val="0"/>
                <w:color w:val="E4E2F2"/>
                <w:sz w:val="24"/>
              </w:rPr>
              <w:t>How the application decides, stores, and prices a turn</w:t>
            </w:r>
          </w:p>
        </w:tc>
      </w:tr>
    </w:tbl>
    <w:p>
      <w:pPr>
        <w:spacing w:before="200" w:after="160"/>
      </w:pPr>
      <w:r>
        <w:rPr>
          <w:rFonts w:ascii="Calibri" w:hAnsi="Calibri" w:eastAsia="Calibri"/>
          <w:b/>
          <w:i w:val="0"/>
          <w:color w:val="5B4DB8"/>
          <w:sz w:val="22"/>
        </w:rPr>
        <w:t>Version 1.0</w:t>
      </w:r>
      <w:r>
        <w:rPr>
          <w:rFonts w:ascii="Calibri" w:hAnsi="Calibri" w:eastAsia="Calibri"/>
          <w:b w:val="0"/>
          <w:i w:val="0"/>
          <w:color w:val="5C616B"/>
          <w:sz w:val="22"/>
        </w:rPr>
        <w:t xml:space="preserve">   ·   29 September 2026</w:t>
      </w:r>
    </w:p>
    <w:p>
      <w:pPr>
        <w:spacing w:before="0" w:after="160" w:line="276" w:lineRule="auto"/>
      </w:pPr>
      <w:r>
        <w:rPr>
          <w:rFonts w:ascii="Calibri" w:hAnsi="Calibri" w:eastAsia="Calibri"/>
          <w:b w:val="0"/>
          <w:i w:val="0"/>
          <w:color w:val="1A1C1F"/>
          <w:sz w:val="22"/>
        </w:rPr>
        <w:t>This guide explains how SecureMind works. The feature guide describes what a person uses. This one describes the decisions the software makes, the data that moves, and the rules behind complexity tiers and estimated cost.</w:t>
      </w:r>
    </w:p>
    <w:p>
      <w:pPr>
        <w:spacing w:before="0" w:after="160" w:line="276" w:lineRule="auto"/>
      </w:pPr>
      <w:r>
        <w:rPr>
          <w:rFonts w:ascii="Calibri" w:hAnsi="Calibri" w:eastAsia="Calibri"/>
          <w:b w:val="0"/>
          <w:i w:val="0"/>
          <w:color w:val="1A1C1F"/>
          <w:sz w:val="22"/>
        </w:rPr>
        <w:t>It is written for developers, technical hiring managers, and the person operating an installation. File and function names are included so a reader can find the rule in the source. The prose stands on its own.</w:t>
      </w:r>
    </w:p>
    <w:p>
      <w:pPr>
        <w:spacing w:before="0" w:after="160" w:line="276" w:lineRule="auto"/>
      </w:pPr>
      <w:r>
        <w:rPr>
          <w:rFonts w:ascii="Calibri" w:hAnsi="Calibri" w:eastAsia="Calibri"/>
          <w:b w:val="0"/>
          <w:i w:val="0"/>
          <w:color w:val="1A1C1F"/>
          <w:sz w:val="22"/>
        </w:rPr>
        <w:t>Detection reduces exposure. It does not certify that content is free of sensitive data, and it is not a compliance program. Cost figures are estimates from recorded tokens and a curated rate table. They are not invoices.</w:t>
      </w:r>
    </w:p>
    <w:p>
      <w:pPr>
        <w:pStyle w:val="Heading1"/>
        <w:spacing w:before="320" w:after="120"/>
      </w:pPr>
      <w:r>
        <w:rPr>
          <w:rFonts w:ascii="Calibri" w:hAnsi="Calibri" w:eastAsia="Calibri"/>
          <w:b/>
          <w:color w:val="5B4DB8"/>
          <w:sz w:val="36"/>
        </w:rPr>
        <w:t>1  How to read this guide</w:t>
      </w:r>
    </w:p>
    <w:p>
      <w:pPr>
        <w:spacing w:before="0" w:after="160" w:line="276" w:lineRule="auto"/>
      </w:pPr>
      <w:r>
        <w:rPr>
          <w:rFonts w:ascii="Calibri" w:hAnsi="Calibri" w:eastAsia="Calibri"/>
          <w:b w:val="0"/>
          <w:i w:val="0"/>
          <w:color w:val="1A1C1F"/>
          <w:sz w:val="22"/>
        </w:rPr>
        <w:t>Read section 3 first. It is the path of one chat message. Later sections expand one step of that path. Complexity routing is section 8. Cost is section 15.</w:t>
      </w:r>
    </w:p>
    <w:p>
      <w:pPr>
        <w:spacing w:before="0" w:after="160" w:line="276" w:lineRule="auto"/>
      </w:pPr>
      <w:r>
        <w:rPr>
          <w:rFonts w:ascii="Calibri" w:hAnsi="Calibri" w:eastAsia="Calibri"/>
          <w:b w:val="0"/>
          <w:i w:val="0"/>
          <w:color w:val="1A1C1F"/>
          <w:sz w:val="22"/>
        </w:rPr>
        <w:t>Two installations exist. Local means Docker on the operator's machine, or a developer process, with Postgres. Hosted means the operator's own AWS account, with DynamoDB. Behavior that differs is called out in the section where it matters, and again in section 18.</w:t>
      </w:r>
    </w:p>
    <w:p>
      <w:pPr>
        <w:pStyle w:val="Heading1"/>
        <w:spacing w:before="320" w:after="120"/>
      </w:pPr>
      <w:r>
        <w:rPr>
          <w:rFonts w:ascii="Calibri" w:hAnsi="Calibri" w:eastAsia="Calibri"/>
          <w:b/>
          <w:color w:val="5B4DB8"/>
          <w:sz w:val="36"/>
        </w:rPr>
        <w:t>2  What the system is</w:t>
      </w:r>
    </w:p>
    <w:p>
      <w:pPr>
        <w:spacing w:before="0" w:after="160" w:line="276" w:lineRule="auto"/>
      </w:pPr>
      <w:r>
        <w:rPr>
          <w:rFonts w:ascii="Calibri" w:hAnsi="Calibri" w:eastAsia="Calibri"/>
          <w:b w:val="0"/>
          <w:i w:val="0"/>
          <w:color w:val="1A1C1F"/>
          <w:sz w:val="22"/>
        </w:rPr>
        <w:t>SecureMind is a single-operator AI workspace. One installation has its own users, vendor keys, detection policy, and stored conversations. It is not a shared public service that holds every customer's keys.</w:t>
      </w:r>
    </w:p>
    <w:p>
      <w:pPr>
        <w:spacing w:before="0" w:after="160" w:line="276" w:lineRule="auto"/>
      </w:pPr>
      <w:r>
        <w:rPr>
          <w:rFonts w:ascii="Calibri" w:hAnsi="Calibri" w:eastAsia="Calibri"/>
          <w:b w:val="0"/>
          <w:i w:val="0"/>
          <w:color w:val="1A1C1F"/>
          <w:sz w:val="22"/>
        </w:rPr>
        <w:t>The useful layer is detection before a typed message is sent, workspace memory, Knowledge with citations, complexity-tier model choice, and a visible estimate of spend and detected-risk. The product name in the chrome is SecureMind. The name shown as the speaker in a chat is the workspace name. That name is a label. It is not a personality, and it is not injected into social or general turns.</w:t>
      </w:r>
    </w:p>
    <w:p>
      <w:pPr>
        <w:spacing w:before="0" w:after="160" w:line="276" w:lineRule="auto"/>
      </w:pPr>
      <w:r>
        <w:rPr>
          <w:rFonts w:ascii="Calibri" w:hAnsi="Calibri" w:eastAsia="Calibri"/>
          <w:b w:val="0"/>
          <w:i w:val="0"/>
          <w:color w:val="1A1C1F"/>
          <w:sz w:val="22"/>
        </w:rPr>
        <w:t>A browser-supplied model id is a preference. The server accepts it only through resolveAllowedModel() in src/lib/models/allowlist.ts. Anything else is ignored and the router's choice stands. The server does not infer a provider from a substring of a client-supplied id.</w:t>
      </w:r>
    </w:p>
    <w:p>
      <w:pPr>
        <w:pStyle w:val="Heading1"/>
        <w:spacing w:before="320" w:after="120"/>
      </w:pPr>
      <w:r>
        <w:rPr>
          <w:rFonts w:ascii="Calibri" w:hAnsi="Calibri" w:eastAsia="Calibri"/>
          <w:b/>
          <w:color w:val="5B4DB8"/>
          <w:sz w:val="36"/>
        </w:rPr>
        <w:t>3  One chat turn</w:t>
      </w:r>
    </w:p>
    <w:p>
      <w:pPr>
        <w:spacing w:before="0" w:after="160" w:line="276" w:lineRule="auto"/>
      </w:pPr>
      <w:r>
        <w:rPr>
          <w:rFonts w:ascii="Calibri" w:hAnsi="Calibri" w:eastAsia="Calibri"/>
          <w:b w:val="0"/>
          <w:i w:val="0"/>
          <w:color w:val="1A1C1F"/>
          <w:sz w:val="22"/>
        </w:rPr>
        <w:t>The chat path is src/lib/chat/run-chat-stream.ts. Locally the browser calls the Next.js route on the same origin. On the hosted stack the stream goes to API Gateway and the chat Lambda. The UI and the other APIs stay on Amplify. Chat is not streamed through an Amplify Next route.</w:t>
      </w:r>
    </w:p>
    <w:tbl>
      <w:tblPr>
        <w:tblW w:type="auto" w:w="0"/>
        <w:tblLayout w:type="fixed"/>
        <w:tblLook w:firstColumn="1" w:firstRow="1" w:lastColumn="0" w:lastRow="0" w:noHBand="0" w:noVBand="1" w:val="04A0"/>
      </w:tblPr>
      <w:tblGrid>
        <w:gridCol w:w="4824"/>
        <w:gridCol w:w="4824"/>
      </w:tblGrid>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Step</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What happens</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1. Composer</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user can type the next message while a reply is still generating. The queue holds the already-reviewed text and a snapshot of its attachments. Stop aborts the current stream. Switching workspace clears the queue and the composer.</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2. Detection</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For typed text, pattern detection runs in the browser. A match opens a review dialog. The text that continues is the reviewed replacement. There is no UI path that sends the original matched value.</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3. Identity</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server takes the user id from the session (getIdentity). It does not read a user id from the body, the query string, or a client header.</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4. Cap</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If this user's UTC-month estimate is already at the cap, and the call is billable, the server returns 402 and does not call the model. Local Ollama is not in that cap.</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5. Turn policy</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decideTurn classifies the message. That decision controls retrieval, citations, and whether workspace context is added to the prompt. It does not choose the model, except when it forces the Micro tier.</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6. Tier</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routeMessage scores the message and picks Max, Plus, Standard, Light, or Micro. A narrow ambiguous band may ask a small Groq model to break the tie.</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7. Model</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tier selects the assigned model. A fixed-model choice assigns that same model to every tier. An image forces the vision model. The allowlist can reject the assignment.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8. Prompt</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Conversational rules apply on every turn. Operational grounding and workspace context apply only when the turn needs them. Retrieved passages are fenced.</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9. Stream</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reply streams back. The stored user message is the sanitized text. After the answer, citation markers are checked against the sources that were actually packed.</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10. Record</w:t>
            </w:r>
          </w:p>
        </w:tc>
        <w:tc>
          <w:tcPr>
            <w:tcW w:type="dxa" w:w="777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An inference event stores the model, the tier, token counts, grounding, and the cost estimate. A detection finding stores the category and the outcome. It does not store the matched string.</w:t>
            </w:r>
          </w:p>
        </w:tc>
      </w:tr>
    </w:tbl>
    <w:p>
      <w:pPr>
        <w:spacing w:after="80"/>
      </w:pPr>
    </w:p>
    <w:p>
      <w:pPr>
        <w:pStyle w:val="Heading1"/>
        <w:spacing w:before="320" w:after="120"/>
      </w:pPr>
      <w:r>
        <w:rPr>
          <w:rFonts w:ascii="Calibri" w:hAnsi="Calibri" w:eastAsia="Calibri"/>
          <w:b/>
          <w:color w:val="5B4DB8"/>
          <w:sz w:val="36"/>
        </w:rPr>
        <w:t>4  Identity and access</w:t>
      </w:r>
    </w:p>
    <w:p>
      <w:pPr>
        <w:spacing w:before="0" w:after="160" w:line="276" w:lineRule="auto"/>
      </w:pPr>
      <w:r>
        <w:rPr>
          <w:rFonts w:ascii="Calibri" w:hAnsi="Calibri" w:eastAsia="Calibri"/>
          <w:b w:val="0"/>
          <w:i w:val="0"/>
          <w:color w:val="1A1C1F"/>
          <w:sz w:val="22"/>
        </w:rPr>
        <w:t>userId comes from getIdentity(req) in src/lib/identity.ts and from nowhere else. Every read of a workspace, session, message, document, or memory fragment is scoped by that id. A record that exists but belongs to someone else is returned as 404, not 403, so the response does not confirm that the id exists.</w:t>
      </w:r>
    </w:p>
    <w:p>
      <w:pPr>
        <w:spacing w:before="0" w:after="160" w:line="276" w:lineRule="auto"/>
      </w:pPr>
      <w:r>
        <w:rPr>
          <w:rFonts w:ascii="Calibri" w:hAnsi="Calibri" w:eastAsia="Calibri"/>
          <w:b w:val="0"/>
          <w:i w:val="0"/>
          <w:color w:val="1A1C1F"/>
          <w:sz w:val="22"/>
        </w:rPr>
        <w:t>Default local development can run with AUTH_MODE=local. The Docker installation uses a local stand-in for Cognito (Floci) with AUTH_MODE=cognito. A hosted installation uses an invite-only Cognito user pool with email usernames and the groups Owner, Admin, and Member. Roles are enforced on admin routes through requireAdmin. Members use the shared provider connections and cannot read or change the secret keys.</w:t>
      </w:r>
    </w:p>
    <w:p>
      <w:pPr>
        <w:spacing w:before="0" w:after="160" w:line="276" w:lineRule="auto"/>
      </w:pPr>
      <w:r>
        <w:rPr>
          <w:rFonts w:ascii="Calibri" w:hAnsi="Calibri" w:eastAsia="Calibri"/>
          <w:b w:val="0"/>
          <w:i w:val="0"/>
          <w:color w:val="1A1C1F"/>
          <w:sz w:val="22"/>
        </w:rPr>
        <w:t>The first account on an empty pool is claimed through the setup flow: a setup code on the hosted install, or email and password on a local install. After that, an administrator creates accounts, assigns roles, sets passwords, and can suspend an account. Delete removes sign-in. It does not wipe Knowledge or history.</w:t>
      </w:r>
    </w:p>
    <w:p>
      <w:pPr>
        <w:pStyle w:val="Heading1"/>
        <w:spacing w:before="320" w:after="120"/>
      </w:pPr>
      <w:r>
        <w:rPr>
          <w:rFonts w:ascii="Calibri" w:hAnsi="Calibri" w:eastAsia="Calibri"/>
          <w:b/>
          <w:color w:val="5B4DB8"/>
          <w:sz w:val="36"/>
        </w:rPr>
        <w:t>5  Workspaces, sessions, and the queue</w:t>
      </w:r>
    </w:p>
    <w:p>
      <w:pPr>
        <w:spacing w:before="0" w:after="160" w:line="276" w:lineRule="auto"/>
      </w:pPr>
      <w:r>
        <w:rPr>
          <w:rFonts w:ascii="Calibri" w:hAnsi="Calibri" w:eastAsia="Calibri"/>
          <w:b w:val="0"/>
          <w:i w:val="0"/>
          <w:color w:val="1A1C1F"/>
          <w:sz w:val="22"/>
        </w:rPr>
        <w:t>A workspace is the boundary for chat history, Knowledge, facts, and saved items. Retrieval does not cross workspaces. One signed-in user can own many workspaces. The emoji and color are visual identity only. They are not sent to the model as a personality, and they do not select a model.</w:t>
      </w:r>
    </w:p>
    <w:p>
      <w:pPr>
        <w:spacing w:before="0" w:after="160" w:line="276" w:lineRule="auto"/>
      </w:pPr>
      <w:r>
        <w:rPr>
          <w:rFonts w:ascii="Calibri" w:hAnsi="Calibri" w:eastAsia="Calibri"/>
          <w:b w:val="0"/>
          <w:i w:val="0"/>
          <w:color w:val="1A1C1F"/>
          <w:sz w:val="22"/>
        </w:rPr>
        <w:t>Each workspace has one continuous session, messages, an optional rolling summary, user-authored facts, documents, and bookmarks. It can also store a short description and an operational context string. That context is added to the prompt only when needsOperationalPrompt is true. Social and general turns do not receive the workspace name or mission.</w:t>
      </w:r>
    </w:p>
    <w:p>
      <w:pPr>
        <w:spacing w:before="0" w:after="160" w:line="276" w:lineRule="auto"/>
      </w:pPr>
      <w:r>
        <w:rPr>
          <w:rFonts w:ascii="Calibri" w:hAnsi="Calibri" w:eastAsia="Calibri"/>
          <w:b w:val="0"/>
          <w:i w:val="0"/>
          <w:color w:val="1A1C1F"/>
          <w:sz w:val="22"/>
        </w:rPr>
        <w:t>An optional fixed model on the workspace, or the fixed-model control in Insights, bypasses per-tier model choice. The application still computes a tier, so Insights can count the reply against that tier. Every tier is then pointed at the same model id, provided the allowlist accepts it.</w:t>
      </w:r>
    </w:p>
    <w:p>
      <w:pPr>
        <w:spacing w:before="0" w:after="160" w:line="276" w:lineRule="auto"/>
      </w:pPr>
      <w:r>
        <w:rPr>
          <w:rFonts w:ascii="Calibri" w:hAnsi="Calibri" w:eastAsia="Calibri"/>
          <w:b w:val="0"/>
          <w:i w:val="0"/>
          <w:color w:val="1A1C1F"/>
          <w:sz w:val="22"/>
        </w:rPr>
        <w:t>Switching workspace aborts an in-flight stream, drops the outbound queue, clears the composer, and loads that workspace's session. A queued message cannot be delivered into the wrong workspace.</w:t>
      </w:r>
    </w:p>
    <w:p>
      <w:pPr>
        <w:pStyle w:val="Heading1"/>
        <w:spacing w:before="320" w:after="120"/>
      </w:pPr>
      <w:r>
        <w:rPr>
          <w:rFonts w:ascii="Calibri" w:hAnsi="Calibri" w:eastAsia="Calibri"/>
          <w:b/>
          <w:color w:val="5B4DB8"/>
          <w:sz w:val="36"/>
        </w:rPr>
        <w:t>6  Detection</w:t>
      </w:r>
    </w:p>
    <w:p>
      <w:pPr>
        <w:spacing w:before="0" w:after="160" w:line="276" w:lineRule="auto"/>
      </w:pPr>
      <w:r>
        <w:rPr>
          <w:rFonts w:ascii="Calibri" w:hAnsi="Calibri" w:eastAsia="Calibri"/>
          <w:b w:val="0"/>
          <w:i w:val="0"/>
          <w:color w:val="1A1C1F"/>
          <w:sz w:val="22"/>
        </w:rPr>
        <w:t>Detection is a pattern scan, not a model. Chat runs it in the browser (src/lib/pii.ts) before the draft leaves the page. Knowledge ingest runs the same families on the server after text extraction and before the text is stored or embedded (scrubDocumentText in src/lib/documents.ts). A crafted request can skip the browser, so the client is not a security boundary. There is no second server scrub of chat text that has already left the browser.</w:t>
      </w:r>
    </w:p>
    <w:p>
      <w:pPr>
        <w:spacing w:before="0" w:after="160" w:line="276" w:lineRule="auto"/>
      </w:pPr>
      <w:r>
        <w:rPr>
          <w:rFonts w:ascii="Calibri" w:hAnsi="Calibri" w:eastAsia="Calibri"/>
          <w:b w:val="0"/>
          <w:i w:val="0"/>
          <w:color w:val="1A1C1F"/>
          <w:sz w:val="22"/>
        </w:rPr>
        <w:t>When the browser finds a match, the user sees a review dialog. The raw matched value is not written to the database, localStorage, logs, or the model call. There is no restore path. Dismissing or deleting a finding removes the log entry. It does not put the original text back.</w:t>
      </w:r>
    </w:p>
    <w:p>
      <w:pPr>
        <w:pStyle w:val="Heading2"/>
        <w:spacing w:before="240" w:after="80"/>
      </w:pPr>
      <w:r>
        <w:rPr>
          <w:rFonts w:ascii="Calibri" w:hAnsi="Calibri" w:eastAsia="Calibri"/>
          <w:b/>
          <w:color w:val="3A3278"/>
          <w:sz w:val="26"/>
        </w:rPr>
        <w:t>Sensitivity</w:t>
      </w:r>
    </w:p>
    <w:p>
      <w:pPr>
        <w:spacing w:before="0" w:after="160" w:line="276" w:lineRule="auto"/>
      </w:pPr>
      <w:r>
        <w:rPr>
          <w:rFonts w:ascii="Calibri" w:hAnsi="Calibri" w:eastAsia="Calibri"/>
          <w:b w:val="0"/>
          <w:i w:val="0"/>
          <w:color w:val="1A1C1F"/>
          <w:sz w:val="22"/>
        </w:rPr>
        <w:t>The administrator owns the policy in instance configuration. Balanced is the default. Tiers are cumulative. A change applies to new chat and new Knowledge only. Stored messages and documents are not re-scanned. A stored value of extreme is treated as high.</w:t>
      </w:r>
    </w:p>
    <w:tbl>
      <w:tblPr>
        <w:tblW w:type="auto" w:w="0"/>
        <w:tblLayout w:type="fixed"/>
        <w:tblLook w:firstColumn="1" w:firstRow="1" w:lastColumn="0" w:lastRow="0" w:noHBand="0" w:noVBand="1" w:val="04A0"/>
      </w:tblPr>
      <w:tblGrid>
        <w:gridCol w:w="3216"/>
        <w:gridCol w:w="3216"/>
        <w:gridCol w:w="3216"/>
      </w:tblGrid>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Family</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Runs from</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Can a safe term exempt it?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Email addresses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US Social Security numbers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Canadian social insurance numbers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Card numbers (Luhn check)</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API keys and private keys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Low</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Phone numbers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Balanced</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IPv4 addresses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Balanced</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Street addresses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Balanced</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Passport and national-ID shapes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High</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r>
    </w:tbl>
    <w:p>
      <w:pPr>
        <w:spacing w:after="80"/>
      </w:pPr>
    </w:p>
    <w:p>
      <w:pPr>
        <w:spacing w:before="0" w:after="160" w:line="276" w:lineRule="auto"/>
      </w:pPr>
      <w:r>
        <w:rPr>
          <w:rFonts w:ascii="Calibri" w:hAnsi="Calibri" w:eastAsia="Calibri"/>
          <w:b w:val="0"/>
          <w:i w:val="0"/>
          <w:color w:val="1A1C1F"/>
          <w:sz w:val="22"/>
        </w:rPr>
        <w:t>Social Security numbers, social insurance numbers, and card numbers use structural checks (a 3-2-4 shape, a checksum, or Luhn) so that ordinary digit strings are less likely to match. Secrets match known key prefixes and private-key blocks. The pattern text itself is not reproduced here.</w:t>
      </w:r>
    </w:p>
    <w:p>
      <w:pPr>
        <w:pStyle w:val="Heading2"/>
        <w:spacing w:before="240" w:after="80"/>
      </w:pPr>
      <w:r>
        <w:rPr>
          <w:rFonts w:ascii="Calibri" w:hAnsi="Calibri" w:eastAsia="Calibri"/>
          <w:b/>
          <w:color w:val="3A3278"/>
          <w:sz w:val="26"/>
        </w:rPr>
        <w:t>Safe terms</w:t>
      </w:r>
    </w:p>
    <w:p>
      <w:pPr>
        <w:spacing w:before="0" w:after="160" w:line="276" w:lineRule="auto"/>
      </w:pPr>
      <w:r>
        <w:rPr>
          <w:rFonts w:ascii="Calibri" w:hAnsi="Calibri" w:eastAsia="Calibri"/>
          <w:b w:val="0"/>
          <w:i w:val="0"/>
          <w:color w:val="1A1C1F"/>
          <w:sz w:val="22"/>
        </w:rPr>
        <w:t>A safe term is an exemption matched before detection: a CIDR range, a domain, a prefix, or a literal. It lets a known non-sensitive value through even when its category is on. The non-exemptible categories above cannot be listed. The server applies the instance policy on ingest. It does not accept a safe-term list from the browser. Members may propose a change. Only an administrator applies it.</w:t>
      </w:r>
    </w:p>
    <w:p>
      <w:pPr>
        <w:spacing w:before="0" w:after="160" w:line="276" w:lineRule="auto"/>
      </w:pPr>
      <w:r>
        <w:rPr>
          <w:rFonts w:ascii="Calibri" w:hAnsi="Calibri" w:eastAsia="Calibri"/>
          <w:b w:val="0"/>
          <w:i w:val="0"/>
          <w:color w:val="1A1C1F"/>
          <w:sz w:val="22"/>
        </w:rPr>
        <w:t>What Insights stores is the category, the source (chat or document), the outcome, a count, and the sensitivity that was in force. The matched string is not stored.</w:t>
      </w:r>
    </w:p>
    <w:p>
      <w:pPr>
        <w:pStyle w:val="Heading1"/>
        <w:spacing w:before="320" w:after="120"/>
      </w:pPr>
      <w:r>
        <w:rPr>
          <w:rFonts w:ascii="Calibri" w:hAnsi="Calibri" w:eastAsia="Calibri"/>
          <w:b/>
          <w:color w:val="5B4DB8"/>
          <w:sz w:val="36"/>
        </w:rPr>
        <w:t>7  Turn policy</w:t>
      </w:r>
    </w:p>
    <w:p>
      <w:pPr>
        <w:spacing w:before="0" w:after="160" w:line="276" w:lineRule="auto"/>
      </w:pPr>
      <w:r>
        <w:rPr>
          <w:rFonts w:ascii="Calibri" w:hAnsi="Calibri" w:eastAsia="Calibri"/>
          <w:b w:val="0"/>
          <w:i w:val="0"/>
          <w:color w:val="1A1C1F"/>
          <w:sz w:val="22"/>
        </w:rPr>
        <w:t>decideTurn in src/lib/turn-policy/decide-turn.ts runs before retrieval and before the prompt is built. It answers a different question from the complexity tier. The tier asks which model is warranted. Turn policy asks whether this message should search Knowledge, show Sources, or receive the workspace's operational context.</w:t>
      </w:r>
    </w:p>
    <w:p>
      <w:pPr>
        <w:spacing w:before="0" w:after="160" w:line="276" w:lineRule="auto"/>
      </w:pPr>
      <w:r>
        <w:rPr>
          <w:rFonts w:ascii="Calibri" w:hAnsi="Calibri" w:eastAsia="Calibri"/>
          <w:b w:val="0"/>
          <w:i w:val="0"/>
          <w:color w:val="1A1C1F"/>
          <w:sz w:val="22"/>
        </w:rPr>
        <w:t>The classifier is deterministic. It normalizes the text, strips a short conversational prefix, then walks a fixed order: attachments, social and corrections, application help, grounded follow-ups, workspace or investigation cues, general questions, and a short unclear remainder. reasonCode is telemetry. It is never written into the assistant's reply.</w:t>
      </w:r>
    </w:p>
    <w:tbl>
      <w:tblPr>
        <w:tblW w:type="auto" w:w="0"/>
        <w:tblLayout w:type="fixed"/>
        <w:tblLook w:firstColumn="1" w:firstRow="1" w:lastColumn="0" w:lastRow="0" w:noHBand="0" w:noVBand="1" w:val="04A0"/>
      </w:tblPr>
      <w:tblGrid>
        <w:gridCol w:w="2412"/>
        <w:gridCol w:w="2412"/>
        <w:gridCol w:w="2412"/>
        <w:gridCol w:w="2412"/>
      </w:tblGrid>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Kind of turn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Knowledge search</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Sources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Prompt</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Social, joke, correction, or a request to drop the topic</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Conversational only.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How to use the application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Conversational only.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Where did you learn that?</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Conversational only.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Short and unclear, with no prior grounded turn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No</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Asks for clarification. Micro tier.</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Attachment, no compare request</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 The attachment is the source.</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No workspace Sources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Operational framing. The tier score still runs unless the instruction is almost empty, which forces Micro.</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Attachment compared with workspace Knowledge</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 if cited</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Operational framing.</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Names this workspace, a file, or an investigation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Yes</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Only sources the answer cites</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Operational framing, including workspace context.</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Follow-up after a cited or grounded turn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 scoped to prior sources</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Yes, if cited</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Operational framing.</w:t>
            </w:r>
          </w:p>
        </w:tc>
      </w:tr>
      <w:tr>
        <w:tc>
          <w:tcPr>
            <w:tcW w:type="dxa" w:w="316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General question</w:t>
            </w:r>
          </w:p>
        </w:tc>
        <w:tc>
          <w:tcPr>
            <w:tcW w:type="dxa" w:w="2304"/>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Silent search</w:t>
            </w:r>
          </w:p>
        </w:tc>
        <w:tc>
          <w:tcPr>
            <w:tcW w:type="dxa" w:w="201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Only if a hit clears similarity 0.5</w:t>
            </w:r>
          </w:p>
        </w:tc>
        <w:tc>
          <w:tcPr>
            <w:tcW w:type="dxa" w:w="216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Conversational unless a hit upgrades the turn.</w:t>
            </w:r>
          </w:p>
        </w:tc>
      </w:tr>
    </w:tbl>
    <w:p>
      <w:pPr>
        <w:spacing w:after="80"/>
      </w:pPr>
    </w:p>
    <w:p>
      <w:pPr>
        <w:spacing w:before="0" w:after="160" w:line="276" w:lineRule="auto"/>
      </w:pPr>
      <w:r>
        <w:rPr>
          <w:rFonts w:ascii="Calibri" w:hAnsi="Calibri" w:eastAsia="Calibri"/>
          <w:b w:val="0"/>
          <w:i w:val="0"/>
          <w:color w:val="1A1C1F"/>
          <w:sz w:val="22"/>
        </w:rPr>
        <w:t>A general question does not show Sources by default. If the silent search returns a hit at or above EVIDENCE_MIN_SIMILARITY (0.5), applySpeculativeKnowledgeHits upgrades the turn to workspace-grounded and Sources become available. A miss stays general, with no Sources and no announcement that Knowledge was empty.</w:t>
      </w:r>
    </w:p>
    <w:p>
      <w:pPr>
        <w:spacing w:before="0" w:after="160" w:line="276" w:lineRule="auto"/>
      </w:pPr>
      <w:r>
        <w:rPr>
          <w:rFonts w:ascii="Calibri" w:hAnsi="Calibri" w:eastAsia="Calibri"/>
          <w:b w:val="0"/>
          <w:i w:val="0"/>
          <w:color w:val="1A1C1F"/>
          <w:sz w:val="22"/>
        </w:rPr>
        <w:t>needsOperationalPrompt is true for retrieval, investigation, workspace-grounded turns, grounded follow-ups, and attachments. Those turns receive operational instructions and the workspace context. Other turns receive only the conversational base, so a greeting is not wrapped in the workspace mission.</w:t>
      </w:r>
    </w:p>
    <w:p>
      <w:pPr>
        <w:spacing w:before="0" w:after="160" w:line="276" w:lineRule="auto"/>
      </w:pPr>
      <w:r>
        <w:rPr>
          <w:rFonts w:ascii="Calibri" w:hAnsi="Calibri" w:eastAsia="Calibri"/>
          <w:b w:val="0"/>
          <w:i w:val="0"/>
          <w:color w:val="1A1C1F"/>
          <w:sz w:val="22"/>
        </w:rPr>
        <w:t>When preferMicroTier is set, the chat path uses Micro even if the complexity score would have chosen a higher tier. That flag is set for social turns, application help, provenance questions, corrections, jokes, requests to leave a topic, ambiguous short turns, and an attachment that arrives with almost no instruction. Images are a separate override and are described in section 9.</w:t>
      </w:r>
    </w:p>
    <w:p>
      <w:pPr>
        <w:pStyle w:val="Heading1"/>
        <w:spacing w:before="320" w:after="120"/>
      </w:pPr>
      <w:r>
        <w:rPr>
          <w:rFonts w:ascii="Calibri" w:hAnsi="Calibri" w:eastAsia="Calibri"/>
          <w:b/>
          <w:color w:val="5B4DB8"/>
          <w:sz w:val="36"/>
        </w:rPr>
        <w:t>8  Complexity tiers</w:t>
      </w:r>
    </w:p>
    <w:p>
      <w:pPr>
        <w:spacing w:before="0" w:after="160" w:line="276" w:lineRule="auto"/>
      </w:pPr>
      <w:r>
        <w:rPr>
          <w:rFonts w:ascii="Calibri" w:hAnsi="Calibri" w:eastAsia="Calibri"/>
          <w:b w:val="0"/>
          <w:i w:val="0"/>
          <w:color w:val="1A1C1F"/>
          <w:sz w:val="22"/>
        </w:rPr>
        <w:t>A tier chooses which model handles the turn. It does not change the assistant's personality. The five tiers, from most capable to least, have these default Groq assignments. An administrator can assign a different model to a tier. The assignment is kept only when that model is allowed to run.</w:t>
      </w:r>
    </w:p>
    <w:tbl>
      <w:tblPr>
        <w:tblW w:type="auto" w:w="0"/>
        <w:tblLayout w:type="fixed"/>
        <w:tblLook w:firstColumn="1" w:firstRow="1" w:lastColumn="0" w:lastRow="0" w:noHBand="0" w:noVBand="1" w:val="04A0"/>
      </w:tblPr>
      <w:tblGrid>
        <w:gridCol w:w="3216"/>
        <w:gridCol w:w="3216"/>
        <w:gridCol w:w="3216"/>
      </w:tblGrid>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Tier</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Default model</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List rate, USD per million tokens</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Max</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llama-3.3-70b-versatile</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0.59 in / 0.79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Plus</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qwen/qwen3-32b</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0.29 in / 0.59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Standard</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openai/gpt-oss-120b</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0.15 in / 0.60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Light</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meta-llama/llama-4-scout-17b-16e-instruct</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0.11 in / 0.34 out</w:t>
            </w:r>
          </w:p>
        </w:tc>
      </w:tr>
      <w:tr>
        <w:tc>
          <w:tcPr>
            <w:tcW w:type="dxa" w:w="1872"/>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Micro</w:t>
            </w:r>
          </w:p>
        </w:tc>
        <w:tc>
          <w:tcPr>
            <w:tcW w:type="dxa" w:w="4896"/>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llama-3.1-8b-instant</w:t>
            </w:r>
          </w:p>
        </w:tc>
        <w:tc>
          <w:tcPr>
            <w:tcW w:type="dxa" w:w="288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0.05 in / 0.08 out</w:t>
            </w:r>
          </w:p>
        </w:tc>
      </w:tr>
    </w:tbl>
    <w:p>
      <w:pPr>
        <w:spacing w:after="80"/>
      </w:pPr>
    </w:p>
    <w:p>
      <w:pPr>
        <w:spacing w:before="0" w:after="160" w:line="276" w:lineRule="auto"/>
      </w:pPr>
      <w:r>
        <w:rPr>
          <w:rFonts w:ascii="Calibri" w:hAnsi="Calibri" w:eastAsia="Calibri"/>
          <w:b w:val="0"/>
          <w:i w:val="0"/>
          <w:color w:val="1A1C1F"/>
          <w:sz w:val="22"/>
        </w:rPr>
        <w:t>Standard is the default tier. Older stored events use High for Max and Fast for Light (normalizeStoredTier). The rates above are the curated Groq table in src/lib/pricing/groq.ts, stamp groq-list-2026-09, effective 22 September 2026. They are not read from a live pricing API. Section 15 explains how a turn's tokens become a dollar estimate.</w:t>
      </w:r>
    </w:p>
    <w:p>
      <w:pPr>
        <w:pStyle w:val="Heading2"/>
        <w:spacing w:before="240" w:after="80"/>
      </w:pPr>
      <w:r>
        <w:rPr>
          <w:rFonts w:ascii="Calibri" w:hAnsi="Calibri" w:eastAsia="Calibri"/>
          <w:b/>
          <w:color w:val="3A3278"/>
          <w:sz w:val="26"/>
        </w:rPr>
        <w:t>When a tier is chosen</w:t>
      </w:r>
    </w:p>
    <w:p>
      <w:pPr>
        <w:spacing w:before="0" w:after="160" w:line="276" w:lineRule="auto"/>
      </w:pPr>
      <w:r>
        <w:rPr>
          <w:rFonts w:ascii="Calibri" w:hAnsi="Calibri" w:eastAsia="Calibri"/>
          <w:b w:val="0"/>
          <w:i w:val="0"/>
          <w:color w:val="1A1C1F"/>
          <w:sz w:val="22"/>
        </w:rPr>
        <w:t>Routing lives in src/lib/models/route-message.ts. It runs on the server for each send. The inputs are the current message, up to four recent messages, the tier of the previous assistant turn, and whether the turn includes an image. The decision is local first. A network call happens only for one narrow case.</w:t>
      </w:r>
    </w:p>
    <w:p>
      <w:pPr>
        <w:spacing w:before="0" w:after="160" w:line="276" w:lineRule="auto"/>
      </w:pPr>
      <w:r>
        <w:rPr>
          <w:rFonts w:ascii="Calibri" w:hAnsi="Calibri" w:eastAsia="Calibri"/>
          <w:b w:val="0"/>
          <w:i w:val="0"/>
          <w:color w:val="1A1C1F"/>
          <w:sz w:val="22"/>
        </w:rPr>
        <w:t>Pass 1, trivial acknowledgements. A message that is only thanks, ok, yes, no, a short laugh, bye, or a short greeting of at most 48 characters is Micro immediately. The scorer and the classifier are skipped. An image is never treated as trivial.</w:t>
      </w:r>
    </w:p>
    <w:p>
      <w:pPr>
        <w:spacing w:before="0" w:after="160" w:line="276" w:lineRule="auto"/>
      </w:pPr>
      <w:r>
        <w:rPr>
          <w:rFonts w:ascii="Calibri" w:hAnsi="Calibri" w:eastAsia="Calibri"/>
          <w:b w:val="0"/>
          <w:i w:val="0"/>
          <w:color w:val="1A1C1F"/>
          <w:sz w:val="22"/>
        </w:rPr>
        <w:t>Pass 2, a score from 0 to 100. The baseline is 42, which maps to Standard. Signals add or subtract. The score is then clamped to that range.</w:t>
      </w:r>
    </w:p>
    <w:tbl>
      <w:tblPr>
        <w:tblW w:type="auto" w:w="0"/>
        <w:tblLayout w:type="fixed"/>
        <w:tblLook w:firstColumn="1" w:firstRow="1" w:lastColumn="0" w:lastRow="0" w:noHBand="0" w:noVBand="1" w:val="04A0"/>
      </w:tblPr>
      <w:tblGrid>
        <w:gridCol w:w="4824"/>
        <w:gridCol w:w="4824"/>
      </w:tblGrid>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Signal</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Effect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20 characters or fewer</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Subtract 18</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21 to 50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Subtract 8</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51 to 120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Subtract 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Longer than 280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8. A larger increase written for messages longer than 450 characters does not run, because the 280-character rule matches first.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Deep-analysis phrasing (a full design, a formal proof, a comprehensive architecture)</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45</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Technical work longer than 40 characters (debug, refactor, stack trace, root cause, and similar)</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28</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Code present, and the message is longer than 30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32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Short follow-up while the last two messages were already technical</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22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Planning language (help me plan, pros and cons, roadmap, weigh options)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20, plus smaller adds for comparisons and decision advice</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Short follow-up while the last two messages were already about planning</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12</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 how-to or an explain, 45 to 319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The score is capped at 28, which is Light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A quick fact under 120 characters (who, when, define, capital of)</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Subtract 22, then cap the score at 18, which is Light</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Casual chat or an emotional word</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Add 4 to 8, which keeps ordinary conversation on Standard</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Creative writing longer than 50 characters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Add 10</w:t>
            </w:r>
          </w:p>
        </w:tc>
      </w:tr>
    </w:tbl>
    <w:p>
      <w:pPr>
        <w:spacing w:after="80"/>
      </w:pPr>
    </w:p>
    <w:p>
      <w:pPr>
        <w:spacing w:before="0" w:after="160" w:line="276" w:lineRule="auto"/>
      </w:pPr>
      <w:r>
        <w:rPr>
          <w:rFonts w:ascii="Calibri" w:hAnsi="Calibri" w:eastAsia="Calibri"/>
          <w:b w:val="0"/>
          <w:i w:val="0"/>
          <w:color w:val="1A1C1F"/>
          <w:sz w:val="22"/>
        </w:rPr>
        <w:t>The score maps to a tier at fixed cutoffs: 66 and above is Max, 52 to 65 is Plus, 36 to 51 is Standard, 12 to 35 is Light, and below 12 is Micro.</w:t>
      </w:r>
    </w:p>
    <w:p>
      <w:pPr>
        <w:spacing w:before="0" w:after="160" w:line="276" w:lineRule="auto"/>
      </w:pPr>
      <w:r>
        <w:rPr>
          <w:rFonts w:ascii="Calibri" w:hAnsi="Calibri" w:eastAsia="Calibri"/>
          <w:b w:val="0"/>
          <w:i w:val="0"/>
          <w:color w:val="1A1C1F"/>
          <w:sz w:val="22"/>
        </w:rPr>
        <w:t>Pass 3, thread stickiness. A short message, under 160 characters, can inherit a deeper tier so that "and the timeout?" after a debugging thread does not drop to a cheap model. Stickiness does not apply when the scorer already marked the message as casual chat, emotional, a greeting, a quick fact, or a how-to. If the previous tier was Plus or Max, the new tier is at least that high, and not above Max. If recent user text looks like code or debugging and the scored tier is below Max, the tier becomes Max. If it looks like planning and the scored tier is below Plus, the tier becomes Plus.</w:t>
      </w:r>
    </w:p>
    <w:p>
      <w:pPr>
        <w:spacing w:before="0" w:after="160" w:line="276" w:lineRule="auto"/>
      </w:pPr>
      <w:r>
        <w:rPr>
          <w:rFonts w:ascii="Calibri" w:hAnsi="Calibri" w:eastAsia="Calibri"/>
          <w:b w:val="0"/>
          <w:i w:val="0"/>
          <w:color w:val="1A1C1F"/>
          <w:sz w:val="22"/>
        </w:rPr>
        <w:t>Pass 4, a quality floor. After stickiness, a non-trivial message is not left on Micro. A quick fact or a how-to is raised to Light. Anything else that still scored Micro is raised to Standard. The only messages that stay on Micro through this function are the trivial acknowledgements from pass 1. Turn policy can still force Micro afterward, as described in section 7. That force happens in the chat path after routeMessage returns, so a social turn does not get lifted back to Standard by this floor.</w:t>
      </w:r>
    </w:p>
    <w:p>
      <w:pPr>
        <w:pStyle w:val="Heading2"/>
        <w:spacing w:before="240" w:after="80"/>
      </w:pPr>
      <w:r>
        <w:rPr>
          <w:rFonts w:ascii="Calibri" w:hAnsi="Calibri" w:eastAsia="Calibri"/>
          <w:b/>
          <w:color w:val="3A3278"/>
          <w:sz w:val="26"/>
        </w:rPr>
        <w:t>The classifier</w:t>
      </w:r>
    </w:p>
    <w:p>
      <w:pPr>
        <w:spacing w:before="0" w:after="160" w:line="276" w:lineRule="auto"/>
      </w:pPr>
      <w:r>
        <w:rPr>
          <w:rFonts w:ascii="Calibri" w:hAnsi="Calibri" w:eastAsia="Calibri"/>
          <w:b w:val="0"/>
          <w:i w:val="0"/>
          <w:color w:val="1A1C1F"/>
          <w:sz w:val="22"/>
        </w:rPr>
        <w:t>If the score is between 34 and 46 inclusive, and none of the clear-intent signals fired, the score is treated as ambiguous. Clear intent includes casual chat, emotion, greetings, facts, how-to, planning, comparison, technical language, code, deep analysis, and creative writing. A plain mid-length sentence with only the baseline, and no stronger signal, is the usual case that qualifies.</w:t>
      </w:r>
    </w:p>
    <w:p>
      <w:pPr>
        <w:spacing w:before="0" w:after="160" w:line="276" w:lineRule="auto"/>
      </w:pPr>
      <w:r>
        <w:rPr>
          <w:rFonts w:ascii="Calibri" w:hAnsi="Calibri" w:eastAsia="Calibri"/>
          <w:b w:val="0"/>
          <w:i w:val="0"/>
          <w:color w:val="1A1C1F"/>
          <w:sz w:val="22"/>
        </w:rPr>
        <w:t>The tie-break is classifyComplexityLlm in src/lib/models/groq.ts. It calls llama-3.1-8b-instant at temperature 0, with at most ten tokens of output, and asks for one tier name. Up to four recent lines are included, each truncated. If Groq is not configured, or the call fails, the synchronous tier stands. If the classifier answers Micro for a non-trivial message, the result is raised to Standard. Stickiness is applied again to the classifier's choice. High and Fast, if the small model emits the old names, are mapped to Max and Light.</w:t>
      </w:r>
    </w:p>
    <w:p>
      <w:pPr>
        <w:pStyle w:val="Heading2"/>
        <w:spacing w:before="240" w:after="80"/>
      </w:pPr>
      <w:r>
        <w:rPr>
          <w:rFonts w:ascii="Calibri" w:hAnsi="Calibri" w:eastAsia="Calibri"/>
          <w:b/>
          <w:color w:val="3A3278"/>
          <w:sz w:val="26"/>
        </w:rPr>
        <w:t>What the tier does not do</w:t>
      </w:r>
    </w:p>
    <w:p>
      <w:pPr>
        <w:spacing w:before="0" w:after="160" w:line="276" w:lineRule="auto"/>
      </w:pPr>
      <w:r>
        <w:rPr>
          <w:rFonts w:ascii="Calibri" w:hAnsi="Calibri" w:eastAsia="Calibri"/>
          <w:b w:val="0"/>
          <w:i w:val="0"/>
          <w:color w:val="1A1C1F"/>
          <w:sz w:val="22"/>
        </w:rPr>
        <w:t>The tier does not decide whether to search Knowledge. It does not add the workspace mission. It does not change detection. Background summarize and extract always use the cheapest configured model, llama-3.1-8b-instant when Groq is available, regardless of the tier of the conversation they are summarizing.</w:t>
      </w:r>
    </w:p>
    <w:p>
      <w:pPr>
        <w:pStyle w:val="Heading1"/>
        <w:spacing w:before="320" w:after="120"/>
      </w:pPr>
      <w:r>
        <w:rPr>
          <w:rFonts w:ascii="Calibri" w:hAnsi="Calibri" w:eastAsia="Calibri"/>
          <w:b/>
          <w:color w:val="5B4DB8"/>
          <w:sz w:val="36"/>
        </w:rPr>
        <w:t>9  The model that actually runs</w:t>
      </w:r>
    </w:p>
    <w:p>
      <w:pPr>
        <w:spacing w:before="0" w:after="160" w:line="276" w:lineRule="auto"/>
      </w:pPr>
      <w:r>
        <w:rPr>
          <w:rFonts w:ascii="Calibri" w:hAnsi="Calibri" w:eastAsia="Calibri"/>
          <w:b w:val="0"/>
          <w:i w:val="0"/>
          <w:color w:val="1A1C1F"/>
          <w:sz w:val="22"/>
        </w:rPr>
        <w:t>After the tier is known, routeModel("chat", tier) in src/lib/models/router.ts returns the built-in Groq model for that tier. The chat path then looks at the assignment map sent with the request. In fixed-model mode that map sets every tier to the one selected id. In tier mode it sets each tier to the model shown on that Insights row. resolveAllowedModel accepts the id only when it is a built-in router model, a known Bedrock text fallback, or a catalog entry that is usable for chat and has not failed verification. A rejected id is logged and ignored. The built-in model for the tier remains.</w:t>
      </w:r>
    </w:p>
    <w:p>
      <w:pPr>
        <w:spacing w:before="0" w:after="160" w:line="276" w:lineRule="auto"/>
      </w:pPr>
      <w:r>
        <w:rPr>
          <w:rFonts w:ascii="Calibri" w:hAnsi="Calibri" w:eastAsia="Calibri"/>
          <w:b w:val="0"/>
          <w:i w:val="0"/>
          <w:color w:val="1A1C1F"/>
          <w:sz w:val="22"/>
        </w:rPr>
        <w:t>An image skips that assignment. The call is forced to meta-llama/llama-4-scout-17b-16e-instruct on Groq. The same model is the default for turning an uploaded image into text during Knowledge ingest, unless BEDROCK_VISION_MODEL or GROQ_VISION_MODEL is set. Image extraction on Bedrock defaults to amazon.nova-lite-v1:0.</w:t>
      </w:r>
    </w:p>
    <w:p>
      <w:pPr>
        <w:spacing w:before="0" w:after="160" w:line="276" w:lineRule="auto"/>
      </w:pPr>
      <w:r>
        <w:rPr>
          <w:rFonts w:ascii="Calibri" w:hAnsi="Calibri" w:eastAsia="Calibri"/>
          <w:b w:val="0"/>
          <w:i w:val="0"/>
          <w:color w:val="1A1C1F"/>
          <w:sz w:val="22"/>
        </w:rPr>
        <w:t>If the chosen provider cannot run, the runtime decision can fall back to an installed Ollama chat model on a local installation. The application does not pull model weights on a chat request. Docker's first boot pulls nomic-embed-text and llama3.2:3b into the Ollama volume. A hosted installation has no Ollama. If no model is assigned and neither Groq nor Bedrock can run, hosted chat returns 503 and points the operator at Settings.</w:t>
      </w:r>
    </w:p>
    <w:p>
      <w:pPr>
        <w:pStyle w:val="Heading2"/>
        <w:spacing w:before="240" w:after="80"/>
      </w:pPr>
      <w:r>
        <w:rPr>
          <w:rFonts w:ascii="Calibri" w:hAnsi="Calibri" w:eastAsia="Calibri"/>
          <w:b/>
          <w:color w:val="3A3278"/>
          <w:sz w:val="26"/>
        </w:rPr>
        <w:t>Enable, Test, and Check access</w:t>
      </w:r>
    </w:p>
    <w:p>
      <w:pPr>
        <w:spacing w:before="0" w:after="160" w:line="276" w:lineRule="auto"/>
      </w:pPr>
      <w:r>
        <w:rPr>
          <w:rFonts w:ascii="Calibri" w:hAnsi="Calibri" w:eastAsia="Calibri"/>
          <w:b w:val="0"/>
          <w:i w:val="0"/>
          <w:color w:val="1A1C1F"/>
          <w:sz w:val="22"/>
        </w:rPr>
        <w:t>A model discovered from a vendor key is not in the chat menu until it has answered a short check. That first success is Enable. It stores a verification, on the order of seven days, and the model moves into the chat list. Models already in the list show Test, which is the same check run again. Check access runs the check across the models listed for one provider key. Hide removes a model from the chat menu. A hidden model can still be the model a tier runs. Check failed means the last check did not succeed. It does not, by itself, explain the vendor's reason.</w:t>
      </w:r>
    </w:p>
    <w:p>
      <w:pPr>
        <w:pStyle w:val="Heading1"/>
        <w:spacing w:before="320" w:after="120"/>
      </w:pPr>
      <w:r>
        <w:rPr>
          <w:rFonts w:ascii="Calibri" w:hAnsi="Calibri" w:eastAsia="Calibri"/>
          <w:b/>
          <w:color w:val="5B4DB8"/>
          <w:sz w:val="36"/>
        </w:rPr>
        <w:t>10  Providers and credentials</w:t>
      </w:r>
    </w:p>
    <w:p>
      <w:pPr>
        <w:spacing w:before="0" w:after="160" w:line="276" w:lineRule="auto"/>
      </w:pPr>
      <w:r>
        <w:rPr>
          <w:rFonts w:ascii="Calibri" w:hAnsi="Calibri" w:eastAsia="Calibri"/>
          <w:b w:val="0"/>
          <w:i w:val="0"/>
          <w:color w:val="1A1C1F"/>
          <w:sz w:val="22"/>
        </w:rPr>
        <w:t>Groq is the complexity-tier default when an administrator has stored a key, or when a local environment already has one. It is also used for background tasks, optional vision extraction, the tier classifier, and optional Whisper. Ollama is the local chat fallback and the local embedding model. Amazon Bedrock is optional.</w:t>
      </w:r>
    </w:p>
    <w:p>
      <w:pPr>
        <w:spacing w:before="0" w:after="160" w:line="276" w:lineRule="auto"/>
      </w:pPr>
      <w:r>
        <w:rPr>
          <w:rFonts w:ascii="Calibri" w:hAnsi="Calibri" w:eastAsia="Calibri"/>
          <w:b w:val="0"/>
          <w:i w:val="0"/>
          <w:color w:val="1A1C1F"/>
          <w:sz w:val="22"/>
        </w:rPr>
        <w:t>Vendor API keys for Groq, Gemini, OpenAI, Anthropic, and xAI are written only by an administrator, through the providers settings route. They are encrypted at rest (smenc:v1) with INSTANCE_ENCRYPTION_KEY or a local instance key file. Responses return a masked last-four hint. Azure chat is not wired. xAI can be stored; it is not a path this guide treats as exercised.</w:t>
      </w:r>
    </w:p>
    <w:p>
      <w:pPr>
        <w:spacing w:before="0" w:after="160" w:line="276" w:lineRule="auto"/>
      </w:pPr>
      <w:r>
        <w:rPr>
          <w:rFonts w:ascii="Calibri" w:hAnsi="Calibri" w:eastAsia="Calibri"/>
          <w:b w:val="0"/>
          <w:i w:val="0"/>
          <w:color w:val="1A1C1F"/>
          <w:sz w:val="22"/>
        </w:rPr>
        <w:t>AWS access keys are never accepted in the UI and never stored in the database. A pasted AWS key is rejected with 422 at the route and again when instance configuration is saved. Bedrock uses the AWS SDK credential chain: environment variables, a shared profile or SSO, a container role, or an instance role. The awsProfile setting is only a pointer into the shared config file. The profile list reads section headers, not secret values. ALLOW_REAL_AWS=false is a hard kill switch. The administrator's toggle cannot override it. canUseBedrock() is the single gate. Billable AWS calls stay off until that gate is open.</w:t>
      </w:r>
    </w:p>
    <w:p>
      <w:pPr>
        <w:spacing w:before="0" w:after="160" w:line="276" w:lineRule="auto"/>
      </w:pPr>
      <w:r>
        <w:rPr>
          <w:rFonts w:ascii="Calibri" w:hAnsi="Calibri" w:eastAsia="Calibri"/>
          <w:b w:val="0"/>
          <w:i w:val="0"/>
          <w:color w:val="1A1C1F"/>
          <w:sz w:val="22"/>
        </w:rPr>
        <w:t>Any AWS SDK client other than Cognito is constructed inside withRealAwsEndpoints(). A global endpoint variable, which the local AWS stand-in sets, would otherwise be picked up by every client, break SSO credential resolution, and send Bedrock traffic to localhost. Cognito reads its endpoint explicitly and is left alone.</w:t>
      </w:r>
    </w:p>
    <w:p>
      <w:pPr>
        <w:pStyle w:val="Heading1"/>
        <w:spacing w:before="320" w:after="120"/>
      </w:pPr>
      <w:r>
        <w:rPr>
          <w:rFonts w:ascii="Calibri" w:hAnsi="Calibri" w:eastAsia="Calibri"/>
          <w:b/>
          <w:color w:val="5B4DB8"/>
          <w:sz w:val="36"/>
        </w:rPr>
        <w:t>11  Prompts, evidence, and citations</w:t>
      </w:r>
    </w:p>
    <w:p>
      <w:pPr>
        <w:spacing w:before="0" w:after="160" w:line="276" w:lineRule="auto"/>
      </w:pPr>
      <w:r>
        <w:rPr>
          <w:rFonts w:ascii="Calibri" w:hAnsi="Calibri" w:eastAsia="Calibri"/>
          <w:b w:val="0"/>
          <w:i w:val="0"/>
          <w:color w:val="1A1C1F"/>
          <w:sz w:val="22"/>
        </w:rPr>
        <w:t>buildConversationalBase() applies on every turn: natural, concise, and not forced into an operations pitch. Operational instructions and the workspace context are appended only when the turn policy says the turn needs them. The workspace name is the speaker the user sees. It is not pasted into a social prompt as a persona.</w:t>
      </w:r>
    </w:p>
    <w:p>
      <w:pPr>
        <w:spacing w:before="0" w:after="160" w:line="276" w:lineRule="auto"/>
      </w:pPr>
      <w:r>
        <w:rPr>
          <w:rFonts w:ascii="Calibri" w:hAnsi="Calibri" w:eastAsia="Calibri"/>
          <w:b w:val="0"/>
          <w:i w:val="0"/>
          <w:color w:val="1A1C1F"/>
          <w:sz w:val="22"/>
        </w:rPr>
        <w:t>Retrieved text is treated as evidence, not as instructions. src/lib/prompt-guard.ts neutralizes injection patterns in that text and fences it so a passage inside a document cannot retask the model as if it were the system prompt. Conversation history is included as continuity. It is not a Source, and the model is not told to cite a prior exchange or its own general knowledge as a document.</w:t>
      </w:r>
    </w:p>
    <w:p>
      <w:pPr>
        <w:spacing w:before="0" w:after="160" w:line="276" w:lineRule="auto"/>
      </w:pPr>
      <w:r>
        <w:rPr>
          <w:rFonts w:ascii="Calibri" w:hAnsi="Calibri" w:eastAsia="Calibri"/>
          <w:b w:val="0"/>
          <w:i w:val="0"/>
          <w:color w:val="1A1C1F"/>
          <w:sz w:val="22"/>
        </w:rPr>
        <w:t>When Sources are shown, they are the passages that were packed for that turn and that the answer actually cited. After the answer, auditCitations in src/lib/citation-audit.ts checks the [n] markers. A marker that does not match a packed index is invalid. Packed sources the answer never cites are unused. An answer that admits it does not have the evidence, and cites nothing, is recorded as declined rather than as a successful citation. The audit does not use a second model to judge whether a claim is true.</w:t>
      </w:r>
    </w:p>
    <w:p>
      <w:pPr>
        <w:spacing w:before="0" w:after="160" w:line="276" w:lineRule="auto"/>
      </w:pPr>
      <w:r>
        <w:rPr>
          <w:rFonts w:ascii="Calibri" w:hAnsi="Calibri" w:eastAsia="Calibri"/>
          <w:b w:val="0"/>
          <w:i w:val="0"/>
          <w:color w:val="1A1C1F"/>
          <w:sz w:val="22"/>
        </w:rPr>
        <w:t>Similarity uses cosine distance against the workspace's embeddings. The floor is 0.5. Hits below that floor are not offered as sources. The search is limited to the current user's documents in the current workspace, and to the document category. Fact rows are not in that index.</w:t>
      </w:r>
    </w:p>
    <w:p>
      <w:pPr>
        <w:pStyle w:val="Heading1"/>
        <w:spacing w:before="320" w:after="120"/>
      </w:pPr>
      <w:r>
        <w:rPr>
          <w:rFonts w:ascii="Calibri" w:hAnsi="Calibri" w:eastAsia="Calibri"/>
          <w:b/>
          <w:color w:val="5B4DB8"/>
          <w:sz w:val="36"/>
        </w:rPr>
        <w:t>12  Knowledge</w:t>
      </w:r>
    </w:p>
    <w:p>
      <w:pPr>
        <w:spacing w:before="0" w:after="160" w:line="276" w:lineRule="auto"/>
      </w:pPr>
      <w:r>
        <w:rPr>
          <w:rFonts w:ascii="Calibri" w:hAnsi="Calibri" w:eastAsia="Calibri"/>
          <w:b w:val="0"/>
          <w:i w:val="0"/>
          <w:color w:val="1A1C1F"/>
          <w:sz w:val="22"/>
        </w:rPr>
        <w:t>A file added in Knowledge, or attached in chat, belongs to the current workspace. The server extracts text, scrubs it with the instance detection policy, chunks the scrubbed text, and embeds the chunks. On a local installation the original file is also stored on disk, outside Postgres. The hosted path does not use that local file step. Converting an image into a vector does not make the image safe. The extracted text is what gets scrubbed, then embedded.</w:t>
      </w:r>
    </w:p>
    <w:p>
      <w:pPr>
        <w:spacing w:before="0" w:after="160" w:line="276" w:lineRule="auto"/>
      </w:pPr>
      <w:r>
        <w:rPr>
          <w:rFonts w:ascii="Calibri" w:hAnsi="Calibri" w:eastAsia="Calibri"/>
          <w:b w:val="0"/>
          <w:i w:val="0"/>
          <w:color w:val="1A1C1F"/>
          <w:sz w:val="22"/>
        </w:rPr>
        <w:t>Chunks are about 1,500 characters, with about 200 characters of overlap, and pieces shorter than 80 characters are dropped. Breaks prefer a paragraph or a sentence boundary. Local embeddings use nomic-embed-text through Ollama, 768 dimensions. Hosted embeddings target Amazon Titan v2, 1,024 dimensions, and that dimension is fixed when the DynamoDB vector index is created. The two stores are not mixed in one installation.</w:t>
      </w:r>
    </w:p>
    <w:p>
      <w:pPr>
        <w:spacing w:before="0" w:after="160" w:line="276" w:lineRule="auto"/>
      </w:pPr>
      <w:r>
        <w:rPr>
          <w:rFonts w:ascii="Calibri" w:hAnsi="Calibri" w:eastAsia="Calibri"/>
          <w:b w:val="0"/>
          <w:i w:val="0"/>
          <w:color w:val="1A1C1F"/>
          <w:sz w:val="22"/>
        </w:rPr>
        <w:t>Spreadsheets can be queried through a constrained analyze route rather than by handing the model the whole grid. Images are described with Groq vision when a key exists, otherwise the ingest keeps a filename stub, and that text is scrubbed like any other extract. Reprocess retries extract and embed from the stored original on the local path.</w:t>
      </w:r>
    </w:p>
    <w:p>
      <w:pPr>
        <w:pStyle w:val="Heading1"/>
        <w:spacing w:before="320" w:after="120"/>
      </w:pPr>
      <w:r>
        <w:rPr>
          <w:rFonts w:ascii="Calibri" w:hAnsi="Calibri" w:eastAsia="Calibri"/>
          <w:b/>
          <w:color w:val="5B4DB8"/>
          <w:sz w:val="36"/>
        </w:rPr>
        <w:t>13  Memory and saved items</w:t>
      </w:r>
    </w:p>
    <w:p>
      <w:pPr>
        <w:spacing w:before="0" w:after="160" w:line="276" w:lineRule="auto"/>
      </w:pPr>
      <w:r>
        <w:rPr>
          <w:rFonts w:ascii="Calibri" w:hAnsi="Calibri" w:eastAsia="Calibri"/>
          <w:b w:val="0"/>
          <w:i w:val="0"/>
          <w:color w:val="1A1C1F"/>
          <w:sz w:val="22"/>
        </w:rPr>
        <w:t>Memory has two layers, and they are not the same store. Working context is recent messages plus a session summary. It keeps a conversation continuous. It is not a citation. Long-term facts are created from what the user wrote, through the summarize route. Assistant replies are not stored as facts and are not embedded as memory fragments.</w:t>
      </w:r>
    </w:p>
    <w:p>
      <w:pPr>
        <w:spacing w:before="0" w:after="160" w:line="276" w:lineRule="auto"/>
      </w:pPr>
      <w:r>
        <w:rPr>
          <w:rFonts w:ascii="Calibri" w:hAnsi="Calibri" w:eastAsia="Calibri"/>
          <w:b w:val="0"/>
          <w:i w:val="0"/>
          <w:color w:val="1A1C1F"/>
          <w:sz w:val="22"/>
        </w:rPr>
        <w:t>The user can correct a fact, pin it, or forget it. Forget marks it forgotten and keeps the row so it can be restored. Delete removes the fact. The vector index used for citations remains document chunks only.</w:t>
      </w:r>
    </w:p>
    <w:p>
      <w:pPr>
        <w:spacing w:before="0" w:after="160" w:line="276" w:lineRule="auto"/>
      </w:pPr>
      <w:r>
        <w:rPr>
          <w:rFonts w:ascii="Calibri" w:hAnsi="Calibri" w:eastAsia="Calibri"/>
          <w:b w:val="0"/>
          <w:i w:val="0"/>
          <w:color w:val="1A1C1F"/>
          <w:sz w:val="22"/>
        </w:rPr>
        <w:t>Saved is a bookmark. Choosing one scrolls to that message and highlights it. Removing it drops the bookmark. A bookmark does not become a fact and does not become a Knowledge document. Emoji that appear on a saved row are taken from the preview so the row is recognizable. They are not a third memory system.</w:t>
      </w:r>
    </w:p>
    <w:p>
      <w:pPr>
        <w:spacing w:before="0" w:after="160" w:line="276" w:lineRule="auto"/>
      </w:pPr>
      <w:r>
        <w:rPr>
          <w:rFonts w:ascii="Calibri" w:hAnsi="Calibri" w:eastAsia="Calibri"/>
          <w:b w:val="0"/>
          <w:i w:val="0"/>
          <w:color w:val="1A1C1F"/>
          <w:sz w:val="22"/>
        </w:rPr>
        <w:t>Emoji shows up in three other places, and they should not be collapsed. The workspace mark is identity in the sidebar. The composer control inserts a character into the draft as ordinary text. Profile avatars are a separate set: a preset glyph, or a cropped JPEG or PNG stored on local disk or in a private bucket and served only to a signed-in session through the avatar route. There is no public avatar URL.</w:t>
      </w:r>
    </w:p>
    <w:p>
      <w:pPr>
        <w:pStyle w:val="Heading1"/>
        <w:spacing w:before="320" w:after="120"/>
      </w:pPr>
      <w:r>
        <w:rPr>
          <w:rFonts w:ascii="Calibri" w:hAnsi="Calibri" w:eastAsia="Calibri"/>
          <w:b/>
          <w:color w:val="5B4DB8"/>
          <w:sz w:val="36"/>
        </w:rPr>
        <w:t>14  Voice</w:t>
      </w:r>
    </w:p>
    <w:p>
      <w:pPr>
        <w:spacing w:before="0" w:after="160" w:line="276" w:lineRule="auto"/>
      </w:pPr>
      <w:r>
        <w:rPr>
          <w:rFonts w:ascii="Calibri" w:hAnsi="Calibri" w:eastAsia="Calibri"/>
          <w:b w:val="0"/>
          <w:i w:val="0"/>
          <w:color w:val="1A1C1F"/>
          <w:sz w:val="22"/>
        </w:rPr>
        <w:t>Voice is off until the operator selects a backend. Two backends exist: Groq Whisper, and Amazon Transcribe. Audio for a hosted transcription is sent to that service before any text detection can run. The transcript is inserted into the composer. Detection runs when the user sends that text, the same as typed text. The waveform is not stored as the chat message.</w:t>
      </w:r>
    </w:p>
    <w:p>
      <w:pPr>
        <w:spacing w:before="0" w:after="160" w:line="276" w:lineRule="auto"/>
      </w:pPr>
      <w:r>
        <w:rPr>
          <w:rFonts w:ascii="Calibri" w:hAnsi="Calibri" w:eastAsia="Calibri"/>
          <w:b w:val="0"/>
          <w:i w:val="0"/>
          <w:color w:val="1A1C1F"/>
          <w:sz w:val="22"/>
        </w:rPr>
        <w:t>Whisper posts audio to Groq and can preview a growing recording in chunks while the microphone is open. Transcribe is the streaming path on hosted Chromium when the role may call StartStreamTranscription. It is billed on the operator's AWS account, behind the same real-AWS gate as Bedrock. The final pass can differ slightly from the live preview. A choice named whisper that is not one of these two backends is ignored.</w:t>
      </w:r>
    </w:p>
    <w:p>
      <w:pPr>
        <w:pStyle w:val="Heading1"/>
        <w:spacing w:before="320" w:after="120"/>
      </w:pPr>
      <w:r>
        <w:rPr>
          <w:rFonts w:ascii="Calibri" w:hAnsi="Calibri" w:eastAsia="Calibri"/>
          <w:b/>
          <w:color w:val="5B4DB8"/>
          <w:sz w:val="36"/>
        </w:rPr>
        <w:t>15  Cost estimates and caps</w:t>
      </w:r>
    </w:p>
    <w:p>
      <w:pPr>
        <w:spacing w:before="0" w:after="160" w:line="276" w:lineRule="auto"/>
      </w:pPr>
      <w:r>
        <w:rPr>
          <w:rFonts w:ascii="Calibri" w:hAnsi="Calibri" w:eastAsia="Calibri"/>
          <w:b w:val="0"/>
          <w:i w:val="0"/>
          <w:color w:val="1A1C1F"/>
          <w:sz w:val="22"/>
        </w:rPr>
        <w:t>Every inference event can store an estimate. The estimate is recorded input tokens and output tokens, times a rate, then adjusted so the figure tends high. It is not read from AWS Cost Explorer, and it does not include hardware, seats, or other infrastructure. The provider's invoice remains the charge.</w:t>
      </w:r>
    </w:p>
    <w:p>
      <w:pPr>
        <w:pStyle w:val="Heading2"/>
        <w:spacing w:before="240" w:after="80"/>
      </w:pPr>
      <w:r>
        <w:rPr>
          <w:rFonts w:ascii="Calibri" w:hAnsi="Calibri" w:eastAsia="Calibri"/>
          <w:b/>
          <w:color w:val="3A3278"/>
          <w:sz w:val="26"/>
        </w:rPr>
        <w:t>The formula</w:t>
      </w:r>
    </w:p>
    <w:p>
      <w:pPr>
        <w:spacing w:before="0" w:after="160" w:line="276" w:lineRule="auto"/>
      </w:pPr>
      <w:r>
        <w:rPr>
          <w:rFonts w:ascii="Calibri" w:hAnsi="Calibri" w:eastAsia="Calibri"/>
          <w:b w:val="0"/>
          <w:i w:val="0"/>
          <w:color w:val="1A1C1F"/>
          <w:sz w:val="22"/>
        </w:rPr>
        <w:t>Rates are USD per million tokens. The raw amount is (input tokens times the input rate, plus output tokens times the output rate) divided by 1,000,000. That function is costFromRates in src/lib/pricing/types.ts.</w:t>
      </w:r>
    </w:p>
    <w:p>
      <w:pPr>
        <w:spacing w:before="0" w:after="160" w:line="276" w:lineRule="auto"/>
      </w:pPr>
      <w:r>
        <w:rPr>
          <w:rFonts w:ascii="Calibri" w:hAnsi="Calibri" w:eastAsia="Calibri"/>
          <w:b w:val="0"/>
          <w:i w:val="0"/>
          <w:color w:val="1A1C1F"/>
          <w:sz w:val="22"/>
        </w:rPr>
        <w:t>estimateInferenceCost then adjusts the raw amount. Ollama is $0 and is marked as priced, so a local call does not show up as an unknown price. For every other provider the order is: an administrator rate override if one exists for that provider and model; otherwise the Groq table or the Bedrock on-demand table; otherwise a floor.</w:t>
      </w:r>
    </w:p>
    <w:p>
      <w:pPr>
        <w:spacing w:before="0" w:after="160" w:line="276" w:lineRule="auto"/>
      </w:pPr>
      <w:r>
        <w:rPr>
          <w:rFonts w:ascii="Calibri" w:hAnsi="Calibri" w:eastAsia="Calibri"/>
          <w:b w:val="0"/>
          <w:i w:val="0"/>
          <w:color w:val="1A1C1F"/>
          <w:sz w:val="22"/>
        </w:rPr>
        <w:t>The floor is the Max-tier Groq list rate, llama-3.3-70b-versatile at 0.59 and 0.79 per million. An unknown cloud model, including a Groq or Bedrock id that is missing from the table, uses that floor. The floor exists so a missing price cannot hide spend or slip past a cap.</w:t>
      </w:r>
    </w:p>
    <w:p>
      <w:pPr>
        <w:spacing w:before="0" w:after="160" w:line="276" w:lineRule="auto"/>
      </w:pPr>
      <w:r>
        <w:rPr>
          <w:rFonts w:ascii="Calibri" w:hAnsi="Calibri" w:eastAsia="Calibri"/>
          <w:b w:val="0"/>
          <w:i w:val="0"/>
          <w:color w:val="1A1C1F"/>
          <w:sz w:val="22"/>
        </w:rPr>
        <w:t>The raw amount, or the floor, is then multiplied by 1.10. The result is rounded up to the next 0.0001 dollar. A zero or non-finite raw amount stays zero. The constants are CONSERVATIVE_COST_UPLIFT and COST_ROUND_UP_QUANTUM in src/lib/pricing/index.ts. An override is stamped as an override and still receives the uplift. Overrides apply to new turns only. They do not rewrite events already stored.</w:t>
      </w:r>
    </w:p>
    <w:p>
      <w:pPr>
        <w:pStyle w:val="Heading2"/>
        <w:spacing w:before="240" w:after="80"/>
      </w:pPr>
      <w:r>
        <w:rPr>
          <w:rFonts w:ascii="Calibri" w:hAnsi="Calibri" w:eastAsia="Calibri"/>
          <w:b/>
          <w:color w:val="3A3278"/>
          <w:sz w:val="26"/>
        </w:rPr>
        <w:t>A worked example</w:t>
      </w:r>
    </w:p>
    <w:p>
      <w:pPr>
        <w:spacing w:before="0" w:after="160" w:line="276" w:lineRule="auto"/>
      </w:pPr>
      <w:r>
        <w:rPr>
          <w:rFonts w:ascii="Calibri" w:hAnsi="Calibri" w:eastAsia="Calibri"/>
          <w:b w:val="0"/>
          <w:i w:val="0"/>
          <w:color w:val="1A1C1F"/>
          <w:sz w:val="22"/>
        </w:rPr>
        <w:t>A Standard turn on openai/gpt-oss-120b uses 1,000 input tokens and 500 output tokens. The raw amount is (1,000 times 0.15 plus 500 times 0.60) divided by 1,000,000, which is 0.00045 dollar. Times 1.10 is 0.000495. Rounded up to the next 0.0001 is 0.0005 dollar. That is the number stored and the number the cap adds.</w:t>
      </w:r>
    </w:p>
    <w:p>
      <w:pPr>
        <w:spacing w:before="0" w:after="160" w:line="276" w:lineRule="auto"/>
      </w:pPr>
      <w:r>
        <w:rPr>
          <w:rFonts w:ascii="Calibri" w:hAnsi="Calibri" w:eastAsia="Calibri"/>
          <w:b w:val="0"/>
          <w:i w:val="0"/>
          <w:color w:val="1A1C1F"/>
          <w:sz w:val="22"/>
        </w:rPr>
        <w:t>The same token counts priced as the savings baseline, llama-3.3-70b-versatile, are 0.000985 raw, 0.0010835 after the uplift, and 0.0011 after the round-up. Savings are the baseline minus the actual estimate, and never below zero: 0.0006 dollar in this example. The baseline model is fixed in code. It does not follow a different model the operator may have assigned to Max. Savings illustrate the difference from always using that list-price model. They are not a refund. A local Ollama reply is $0, so its savings figure is the entire uplifted baseline for those tokens.</w:t>
      </w:r>
    </w:p>
    <w:p>
      <w:pPr>
        <w:pStyle w:val="Heading2"/>
        <w:spacing w:before="240" w:after="80"/>
      </w:pPr>
      <w:r>
        <w:rPr>
          <w:rFonts w:ascii="Calibri" w:hAnsi="Calibri" w:eastAsia="Calibri"/>
          <w:b/>
          <w:color w:val="3A3278"/>
          <w:sz w:val="26"/>
        </w:rPr>
        <w:t>The monthly cap</w:t>
      </w:r>
    </w:p>
    <w:p>
      <w:pPr>
        <w:spacing w:before="0" w:after="160" w:line="276" w:lineRule="auto"/>
      </w:pPr>
      <w:r>
        <w:rPr>
          <w:rFonts w:ascii="Calibri" w:hAnsi="Calibri" w:eastAsia="Calibri"/>
          <w:b w:val="0"/>
          <w:i w:val="0"/>
          <w:color w:val="1A1C1F"/>
          <w:sz w:val="22"/>
        </w:rPr>
        <w:t>The cap is a per-user sum of estimatedCostUsd for the current UTC calendar month. The month starts at 00:00 UTC on the first day. The default cap is 10 dollars. Null means unlimited. A local owner with no profile row is unlimited until a cap is set. Other users without a profile receive the instance default. The maximum value the settings route accepts is 100,000 dollars, with at most two decimal places.</w:t>
      </w:r>
    </w:p>
    <w:p>
      <w:pPr>
        <w:spacing w:before="0" w:after="160" w:line="276" w:lineRule="auto"/>
      </w:pPr>
      <w:r>
        <w:rPr>
          <w:rFonts w:ascii="Calibri" w:hAnsi="Calibri" w:eastAsia="Calibri"/>
          <w:b w:val="0"/>
          <w:i w:val="0"/>
          <w:color w:val="1A1C1F"/>
          <w:sz w:val="22"/>
        </w:rPr>
        <w:t>Warnings are ratios of spend to cap: 50 percent and 80 percent. At 100 percent the status is blocked. Before a chat call, if the user is already at the cap and the call is billable, the server returns HTTP 402 and does not invoke the model. Billable providers are Groq, Bedrock, OpenAI, Anthropic, Google, and xAI. An image counts as billable even before the provider check. Ollama is outside the cap, so local models can still run after a cloud cap is reached. Raising the cap is an administrator action. The block cannot make the provider's bill equal the estimate.</w:t>
      </w:r>
    </w:p>
    <w:p>
      <w:pPr>
        <w:pStyle w:val="Heading1"/>
        <w:spacing w:before="320" w:after="120"/>
      </w:pPr>
      <w:r>
        <w:rPr>
          <w:rFonts w:ascii="Calibri" w:hAnsi="Calibri" w:eastAsia="Calibri"/>
          <w:b/>
          <w:color w:val="5B4DB8"/>
          <w:sz w:val="36"/>
        </w:rPr>
        <w:t>16  Insights</w:t>
      </w:r>
    </w:p>
    <w:p>
      <w:pPr>
        <w:spacing w:before="0" w:after="160" w:line="276" w:lineRule="auto"/>
      </w:pPr>
      <w:r>
        <w:rPr>
          <w:rFonts w:ascii="Calibri" w:hAnsi="Calibri" w:eastAsia="Calibri"/>
          <w:b w:val="0"/>
          <w:i w:val="0"/>
          <w:color w:val="1A1C1F"/>
          <w:sz w:val="22"/>
        </w:rPr>
        <w:t>Insights is the right-hand panel: Models, Cost, and Security. It follows the workspace selector and the range Today, Weekly, Monthly, or All time. The counts are for the signed-in account. An administrator can open another person's Usage, Cost, and Security from the directory. The views do not contain raw prompts or raw detected values.</w:t>
      </w:r>
    </w:p>
    <w:p>
      <w:pPr>
        <w:spacing w:before="0" w:after="160" w:line="276" w:lineRule="auto"/>
      </w:pPr>
      <w:r>
        <w:rPr>
          <w:rFonts w:ascii="Calibri" w:hAnsi="Calibri" w:eastAsia="Calibri"/>
          <w:b w:val="0"/>
          <w:i w:val="0"/>
          <w:color w:val="1A1C1F"/>
          <w:sz w:val="22"/>
        </w:rPr>
        <w:t>The blue number on a tier is the count of replies routed to that tier in the selected workspace and range. It is not a count of calls to one model id. Provider chips are how many models of that provider can be assigned. They are not call counts. Hide does not remove a model from a tier that is already pointing at it.</w:t>
      </w:r>
    </w:p>
    <w:p>
      <w:pPr>
        <w:spacing w:before="0" w:after="160" w:line="276" w:lineRule="auto"/>
      </w:pPr>
      <w:r>
        <w:rPr>
          <w:rFonts w:ascii="Calibri" w:hAnsi="Calibri" w:eastAsia="Calibri"/>
          <w:b w:val="0"/>
          <w:i w:val="0"/>
          <w:color w:val="1A1C1F"/>
          <w:sz w:val="22"/>
        </w:rPr>
        <w:t>Security groups findings by category, source, and outcome, with a coarse risk level derived from the category. It reports what the scanner flagged. It is not a vulnerability scanner and not a score of data leaving the system. Usage stores which model and tier ran, token counts, grounding status, and success or failure. Cost uses the estimates from section 15, split by time, model, workspace, and input versus output.</w:t>
      </w:r>
    </w:p>
    <w:p>
      <w:pPr>
        <w:pStyle w:val="Heading1"/>
        <w:spacing w:before="320" w:after="120"/>
      </w:pPr>
      <w:r>
        <w:rPr>
          <w:rFonts w:ascii="Calibri" w:hAnsi="Calibri" w:eastAsia="Calibri"/>
          <w:b/>
          <w:color w:val="5B4DB8"/>
          <w:sz w:val="36"/>
        </w:rPr>
        <w:t>17  People, profile, and appearance</w:t>
      </w:r>
    </w:p>
    <w:p>
      <w:pPr>
        <w:spacing w:before="0" w:after="160" w:line="276" w:lineRule="auto"/>
      </w:pPr>
      <w:r>
        <w:rPr>
          <w:rFonts w:ascii="Calibri" w:hAnsi="Calibri" w:eastAsia="Calibri"/>
          <w:b w:val="0"/>
          <w:i w:val="0"/>
          <w:color w:val="1A1C1F"/>
          <w:sz w:val="22"/>
        </w:rPr>
        <w:t>My Profile stores a display name, a description, and an avatar for the signed-in user. Password change and forgot-password use Cognito when that is the sign-in service. Forgot-password responses are written so they do not reveal whether the email exists. Theme is light or dark, stored on the device under the key sm_theme. Dark is the default until a choice is saved. The choice does not follow the user to another browser.</w:t>
      </w:r>
    </w:p>
    <w:p>
      <w:pPr>
        <w:spacing w:before="0" w:after="160" w:line="276" w:lineRule="auto"/>
      </w:pPr>
      <w:r>
        <w:rPr>
          <w:rFonts w:ascii="Calibri" w:hAnsi="Calibri" w:eastAsia="Calibri"/>
          <w:b w:val="0"/>
          <w:i w:val="0"/>
          <w:color w:val="1A1C1F"/>
          <w:sz w:val="22"/>
        </w:rPr>
        <w:t>The status chips above the composer report detection, document parsing, routing, and voice. They are visible until the user collapses them. That collapse is stored on the device. It is not an account setting.</w:t>
      </w:r>
    </w:p>
    <w:p>
      <w:pPr>
        <w:spacing w:before="0" w:after="160" w:line="276" w:lineRule="auto"/>
      </w:pPr>
      <w:r>
        <w:rPr>
          <w:rFonts w:ascii="Calibri" w:hAnsi="Calibri" w:eastAsia="Calibri"/>
          <w:b w:val="0"/>
          <w:i w:val="0"/>
          <w:color w:val="1A1C1F"/>
          <w:sz w:val="22"/>
        </w:rPr>
        <w:t>The administrator's directory shows email, role, month-to-date estimate against the cap, and sign-in status. Centralized Insights on that screen are installation totals. Per-user drill-down reuses the same Usage, Cost, and Security views, scoped to that member.</w:t>
      </w:r>
    </w:p>
    <w:p>
      <w:pPr>
        <w:pStyle w:val="Heading1"/>
        <w:spacing w:before="320" w:after="120"/>
      </w:pPr>
      <w:r>
        <w:rPr>
          <w:rFonts w:ascii="Calibri" w:hAnsi="Calibri" w:eastAsia="Calibri"/>
          <w:b/>
          <w:color w:val="5B4DB8"/>
          <w:sz w:val="36"/>
        </w:rPr>
        <w:t>18  Where data is stored</w:t>
      </w:r>
    </w:p>
    <w:p>
      <w:pPr>
        <w:spacing w:before="0" w:after="160" w:line="276" w:lineRule="auto"/>
      </w:pPr>
      <w:r>
        <w:rPr>
          <w:rFonts w:ascii="Calibri" w:hAnsi="Calibri" w:eastAsia="Calibri"/>
          <w:b w:val="0"/>
          <w:i w:val="0"/>
          <w:color w:val="1A1C1F"/>
          <w:sz w:val="22"/>
        </w:rPr>
        <w:t>Local path. The browser talks to Next.js on port 3000. Postgres holds workspaces, messages, documents, facts, profiles, and analytics. pgvector holds 768-dimension embeddings. The vector column is created outside Prisma and queried with raw SQL that must filter by user id. Sign-in in Docker goes to Floci. Chat and embeddings can go to Ollama on port 11434. Uploads, avatars, and the instance encryption key are files under the data directory. Optional Bedrock uses the machine's AWS credential chain. Optional vendor calls use the stored key.</w:t>
      </w:r>
    </w:p>
    <w:p>
      <w:pPr>
        <w:spacing w:before="0" w:after="160" w:line="276" w:lineRule="auto"/>
      </w:pPr>
      <w:r>
        <w:rPr>
          <w:rFonts w:ascii="Calibri" w:hAnsi="Calibri" w:eastAsia="Calibri"/>
          <w:b w:val="0"/>
          <w:i w:val="0"/>
          <w:color w:val="1A1C1F"/>
          <w:sz w:val="22"/>
        </w:rPr>
        <w:t>Hosted path. Amplify serves the UI, sign-in, workspaces, settings, and the non-chat APIs. The chat stream goes to API Gateway and the chat Lambda. Application records and the vector index use DynamoDB. Cognito is the user pool. Secrets Manager holds bootstrap values such as the table name and an optional Groq key. Administrator vendor keys remain in instance configuration, not in that bootstrap secret. Profile photos use a private bucket. CloudWatch holds Lambda logs. Prompt and response content logging is not turned on for that dashboard. There is no custom VPC in the current shape. The region is chosen in the infrastructure configuration. The in-app setup wizard asks for a storage preference and a risk acknowledgement. It does not ask for a region.</w:t>
      </w:r>
    </w:p>
    <w:p>
      <w:pPr>
        <w:spacing w:before="0" w:after="160" w:line="276" w:lineRule="auto"/>
      </w:pPr>
      <w:r>
        <w:rPr>
          <w:rFonts w:ascii="Calibri" w:hAnsi="Calibri" w:eastAsia="Calibri"/>
          <w:b w:val="0"/>
          <w:i w:val="0"/>
          <w:color w:val="1A1C1F"/>
          <w:sz w:val="22"/>
        </w:rPr>
        <w:t>A push to the application main branch runs tests and, when the sandbox role and state bucket are configured, applies Terraform and starts an Amplify release. Pull requests plan only. Neon and Aurora are not the current database. They are not mixed with DynamoDB.</w:t>
      </w:r>
    </w:p>
    <w:p>
      <w:pPr>
        <w:pStyle w:val="Heading1"/>
        <w:spacing w:before="320" w:after="120"/>
      </w:pPr>
      <w:r>
        <w:rPr>
          <w:rFonts w:ascii="Calibri" w:hAnsi="Calibri" w:eastAsia="Calibri"/>
          <w:b/>
          <w:color w:val="5B4DB8"/>
          <w:sz w:val="36"/>
        </w:rPr>
        <w:t>19  What this system does not do</w:t>
      </w:r>
    </w:p>
    <w:p>
      <w:pPr>
        <w:spacing w:before="0" w:after="160" w:line="276" w:lineRule="auto"/>
      </w:pPr>
      <w:r>
        <w:rPr>
          <w:rFonts w:ascii="Calibri" w:hAnsi="Calibri" w:eastAsia="Calibri"/>
          <w:b w:val="0"/>
          <w:i w:val="0"/>
          <w:color w:val="1A1C1F"/>
          <w:sz w:val="22"/>
        </w:rPr>
        <w:t>It does not judge answers with a second model. It does not scan the model's output for sensitive data. It does not re-scrub old chat when the detection tier changes. It does not restore a redacted value. It does not offer a public avatar URL, a hard purge of a user's data, a per-workspace provider policy, or Bedrock Guardrails as a product feature.</w:t>
      </w:r>
    </w:p>
    <w:p>
      <w:pPr>
        <w:spacing w:before="0" w:after="160" w:line="276" w:lineRule="auto"/>
      </w:pPr>
      <w:r>
        <w:rPr>
          <w:rFonts w:ascii="Calibri" w:hAnsi="Calibri" w:eastAsia="Calibri"/>
          <w:b w:val="0"/>
          <w:i w:val="0"/>
          <w:color w:val="1A1C1F"/>
          <w:sz w:val="22"/>
        </w:rPr>
        <w:t>It does not accept a pasted AWS access key. It does not ship a product-owned Groq key as a silent default on a hosted install. It does not query the provider's billing API to draw the cost charts. It does not treat a region setting as a promise that every connected service processes data only in that region.</w:t>
      </w:r>
    </w:p>
    <w:p>
      <w:pPr>
        <w:spacing w:before="0" w:after="160" w:line="276" w:lineRule="auto"/>
      </w:pPr>
      <w:r>
        <w:rPr>
          <w:rFonts w:ascii="Calibri" w:hAnsi="Calibri" w:eastAsia="Calibri"/>
          <w:b w:val="0"/>
          <w:i w:val="0"/>
          <w:color w:val="1A1C1F"/>
          <w:sz w:val="22"/>
        </w:rPr>
        <w:t>KMS, Macie, and a production multi-tenant auth system are not features of this application. An operator who needs those controls provides them outside this product.</w:t>
      </w:r>
    </w:p>
    <w:p>
      <w:pPr>
        <w:pStyle w:val="Heading1"/>
        <w:spacing w:before="320" w:after="120"/>
      </w:pPr>
      <w:r>
        <w:rPr>
          <w:rFonts w:ascii="Calibri" w:hAnsi="Calibri" w:eastAsia="Calibri"/>
          <w:b/>
          <w:color w:val="5B4DB8"/>
          <w:sz w:val="36"/>
        </w:rPr>
        <w:t>20  Where the rules live</w:t>
      </w:r>
    </w:p>
    <w:tbl>
      <w:tblPr>
        <w:tblW w:type="auto" w:w="0"/>
        <w:tblLayout w:type="fixed"/>
        <w:tblLook w:firstColumn="1" w:firstRow="1" w:lastColumn="0" w:lastRow="0" w:noHBand="0" w:noVBand="1" w:val="04A0"/>
      </w:tblPr>
      <w:tblGrid>
        <w:gridCol w:w="4824"/>
        <w:gridCol w:w="4824"/>
      </w:tblGrid>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Rule</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5B4DB8" w:val="clear"/>
          </w:tcPr>
          <w:p>
            <w:pPr>
              <w:spacing w:before="20" w:after="20"/>
            </w:pPr>
            <w:r/>
            <w:r>
              <w:rPr>
                <w:rFonts w:ascii="Calibri" w:hAnsi="Calibri" w:eastAsia="Calibri"/>
                <w:b/>
                <w:i w:val="0"/>
                <w:color w:val="FFFFFF"/>
                <w:sz w:val="20"/>
              </w:rPr>
              <w:t>Where</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Turn kind, retrieval, Sources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src/lib/turn-policy/decide-turn.ts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Tier score, stickiness, ambiguous band</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src/lib/models/route-message.ts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Default models for each tier</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src/lib/models/router.ts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Classifier prompt</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src/lib/models/groq.ts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Allowlist</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src/lib/models/allowlist.ts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Chat orchestration, vision override, 402</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src/lib/chat/run-chat-stream.ts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Detection families and safe terms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src/lib/pii.ts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Document scrub, chunk sizes</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src/lib/documents.ts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Similarity floor 0.5</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src/lib/memory.ts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Citation check</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src/lib/citation-audit.ts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Evidence fencing</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src/lib/prompt-guard.ts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Rate tables and uplift</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src/lib/pricing/index.ts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Monthly cap</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src/lib/cost-cap.ts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i w:val="0"/>
                <w:color w:val="1A1C1F"/>
                <w:sz w:val="20"/>
              </w:rPr>
              <w:t>Session user id</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EEF0F3" w:val="clear"/>
          </w:tcPr>
          <w:p>
            <w:pPr>
              <w:spacing w:before="20" w:after="20"/>
            </w:pPr>
            <w:r/>
            <w:r>
              <w:rPr>
                <w:rFonts w:ascii="Calibri" w:hAnsi="Calibri" w:eastAsia="Calibri"/>
                <w:b w:val="0"/>
                <w:i w:val="0"/>
                <w:color w:val="1A1C1F"/>
                <w:sz w:val="20"/>
              </w:rPr>
              <w:t>src/lib/identity.ts</w:t>
            </w:r>
          </w:p>
        </w:tc>
      </w:tr>
      <w:tr>
        <w:tc>
          <w:tcPr>
            <w:tcW w:type="dxa" w:w="4608"/>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i w:val="0"/>
                <w:color w:val="1A1C1F"/>
                <w:sz w:val="20"/>
              </w:rPr>
              <w:t>AWS credential chain</w:t>
            </w:r>
          </w:p>
        </w:tc>
        <w:tc>
          <w:tcPr>
            <w:tcW w:type="dxa" w:w="5040"/>
            <w:tcBorders>
              <w:top w:val="single" w:sz="4" w:color="D0D3DA"/>
              <w:left w:val="single" w:sz="4" w:color="D0D3DA"/>
              <w:bottom w:val="single" w:sz="4" w:color="D0D3DA"/>
              <w:right w:val="single" w:sz="4" w:color="D0D3DA"/>
            </w:tcBorders>
            <w:tcMar>
              <w:top w:w="80" w:type="dxa"/>
              <w:left w:w="80" w:type="dxa"/>
              <w:bottom w:w="80" w:type="dxa"/>
              <w:right w:w="80" w:type="dxa"/>
            </w:tcMar>
            <w:shd w:fill="F4F5F7" w:val="clear"/>
          </w:tcPr>
          <w:p>
            <w:pPr>
              <w:spacing w:before="20" w:after="20"/>
            </w:pPr>
            <w:r/>
            <w:r>
              <w:rPr>
                <w:rFonts w:ascii="Calibri" w:hAnsi="Calibri" w:eastAsia="Calibri"/>
                <w:b w:val="0"/>
                <w:i w:val="0"/>
                <w:color w:val="1A1C1F"/>
                <w:sz w:val="20"/>
              </w:rPr>
              <w:t>src/lib/aws-credentials.ts</w:t>
            </w:r>
          </w:p>
        </w:tc>
      </w:tr>
    </w:tbl>
    <w:p>
      <w:pPr>
        <w:spacing w:after="80"/>
      </w:pPr>
    </w:p>
    <w:sectPr w:rsidR="00FC693F" w:rsidRPr="0006063C" w:rsidSect="00034616">
      <w:headerReference w:type="default" r:id="rId9"/>
      <w:footerReference w:type="default" r:id="rId10"/>
      <w:pgSz w:w="12240" w:h="15840"/>
      <w:pgMar w:top="1368" w:right="1296" w:bottom="122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6" w:space="1" w:color="D0D3DA"/>
      </w:pBdr>
    </w:pPr>
    <w:r>
      <w:rPr>
        <w:rFonts w:ascii="Calibri" w:hAnsi="Calibri" w:eastAsia="Calibri"/>
        <w:b w:val="0"/>
        <w:i w:val="0"/>
        <w:color w:val="5C616B"/>
        <w:sz w:val="18"/>
      </w:rPr>
      <w:t>Version 1.0</w:t>
    </w:r>
    <w:r>
      <w:tab/>
    </w:r>
    <w:r>
      <w:rPr>
        <w:rFonts w:ascii="Calibri" w:hAnsi="Calibri" w:eastAsia="Calibri"/>
        <w:b w:val="0"/>
        <w:i w:val="0"/>
        <w:color w:val="5C616B"/>
        <w:sz w:val="18"/>
      </w:rPr>
      <w:t xml:space="preserve">Page </w:t>
    </w:r>
    <w:r>
      <w:fldChar w:fldCharType="begin"/>
      <w:instrText xml:space="preserve"> PAGE </w:instrText>
      <w:fldChar w:fldCharType="separate"/>
      <w:t> </w:t>
      <w:fldChar w:fldCharType="end"/>
    </w:r>
    <w:r>
      <w:rPr>
        <w:rFonts w:ascii="Calibri" w:hAnsi="Calibri" w:eastAsia="Calibri"/>
        <w:b w:val="0"/>
        <w:i w:val="0"/>
        <w:color w:val="5C616B"/>
        <w:sz w:val="18"/>
      </w:rPr>
      <w:t xml:space="preserve"> of </w:t>
    </w:r>
    <w:r>
      <w:fldChar w:fldCharType="begin"/>
      <w:instrText xml:space="preserve"> NUMPAGES </w:instrText>
      <w:fldChar w:fldCharType="separate"/>
      <w:t>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12" w:space="1" w:color="5B4DB8"/>
      </w:pBdr>
      <w:spacing w:after="80"/>
    </w:pPr>
    <w:r>
      <w:rPr>
        <w:rFonts w:ascii="Calibri" w:hAnsi="Calibri" w:eastAsia="Calibri"/>
        <w:b/>
        <w:i w:val="0"/>
        <w:color w:val="5B4DB8"/>
        <w:sz w:val="18"/>
      </w:rPr>
      <w:t>SECUREMIND</w:t>
    </w:r>
    <w:r>
      <w:rPr>
        <w:rFonts w:ascii="Calibri" w:hAnsi="Calibri" w:eastAsia="Calibri"/>
        <w:b w:val="0"/>
        <w:i w:val="0"/>
        <w:color w:val="5C616B"/>
        <w:sz w:val="18"/>
      </w:rPr>
      <w:t xml:space="preserve">   ·   Technical guide</w:t>
    </w:r>
    <w:r>
      <w:tab/>
    </w:r>
    <w:r>
      <w:rPr>
        <w:rFonts w:ascii="Calibri" w:hAnsi="Calibri" w:eastAsia="Calibri"/>
        <w:b w:val="0"/>
        <w:i w:val="0"/>
        <w:color w:val="5C616B"/>
        <w:sz w:val="18"/>
      </w:rPr>
      <w:t>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C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