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1.0</w:t>
      </w:r>
      <w:r>
        <w:rPr>
          <w:rFonts w:ascii="Calibri" w:hAnsi="Calibri" w:eastAsia="Calibri"/>
          <w:b w:val="0"/>
          <w:i w:val="0"/>
          <w:color w:val="5C616B"/>
          <w:sz w:val="22"/>
        </w:rPr>
        <w:t xml:space="preserve">   ·   29 September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routeMessage scores the message and picks Max, Plus, Standard, Light, or Micro. A narrow ambiguous band may ask a small Groq model to break the tie.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The first account on an empty pool is claimed through the setup flow: a setup code on the hosted install, or email and password on a local install. After that, an administrator creates accounts, assigns roles, sets passwords, and can suspend an account. Delete removes sign-in. It does not wipe Knowledge or history.</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saved items.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There is no second server scrub of chat text that has already left the browser.</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and unclear, with no prior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Asks for clarification.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clears similarity 0.5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at or above EVIDENCE_MIN_SIMILARITY (0.5), applySpeculativeKnowledgeHits upgrades the turn to workspace-grounded and Sources become available. A miss stays general, with no Sources and no announcement that Knowledge was empty.</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ambiguous short turns, and an attachment that arrives with almost no instruction.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The score is then clamped to that range.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Longer than 280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A larger increase written for messages longer than 450 characters does not run, because the 280-character rule matches first.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technical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 plus smaller adds for comparisons and decision advice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about planning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Casual chat or 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 to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10</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thread stickiness. A short message, under 160 characters, can inherit a deeper tier so that "and the timeout?" after a debugging thread does not drop to a cheap model. Stickiness does not apply when the scorer already marked the message as casual chat, emotional, a greeting, a quick fact, or a how-to. If the previous tier was Plus or Max, the new tier is at least that high, and not above Max. If recent user text looks like code or debugging and the scored tier is below Max, the tier becomes Max. If it looks like planning and the scored tier is below Plus, the tier becomes Plus.</w:t>
      </w:r>
    </w:p>
    <w:p>
      <w:pPr>
        <w:spacing w:before="0" w:after="160" w:line="276" w:lineRule="auto"/>
      </w:pPr>
      <w:r>
        <w:rPr>
          <w:rFonts w:ascii="Calibri" w:hAnsi="Calibri" w:eastAsia="Calibri"/>
          <w:b w:val="0"/>
          <w:i w:val="0"/>
          <w:color w:val="1A1C1F"/>
          <w:sz w:val="22"/>
        </w:rPr>
        <w:t>Pass 4, a quality floor. After stickiness,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technical language, code, deep analysis, and creative writing.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Stickiness is applied again to the classifier's choice.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can be stored; it is not a path this guide treats as exercised.</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Similarity uses cosine distance against the workspace's embeddings. The floor is 0.5. Hits below that floor are not offered as sources. The search is limited to the current user's documents in the current workspace, and to the document category. Fact rows are not in that index.</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pStyle w:val="Heading1"/>
        <w:spacing w:before="320" w:after="120"/>
      </w:pPr>
      <w:r>
        <w:rPr>
          <w:rFonts w:ascii="Calibri" w:hAnsi="Calibri" w:eastAsia="Calibri"/>
          <w:b/>
          <w:color w:val="5B4DB8"/>
          <w:sz w:val="36"/>
        </w:rPr>
        <w:t>13  Memory and saved items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Saved is a bookmark. Choosing one scrolls to that message and highlights it. Removing it drops the bookmark. A bookmark does not become a fact and does not become a Knowledge document. Emoji that appear on a saved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role may call StartStreamTranscription. It is billed on the operator's AWS account, behind the same real-AWS gate as Bedrock. The final pass can differ slightly from the live preview. A choice named whisper that is not one of these two backends is ignored.</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Ollama is outside the cap, so local models can still run after a cloud cap is reached. Raising the cap is an administrator action. The block cannot make the provider's bill equal the estimate.</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Cost, and Security.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My Profile stores a display name, a description, and an avatar for the signed-in user. Password change and forgot-password use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the machine's AWS credential chain. Optional vendor calls use the stored key.</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Secrets Manager holds bootstrap values such as the table name and an optional Groq key. Administrator vendor keys remain in instance configuration, not in that bootstrap secret. Profile photos use a private bucket. CloudWatch holds Lambda logs. Prompt and response content logging is not turned on for that dashboard.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and, when the sandbox role and state bucket are configured, applies Terraform and starts an Amplify release. Pull requests plan only. Neon and Aurora are not the current database. They are not mixed with DynamoDB.</w:t>
      </w:r>
    </w:p>
    <w:p>
      <w:pPr>
        <w:pStyle w:val="Heading1"/>
        <w:spacing w:before="320" w:after="120"/>
      </w:pPr>
      <w:r>
        <w:rPr>
          <w:rFonts w:ascii="Calibri" w:hAnsi="Calibri" w:eastAsia="Calibri"/>
          <w:b/>
          <w:color w:val="5B4DB8"/>
          <w:sz w:val="36"/>
        </w:rPr>
        <w:t>19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An operator who needs those controls provides them outside this product.</w:t>
      </w:r>
    </w:p>
    <w:p>
      <w:pPr>
        <w:pStyle w:val="Heading1"/>
        <w:spacing w:before="320" w:after="120"/>
      </w:pPr>
      <w:r>
        <w:rPr>
          <w:rFonts w:ascii="Calibri" w:hAnsi="Calibri" w:eastAsia="Calibri"/>
          <w:b/>
          <w:color w:val="5B4DB8"/>
          <w:sz w:val="36"/>
        </w:rPr>
        <w:t>20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stickiness,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Similarity floor 0.5</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src/lib/memory.ts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1.0</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