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SecureMind Technical Guide</w:t>
      </w:r>
    </w:p>
    <w:p>
      <w:pPr>
        <w:pStyle w:val="Subtitle"/>
      </w:pPr>
      <w:r>
        <w:t>Architecture and application behaviour</w:t>
      </w:r>
    </w:p>
    <w:p>
      <w:pPr>
        <w:spacing w:after="320"/>
      </w:pPr>
      <w:r>
        <w:rPr>
          <w:sz w:val="20"/>
        </w:rPr>
        <w:t>Revision 3 • 30 September 2026</w:t>
      </w:r>
    </w:p>
    <w:p>
      <w:pPr>
        <w:keepLines/>
        <w:widowControl/>
      </w:pPr>
      <w:r>
        <w:t>SecureMind is a private, self-managed AI workspace for conversations, documents, and reusable context. Each installation has its own users, provider connections, detection policy, and stored data. Its administrators control who can access it, whether it runs locally or in their own AWS environment.</w:t>
      </w:r>
    </w:p>
    <w:p>
      <w:pPr>
        <w:widowControl/>
      </w:pPr>
      <w:r>
        <w:t>This guide explains how requests move through the application, how models are selected, how knowledge and memory contribute to a response, and how usage becomes a cost estimate. It is written for developers and people deploying, administering, or maintaining SecureMind.</w:t>
      </w:r>
    </w:p>
    <w:p>
      <w:pPr>
        <w:widowControl/>
      </w:pPr>
      <w:r>
        <w:t>The design supports natural conversation. A user can ask a general question, continue a technical discussion, or draw on workspace documents without having every reply framed as an operational report. Detection, model routing, and retrieval support that experience behind the scenes.</w:t>
      </w:r>
    </w:p>
    <w:p>
      <w:pPr>
        <w:widowControl/>
      </w:pPr>
      <w:r>
        <w:t>Detection is a best-effort safeguard. It does not certify that content is free of sensitive information or make the application a compliance tool. Cost figures are estimates, rather than provider invoices. Connecting an external model or transcription service can send content outside the installation, even when the database is privately owned.</w:t>
      </w:r>
    </w:p>
    <w:p>
      <w:pPr>
        <w:pStyle w:val="Heading2"/>
      </w:pPr>
      <w:r>
        <w:t>Guide structure</w:t>
      </w:r>
    </w:p>
    <w:p>
      <w:pPr>
        <w:keepLines/>
        <w:widowControl/>
      </w:pPr>
      <w:r>
        <w:t>The guide follows the request path, then explains the decisions and storage behind it. Appendix A records the checks made against the application.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6768"/>
      </w:tblGrid>
      <w:tr>
        <w:trPr>
          <w:cantSplit/>
          <w:tblHeader/>
        </w:trPr>
        <w:tc>
          <w:tcPr>
            <w:tcW w:type="dxa" w:w="3312"/>
            <w:vAlign w:val="center"/>
            <w:tcMar>
              <w:top w:w="85" w:type="dxa"/>
              <w:bottom w:w="85" w:type="dxa"/>
              <w:left w:w="95" w:type="dxa"/>
              <w:right w:w="95" w:type="dxa"/>
            </w:tcMar>
            <w:shd w:fill="24384B"/>
          </w:tcPr>
          <w:p>
            <w:pPr>
              <w:keepNext/>
              <w:spacing w:after="0" w:line="247" w:lineRule="auto"/>
            </w:pPr>
            <w:r>
              <w:rPr>
                <w:b/>
                <w:color w:val="FFFFFF"/>
                <w:sz w:val="20"/>
              </w:rPr>
              <w:t>Area</w:t>
            </w:r>
          </w:p>
        </w:tc>
        <w:tc>
          <w:tcPr>
            <w:tcW w:type="dxa" w:w="6768"/>
            <w:vAlign w:val="center"/>
            <w:tcMar>
              <w:top w:w="85" w:type="dxa"/>
              <w:bottom w:w="85" w:type="dxa"/>
              <w:left w:w="95" w:type="dxa"/>
              <w:right w:w="95" w:type="dxa"/>
            </w:tcMar>
            <w:shd w:fill="24384B"/>
          </w:tcPr>
          <w:p>
            <w:pPr>
              <w:keepNext/>
              <w:spacing w:after="0" w:line="247" w:lineRule="auto"/>
            </w:pPr>
            <w:r>
              <w:rPr>
                <w:b/>
                <w:color w:val="FFFFFF"/>
                <w:sz w:val="20"/>
              </w:rPr>
              <w:t>Sections</w:t>
            </w:r>
          </w:p>
        </w:tc>
      </w:tr>
      <w:tr>
        <w:trPr>
          <w:cantSplit/>
        </w:trPr>
        <w:tc>
          <w:tcPr>
            <w:tcW w:type="dxa" w:w="3312"/>
            <w:vAlign w:val="center"/>
            <w:tcMar>
              <w:top w:w="85" w:type="dxa"/>
              <w:bottom w:w="85" w:type="dxa"/>
              <w:left w:w="95" w:type="dxa"/>
              <w:right w:w="95" w:type="dxa"/>
            </w:tcMar>
            <w:shd w:fill="FFFFFF"/>
          </w:tcPr>
          <w:p>
            <w:pPr>
              <w:spacing w:after="0" w:line="247" w:lineRule="auto"/>
            </w:pPr>
            <w:r>
              <w:rPr>
                <w:b w:val="0"/>
                <w:sz w:val="20"/>
              </w:rPr>
              <w:t>Deployment and request flow</w:t>
            </w:r>
          </w:p>
        </w:tc>
        <w:tc>
          <w:tcPr>
            <w:tcW w:type="dxa" w:w="6768"/>
            <w:vAlign w:val="center"/>
            <w:tcMar>
              <w:top w:w="85" w:type="dxa"/>
              <w:bottom w:w="85" w:type="dxa"/>
              <w:left w:w="95" w:type="dxa"/>
              <w:right w:w="95" w:type="dxa"/>
            </w:tcMar>
            <w:shd w:fill="FFFFFF"/>
          </w:tcPr>
          <w:p>
            <w:pPr>
              <w:spacing w:after="0" w:line="247" w:lineRule="auto"/>
            </w:pPr>
            <w:r>
              <w:rPr>
                <w:b w:val="0"/>
                <w:sz w:val="20"/>
              </w:rPr>
              <w:t>1 to 3</w:t>
            </w:r>
          </w:p>
        </w:tc>
      </w:tr>
      <w:tr>
        <w:trPr>
          <w:cantSplit/>
        </w:trPr>
        <w:tc>
          <w:tcPr>
            <w:tcW w:type="dxa" w:w="3312"/>
            <w:vAlign w:val="center"/>
            <w:tcMar>
              <w:top w:w="85" w:type="dxa"/>
              <w:bottom w:w="85" w:type="dxa"/>
              <w:left w:w="95" w:type="dxa"/>
              <w:right w:w="95" w:type="dxa"/>
            </w:tcMar>
            <w:shd w:fill="F2F5F8"/>
          </w:tcPr>
          <w:p>
            <w:pPr>
              <w:spacing w:after="0" w:line="247" w:lineRule="auto"/>
            </w:pPr>
            <w:r>
              <w:rPr>
                <w:b w:val="0"/>
                <w:sz w:val="20"/>
              </w:rPr>
              <w:t>Detection and model selection</w:t>
            </w:r>
          </w:p>
        </w:tc>
        <w:tc>
          <w:tcPr>
            <w:tcW w:type="dxa" w:w="6768"/>
            <w:vAlign w:val="center"/>
            <w:tcMar>
              <w:top w:w="85" w:type="dxa"/>
              <w:bottom w:w="85" w:type="dxa"/>
              <w:left w:w="95" w:type="dxa"/>
              <w:right w:w="95" w:type="dxa"/>
            </w:tcMar>
            <w:shd w:fill="F2F5F8"/>
          </w:tcPr>
          <w:p>
            <w:pPr>
              <w:spacing w:after="0" w:line="247" w:lineRule="auto"/>
            </w:pPr>
            <w:r>
              <w:rPr>
                <w:b w:val="0"/>
                <w:sz w:val="20"/>
              </w:rPr>
              <w:t>4 to 7</w:t>
            </w:r>
          </w:p>
        </w:tc>
      </w:tr>
      <w:tr>
        <w:trPr>
          <w:cantSplit/>
        </w:trPr>
        <w:tc>
          <w:tcPr>
            <w:tcW w:type="dxa" w:w="3312"/>
            <w:vAlign w:val="center"/>
            <w:tcMar>
              <w:top w:w="85" w:type="dxa"/>
              <w:bottom w:w="85" w:type="dxa"/>
              <w:left w:w="95" w:type="dxa"/>
              <w:right w:w="95" w:type="dxa"/>
            </w:tcMar>
            <w:shd w:fill="FFFFFF"/>
          </w:tcPr>
          <w:p>
            <w:pPr>
              <w:spacing w:after="0" w:line="247" w:lineRule="auto"/>
            </w:pPr>
            <w:r>
              <w:rPr>
                <w:b w:val="0"/>
                <w:sz w:val="20"/>
              </w:rPr>
              <w:t>Prompts and knowledge</w:t>
            </w:r>
          </w:p>
        </w:tc>
        <w:tc>
          <w:tcPr>
            <w:tcW w:type="dxa" w:w="6768"/>
            <w:vAlign w:val="center"/>
            <w:tcMar>
              <w:top w:w="85" w:type="dxa"/>
              <w:bottom w:w="85" w:type="dxa"/>
              <w:left w:w="95" w:type="dxa"/>
              <w:right w:w="95" w:type="dxa"/>
            </w:tcMar>
            <w:shd w:fill="FFFFFF"/>
          </w:tcPr>
          <w:p>
            <w:pPr>
              <w:spacing w:after="0" w:line="247" w:lineRule="auto"/>
            </w:pPr>
            <w:r>
              <w:rPr>
                <w:b w:val="0"/>
                <w:sz w:val="20"/>
              </w:rPr>
              <w:t>8 to 10</w:t>
            </w:r>
          </w:p>
        </w:tc>
      </w:tr>
      <w:tr>
        <w:trPr>
          <w:cantSplit/>
        </w:trPr>
        <w:tc>
          <w:tcPr>
            <w:tcW w:type="dxa" w:w="3312"/>
            <w:vAlign w:val="center"/>
            <w:tcMar>
              <w:top w:w="85" w:type="dxa"/>
              <w:bottom w:w="85" w:type="dxa"/>
              <w:left w:w="95" w:type="dxa"/>
              <w:right w:w="95" w:type="dxa"/>
            </w:tcMar>
            <w:shd w:fill="F2F5F8"/>
          </w:tcPr>
          <w:p>
            <w:pPr>
              <w:spacing w:after="0" w:line="247" w:lineRule="auto"/>
            </w:pPr>
            <w:r>
              <w:rPr>
                <w:b w:val="0"/>
                <w:sz w:val="20"/>
              </w:rPr>
              <w:t>Voice and costs</w:t>
            </w:r>
          </w:p>
        </w:tc>
        <w:tc>
          <w:tcPr>
            <w:tcW w:type="dxa" w:w="6768"/>
            <w:vAlign w:val="center"/>
            <w:tcMar>
              <w:top w:w="85" w:type="dxa"/>
              <w:bottom w:w="85" w:type="dxa"/>
              <w:left w:w="95" w:type="dxa"/>
              <w:right w:w="95" w:type="dxa"/>
            </w:tcMar>
            <w:shd w:fill="F2F5F8"/>
          </w:tcPr>
          <w:p>
            <w:pPr>
              <w:spacing w:after="0" w:line="247" w:lineRule="auto"/>
            </w:pPr>
            <w:r>
              <w:rPr>
                <w:b w:val="0"/>
                <w:sz w:val="20"/>
              </w:rPr>
              <w:t>11 to 12</w:t>
            </w:r>
          </w:p>
        </w:tc>
      </w:tr>
      <w:tr>
        <w:trPr>
          <w:cantSplit/>
        </w:trPr>
        <w:tc>
          <w:tcPr>
            <w:tcW w:type="dxa" w:w="3312"/>
            <w:vAlign w:val="center"/>
            <w:tcMar>
              <w:top w:w="85" w:type="dxa"/>
              <w:bottom w:w="85" w:type="dxa"/>
              <w:left w:w="95" w:type="dxa"/>
              <w:right w:w="95" w:type="dxa"/>
            </w:tcMar>
            <w:shd w:fill="FFFFFF"/>
          </w:tcPr>
          <w:p>
            <w:pPr>
              <w:keepNext/>
              <w:spacing w:after="0" w:line="247" w:lineRule="auto"/>
            </w:pPr>
            <w:r>
              <w:rPr>
                <w:b w:val="0"/>
                <w:sz w:val="20"/>
              </w:rPr>
              <w:t>Insights and administration</w:t>
            </w:r>
          </w:p>
        </w:tc>
        <w:tc>
          <w:tcPr>
            <w:tcW w:type="dxa" w:w="6768"/>
            <w:vAlign w:val="center"/>
            <w:tcMar>
              <w:top w:w="85" w:type="dxa"/>
              <w:bottom w:w="85" w:type="dxa"/>
              <w:left w:w="95" w:type="dxa"/>
              <w:right w:w="95" w:type="dxa"/>
            </w:tcMar>
            <w:shd w:fill="FFFFFF"/>
          </w:tcPr>
          <w:p>
            <w:pPr>
              <w:keepNext/>
              <w:spacing w:after="0" w:line="247" w:lineRule="auto"/>
            </w:pPr>
            <w:r>
              <w:rPr>
                <w:b w:val="0"/>
                <w:sz w:val="20"/>
              </w:rPr>
              <w:t>13 to 14</w:t>
            </w:r>
          </w:p>
        </w:tc>
      </w:tr>
      <w:tr>
        <w:trPr>
          <w:cantSplit/>
        </w:trPr>
        <w:tc>
          <w:tcPr>
            <w:tcW w:type="dxa" w:w="3312"/>
            <w:vAlign w:val="center"/>
            <w:tcMar>
              <w:top w:w="85" w:type="dxa"/>
              <w:bottom w:w="85" w:type="dxa"/>
              <w:left w:w="95" w:type="dxa"/>
              <w:right w:w="95" w:type="dxa"/>
            </w:tcMar>
            <w:shd w:fill="F2F5F8"/>
          </w:tcPr>
          <w:p>
            <w:pPr>
              <w:keepNext/>
              <w:spacing w:after="0" w:line="247" w:lineRule="auto"/>
            </w:pPr>
            <w:r>
              <w:rPr>
                <w:b w:val="0"/>
                <w:sz w:val="20"/>
              </w:rPr>
              <w:t>Security boundaries and source references</w:t>
            </w:r>
          </w:p>
        </w:tc>
        <w:tc>
          <w:tcPr>
            <w:tcW w:type="dxa" w:w="6768"/>
            <w:vAlign w:val="center"/>
            <w:tcMar>
              <w:top w:w="85" w:type="dxa"/>
              <w:bottom w:w="85" w:type="dxa"/>
              <w:left w:w="95" w:type="dxa"/>
              <w:right w:w="95" w:type="dxa"/>
            </w:tcMar>
            <w:shd w:fill="F2F5F8"/>
          </w:tcPr>
          <w:p>
            <w:pPr>
              <w:keepNext/>
              <w:spacing w:after="0" w:line="247" w:lineRule="auto"/>
            </w:pPr>
            <w:r>
              <w:rPr>
                <w:b w:val="0"/>
                <w:sz w:val="20"/>
              </w:rPr>
              <w:t>15 to 16</w:t>
            </w:r>
          </w:p>
        </w:tc>
      </w:tr>
      <w:tr>
        <w:trPr>
          <w:cantSplit/>
        </w:trPr>
        <w:tc>
          <w:tcPr>
            <w:tcW w:type="dxa" w:w="3312"/>
            <w:vAlign w:val="center"/>
            <w:tcMar>
              <w:top w:w="85" w:type="dxa"/>
              <w:bottom w:w="85" w:type="dxa"/>
              <w:left w:w="95" w:type="dxa"/>
              <w:right w:w="95" w:type="dxa"/>
            </w:tcMar>
            <w:shd w:fill="FFFFFF"/>
          </w:tcPr>
          <w:p>
            <w:pPr>
              <w:spacing w:after="0" w:line="247" w:lineRule="auto"/>
            </w:pPr>
            <w:r>
              <w:rPr>
                <w:b w:val="0"/>
                <w:sz w:val="20"/>
              </w:rPr>
              <w:t>Questions for the code editor</w:t>
            </w:r>
          </w:p>
        </w:tc>
        <w:tc>
          <w:tcPr>
            <w:tcW w:type="dxa" w:w="6768"/>
            <w:vAlign w:val="center"/>
            <w:tcMar>
              <w:top w:w="85" w:type="dxa"/>
              <w:bottom w:w="85" w:type="dxa"/>
              <w:left w:w="95" w:type="dxa"/>
              <w:right w:w="95" w:type="dxa"/>
            </w:tcMar>
            <w:shd w:fill="FFFFFF"/>
          </w:tcPr>
          <w:p>
            <w:pPr>
              <w:spacing w:after="0" w:line="247" w:lineRule="auto"/>
            </w:pPr>
            <w:r>
              <w:rPr>
                <w:b w:val="0"/>
                <w:sz w:val="20"/>
              </w:rPr>
              <w:t>Appendix A</w:t>
            </w:r>
          </w:p>
        </w:tc>
      </w:tr>
    </w:tbl>
    <w:p>
      <w:pPr>
        <w:spacing w:after="40" w:before="0" w:line="240" w:lineRule="auto"/>
      </w:pPr>
      <w:r>
        <w:rPr>
          <w:sz w:val="4"/>
        </w:rPr>
      </w:r>
    </w:p>
    <w:p>
      <w:r>
        <w:br w:type="page"/>
      </w:r>
    </w:p>
    <w:p>
      <w:pPr>
        <w:pStyle w:val="Heading1"/>
      </w:pPr>
      <w:r>
        <w:t>1 Deployment and ownership</w:t>
      </w:r>
    </w:p>
    <w:p>
      <w:pPr>
        <w:keepLines/>
        <w:widowControl/>
      </w:pPr>
      <w:r>
        <w:t>An installation can have multiple administrators and members. Administrators manage access, shared provider connections, and installation-wide settings. Members use the models made available to them without receiving the saved provider credentials.</w:t>
      </w:r>
    </w:p>
    <w:p>
      <w:pPr>
        <w:widowControl/>
      </w:pPr>
      <w:r>
        <w:t>Local deployment uses Docker services, with PostgreSQL for application records and pgvector for document embeddings. Ollama provides local model execution. The documented Docker configuration uses Floci as a local Cognito-compatible authentication service. A developer configuration can also use local authentication.</w:t>
      </w:r>
    </w:p>
    <w:p>
      <w:pPr>
        <w:widowControl/>
      </w:pPr>
      <w:r>
        <w:t>The AWS installation uses Cognito for authentication and Amplify for the interface. Chat streaming and the warm-up call run through API Gateway and Lambda. The other application APIs still run on Amplify. The hosting decision’s target is to move those remaining APIs to API Gateway and leave Amplify as the interface. That move is not finished. The split is the system that runs today.</w:t>
      </w:r>
    </w:p>
    <w:p>
      <w:pPr>
        <w:pStyle w:val="Heading2"/>
      </w:pPr>
      <w:r>
        <w:t>Deployment comparison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3816"/>
        <w:gridCol w:w="3888"/>
      </w:tblGrid>
      <w:tr>
        <w:trPr>
          <w:cantSplit/>
          <w:tblHeader/>
        </w:trPr>
        <w:tc>
          <w:tcPr>
            <w:tcW w:type="dxa" w:w="2376"/>
            <w:vAlign w:val="center"/>
            <w:tcMar>
              <w:top w:w="85" w:type="dxa"/>
              <w:bottom w:w="85" w:type="dxa"/>
              <w:left w:w="95" w:type="dxa"/>
              <w:right w:w="95" w:type="dxa"/>
            </w:tcMar>
            <w:shd w:fill="24384B"/>
          </w:tcPr>
          <w:p>
            <w:pPr>
              <w:keepNext/>
              <w:spacing w:after="0" w:line="247" w:lineRule="auto"/>
            </w:pPr>
            <w:r>
              <w:rPr>
                <w:b/>
                <w:color w:val="FFFFFF"/>
                <w:sz w:val="20"/>
              </w:rPr>
              <w:t>Component</w:t>
            </w:r>
          </w:p>
        </w:tc>
        <w:tc>
          <w:tcPr>
            <w:tcW w:type="dxa" w:w="3816"/>
            <w:vAlign w:val="center"/>
            <w:tcMar>
              <w:top w:w="85" w:type="dxa"/>
              <w:bottom w:w="85" w:type="dxa"/>
              <w:left w:w="95" w:type="dxa"/>
              <w:right w:w="95" w:type="dxa"/>
            </w:tcMar>
            <w:shd w:fill="24384B"/>
          </w:tcPr>
          <w:p>
            <w:pPr>
              <w:keepNext/>
              <w:spacing w:after="0" w:line="247" w:lineRule="auto"/>
            </w:pPr>
            <w:r>
              <w:rPr>
                <w:b/>
                <w:color w:val="FFFFFF"/>
                <w:sz w:val="20"/>
              </w:rPr>
              <w:t>Local installation</w:t>
            </w:r>
          </w:p>
        </w:tc>
        <w:tc>
          <w:tcPr>
            <w:tcW w:type="dxa" w:w="3888"/>
            <w:vAlign w:val="center"/>
            <w:tcMar>
              <w:top w:w="85" w:type="dxa"/>
              <w:bottom w:w="85" w:type="dxa"/>
              <w:left w:w="95" w:type="dxa"/>
              <w:right w:w="95" w:type="dxa"/>
            </w:tcMar>
            <w:shd w:fill="24384B"/>
          </w:tcPr>
          <w:p>
            <w:pPr>
              <w:keepNext/>
              <w:spacing w:after="0" w:line="247" w:lineRule="auto"/>
            </w:pPr>
            <w:r>
              <w:rPr>
                <w:b/>
                <w:color w:val="FFFFFF"/>
                <w:sz w:val="20"/>
              </w:rPr>
              <w:t>AWS installation</w:t>
            </w:r>
          </w:p>
        </w:tc>
      </w:tr>
      <w:tr>
        <w:trPr>
          <w:cantSplit/>
        </w:trPr>
        <w:tc>
          <w:tcPr>
            <w:tcW w:type="dxa" w:w="2376"/>
            <w:vAlign w:val="center"/>
            <w:tcMar>
              <w:top w:w="85" w:type="dxa"/>
              <w:bottom w:w="85" w:type="dxa"/>
              <w:left w:w="95" w:type="dxa"/>
              <w:right w:w="95" w:type="dxa"/>
            </w:tcMar>
            <w:shd w:fill="FFFFFF"/>
          </w:tcPr>
          <w:p>
            <w:pPr>
              <w:spacing w:after="0" w:line="247" w:lineRule="auto"/>
            </w:pPr>
            <w:r>
              <w:rPr>
                <w:b w:val="0"/>
                <w:sz w:val="20"/>
              </w:rPr>
              <w:t>Interface</w:t>
            </w:r>
          </w:p>
        </w:tc>
        <w:tc>
          <w:tcPr>
            <w:tcW w:type="dxa" w:w="3816"/>
            <w:vAlign w:val="center"/>
            <w:tcMar>
              <w:top w:w="85" w:type="dxa"/>
              <w:bottom w:w="85" w:type="dxa"/>
              <w:left w:w="95" w:type="dxa"/>
              <w:right w:w="95" w:type="dxa"/>
            </w:tcMar>
            <w:shd w:fill="FFFFFF"/>
          </w:tcPr>
          <w:p>
            <w:pPr>
              <w:spacing w:after="0" w:line="247" w:lineRule="auto"/>
            </w:pPr>
            <w:r>
              <w:rPr>
                <w:b w:val="0"/>
                <w:sz w:val="20"/>
              </w:rPr>
              <w:t>Next.js, documented on port 3000</w:t>
            </w:r>
          </w:p>
        </w:tc>
        <w:tc>
          <w:tcPr>
            <w:tcW w:type="dxa" w:w="3888"/>
            <w:vAlign w:val="center"/>
            <w:tcMar>
              <w:top w:w="85" w:type="dxa"/>
              <w:bottom w:w="85" w:type="dxa"/>
              <w:left w:w="95" w:type="dxa"/>
              <w:right w:w="95" w:type="dxa"/>
            </w:tcMar>
            <w:shd w:fill="FFFFFF"/>
          </w:tcPr>
          <w:p>
            <w:pPr>
              <w:spacing w:after="0" w:line="247" w:lineRule="auto"/>
            </w:pPr>
            <w:r>
              <w:rPr>
                <w:b w:val="0"/>
                <w:sz w:val="20"/>
              </w:rPr>
              <w:t>Amplify</w:t>
            </w:r>
          </w:p>
        </w:tc>
      </w:tr>
      <w:tr>
        <w:trPr>
          <w:cantSplit/>
        </w:trPr>
        <w:tc>
          <w:tcPr>
            <w:tcW w:type="dxa" w:w="2376"/>
            <w:vAlign w:val="center"/>
            <w:tcMar>
              <w:top w:w="85" w:type="dxa"/>
              <w:bottom w:w="85" w:type="dxa"/>
              <w:left w:w="95" w:type="dxa"/>
              <w:right w:w="95" w:type="dxa"/>
            </w:tcMar>
            <w:shd w:fill="F2F5F8"/>
          </w:tcPr>
          <w:p>
            <w:pPr>
              <w:spacing w:after="0" w:line="247" w:lineRule="auto"/>
            </w:pPr>
            <w:r>
              <w:rPr>
                <w:b w:val="0"/>
                <w:sz w:val="20"/>
              </w:rPr>
              <w:t>Authentication</w:t>
            </w:r>
          </w:p>
        </w:tc>
        <w:tc>
          <w:tcPr>
            <w:tcW w:type="dxa" w:w="3816"/>
            <w:vAlign w:val="center"/>
            <w:tcMar>
              <w:top w:w="85" w:type="dxa"/>
              <w:bottom w:w="85" w:type="dxa"/>
              <w:left w:w="95" w:type="dxa"/>
              <w:right w:w="95" w:type="dxa"/>
            </w:tcMar>
            <w:shd w:fill="F2F5F8"/>
          </w:tcPr>
          <w:p>
            <w:pPr>
              <w:spacing w:after="0" w:line="247" w:lineRule="auto"/>
            </w:pPr>
            <w:r>
              <w:rPr>
                <w:b w:val="0"/>
                <w:sz w:val="20"/>
              </w:rPr>
              <w:t>Floci in Docker; local mode for development</w:t>
            </w:r>
          </w:p>
        </w:tc>
        <w:tc>
          <w:tcPr>
            <w:tcW w:type="dxa" w:w="3888"/>
            <w:vAlign w:val="center"/>
            <w:tcMar>
              <w:top w:w="85" w:type="dxa"/>
              <w:bottom w:w="85" w:type="dxa"/>
              <w:left w:w="95" w:type="dxa"/>
              <w:right w:w="95" w:type="dxa"/>
            </w:tcMar>
            <w:shd w:fill="F2F5F8"/>
          </w:tcPr>
          <w:p>
            <w:pPr>
              <w:spacing w:after="0" w:line="247" w:lineRule="auto"/>
            </w:pPr>
            <w:r>
              <w:rPr>
                <w:b w:val="0"/>
                <w:sz w:val="20"/>
              </w:rPr>
              <w:t>Cognito</w:t>
            </w:r>
          </w:p>
        </w:tc>
      </w:tr>
      <w:tr>
        <w:trPr>
          <w:cantSplit/>
        </w:trPr>
        <w:tc>
          <w:tcPr>
            <w:tcW w:type="dxa" w:w="2376"/>
            <w:vAlign w:val="center"/>
            <w:tcMar>
              <w:top w:w="85" w:type="dxa"/>
              <w:bottom w:w="85" w:type="dxa"/>
              <w:left w:w="95" w:type="dxa"/>
              <w:right w:w="95" w:type="dxa"/>
            </w:tcMar>
            <w:shd w:fill="FFFFFF"/>
          </w:tcPr>
          <w:p>
            <w:pPr>
              <w:spacing w:after="0" w:line="247" w:lineRule="auto"/>
            </w:pPr>
            <w:r>
              <w:rPr>
                <w:b w:val="0"/>
                <w:sz w:val="20"/>
              </w:rPr>
              <w:t>Application records</w:t>
            </w:r>
          </w:p>
        </w:tc>
        <w:tc>
          <w:tcPr>
            <w:tcW w:type="dxa" w:w="3816"/>
            <w:vAlign w:val="center"/>
            <w:tcMar>
              <w:top w:w="85" w:type="dxa"/>
              <w:bottom w:w="85" w:type="dxa"/>
              <w:left w:w="95" w:type="dxa"/>
              <w:right w:w="95" w:type="dxa"/>
            </w:tcMar>
            <w:shd w:fill="FFFFFF"/>
          </w:tcPr>
          <w:p>
            <w:pPr>
              <w:spacing w:after="0" w:line="247" w:lineRule="auto"/>
            </w:pPr>
            <w:r>
              <w:rPr>
                <w:b w:val="0"/>
                <w:sz w:val="20"/>
              </w:rPr>
              <w:t>PostgreSQL</w:t>
            </w:r>
          </w:p>
        </w:tc>
        <w:tc>
          <w:tcPr>
            <w:tcW w:type="dxa" w:w="3888"/>
            <w:vAlign w:val="center"/>
            <w:tcMar>
              <w:top w:w="85" w:type="dxa"/>
              <w:bottom w:w="85" w:type="dxa"/>
              <w:left w:w="95" w:type="dxa"/>
              <w:right w:w="95" w:type="dxa"/>
            </w:tcMar>
            <w:shd w:fill="FFFFFF"/>
          </w:tcPr>
          <w:p>
            <w:pPr>
              <w:spacing w:after="0" w:line="247" w:lineRule="auto"/>
            </w:pPr>
            <w:r>
              <w:rPr>
                <w:b w:val="0"/>
                <w:sz w:val="20"/>
              </w:rPr>
              <w:t>DynamoDB is the documented target</w:t>
            </w:r>
          </w:p>
        </w:tc>
      </w:tr>
      <w:tr>
        <w:trPr>
          <w:cantSplit/>
        </w:trPr>
        <w:tc>
          <w:tcPr>
            <w:tcW w:type="dxa" w:w="2376"/>
            <w:vAlign w:val="center"/>
            <w:tcMar>
              <w:top w:w="85" w:type="dxa"/>
              <w:bottom w:w="85" w:type="dxa"/>
              <w:left w:w="95" w:type="dxa"/>
              <w:right w:w="95" w:type="dxa"/>
            </w:tcMar>
            <w:shd w:fill="F2F5F8"/>
          </w:tcPr>
          <w:p>
            <w:pPr>
              <w:spacing w:after="0" w:line="247" w:lineRule="auto"/>
            </w:pPr>
            <w:r>
              <w:rPr>
                <w:b w:val="0"/>
                <w:sz w:val="20"/>
              </w:rPr>
              <w:t>Document vectors</w:t>
            </w:r>
          </w:p>
        </w:tc>
        <w:tc>
          <w:tcPr>
            <w:tcW w:type="dxa" w:w="3816"/>
            <w:vAlign w:val="center"/>
            <w:tcMar>
              <w:top w:w="85" w:type="dxa"/>
              <w:bottom w:w="85" w:type="dxa"/>
              <w:left w:w="95" w:type="dxa"/>
              <w:right w:w="95" w:type="dxa"/>
            </w:tcMar>
            <w:shd w:fill="F2F5F8"/>
          </w:tcPr>
          <w:p>
            <w:pPr>
              <w:spacing w:after="0" w:line="247" w:lineRule="auto"/>
            </w:pPr>
            <w:r>
              <w:rPr>
                <w:b w:val="0"/>
                <w:sz w:val="20"/>
              </w:rPr>
              <w:t>pgvector in PostgreSQL</w:t>
            </w:r>
          </w:p>
        </w:tc>
        <w:tc>
          <w:tcPr>
            <w:tcW w:type="dxa" w:w="3888"/>
            <w:vAlign w:val="center"/>
            <w:tcMar>
              <w:top w:w="85" w:type="dxa"/>
              <w:bottom w:w="85" w:type="dxa"/>
              <w:left w:w="95" w:type="dxa"/>
              <w:right w:w="95" w:type="dxa"/>
            </w:tcMar>
            <w:shd w:fill="F2F5F8"/>
          </w:tcPr>
          <w:p>
            <w:pPr>
              <w:spacing w:after="0" w:line="247" w:lineRule="auto"/>
            </w:pPr>
            <w:r>
              <w:rPr>
                <w:b w:val="0"/>
                <w:sz w:val="20"/>
              </w:rPr>
              <w:t>DynamoDB index workspace-vectors, 1,024 dimensions. SearchVectors, or a local cosine fallback.</w:t>
            </w:r>
          </w:p>
        </w:tc>
      </w:tr>
      <w:tr>
        <w:trPr>
          <w:cantSplit/>
        </w:trPr>
        <w:tc>
          <w:tcPr>
            <w:tcW w:type="dxa" w:w="2376"/>
            <w:vAlign w:val="center"/>
            <w:tcMar>
              <w:top w:w="85" w:type="dxa"/>
              <w:bottom w:w="85" w:type="dxa"/>
              <w:left w:w="95" w:type="dxa"/>
              <w:right w:w="95" w:type="dxa"/>
            </w:tcMar>
            <w:shd w:fill="FFFFFF"/>
          </w:tcPr>
          <w:p>
            <w:pPr>
              <w:keepNext/>
              <w:spacing w:after="0" w:line="247" w:lineRule="auto"/>
            </w:pPr>
            <w:r>
              <w:rPr>
                <w:b w:val="0"/>
                <w:sz w:val="20"/>
              </w:rPr>
              <w:t>Chat execution</w:t>
            </w:r>
          </w:p>
        </w:tc>
        <w:tc>
          <w:tcPr>
            <w:tcW w:type="dxa" w:w="3816"/>
            <w:vAlign w:val="center"/>
            <w:tcMar>
              <w:top w:w="85" w:type="dxa"/>
              <w:bottom w:w="85" w:type="dxa"/>
              <w:left w:w="95" w:type="dxa"/>
              <w:right w:w="95" w:type="dxa"/>
            </w:tcMar>
            <w:shd w:fill="FFFFFF"/>
          </w:tcPr>
          <w:p>
            <w:pPr>
              <w:keepNext/>
              <w:spacing w:after="0" w:line="247" w:lineRule="auto"/>
            </w:pPr>
            <w:r>
              <w:rPr>
                <w:b w:val="0"/>
                <w:sz w:val="20"/>
              </w:rPr>
              <w:t>Configured providers, with an installed Ollama fallback</w:t>
            </w:r>
          </w:p>
        </w:tc>
        <w:tc>
          <w:tcPr>
            <w:tcW w:type="dxa" w:w="3888"/>
            <w:vAlign w:val="center"/>
            <w:tcMar>
              <w:top w:w="85" w:type="dxa"/>
              <w:bottom w:w="85" w:type="dxa"/>
              <w:left w:w="95" w:type="dxa"/>
              <w:right w:w="95" w:type="dxa"/>
            </w:tcMar>
            <w:shd w:fill="FFFFFF"/>
          </w:tcPr>
          <w:p>
            <w:pPr>
              <w:keepNext/>
              <w:spacing w:after="0" w:line="247" w:lineRule="auto"/>
            </w:pPr>
            <w:r>
              <w:rPr>
                <w:b w:val="0"/>
                <w:sz w:val="20"/>
              </w:rPr>
              <w:t>Configured providers; no Ollama fallback</w:t>
            </w:r>
          </w:p>
        </w:tc>
      </w:tr>
      <w:tr>
        <w:trPr>
          <w:cantSplit/>
        </w:trPr>
        <w:tc>
          <w:tcPr>
            <w:tcW w:type="dxa" w:w="2376"/>
            <w:vAlign w:val="center"/>
            <w:tcMar>
              <w:top w:w="85" w:type="dxa"/>
              <w:bottom w:w="85" w:type="dxa"/>
              <w:left w:w="95" w:type="dxa"/>
              <w:right w:w="95" w:type="dxa"/>
            </w:tcMar>
            <w:shd w:fill="F2F5F8"/>
          </w:tcPr>
          <w:p>
            <w:pPr>
              <w:keepNext/>
              <w:spacing w:after="0" w:line="247" w:lineRule="auto"/>
            </w:pPr>
            <w:r>
              <w:rPr>
                <w:b w:val="0"/>
                <w:sz w:val="20"/>
              </w:rPr>
              <w:t>Embeddings</w:t>
            </w:r>
          </w:p>
        </w:tc>
        <w:tc>
          <w:tcPr>
            <w:tcW w:type="dxa" w:w="3816"/>
            <w:vAlign w:val="center"/>
            <w:tcMar>
              <w:top w:w="85" w:type="dxa"/>
              <w:bottom w:w="85" w:type="dxa"/>
              <w:left w:w="95" w:type="dxa"/>
              <w:right w:w="95" w:type="dxa"/>
            </w:tcMar>
            <w:shd w:fill="F2F5F8"/>
          </w:tcPr>
          <w:p>
            <w:pPr>
              <w:keepNext/>
              <w:spacing w:after="0" w:line="247" w:lineRule="auto"/>
            </w:pPr>
            <w:r>
              <w:rPr>
                <w:b w:val="0"/>
                <w:sz w:val="20"/>
              </w:rPr>
              <w:t>Ollama with nomic-embed-text, as documented</w:t>
            </w:r>
          </w:p>
        </w:tc>
        <w:tc>
          <w:tcPr>
            <w:tcW w:type="dxa" w:w="3888"/>
            <w:vAlign w:val="center"/>
            <w:tcMar>
              <w:top w:w="85" w:type="dxa"/>
              <w:bottom w:w="85" w:type="dxa"/>
              <w:left w:w="95" w:type="dxa"/>
              <w:right w:w="95" w:type="dxa"/>
            </w:tcMar>
            <w:shd w:fill="F2F5F8"/>
          </w:tcPr>
          <w:p>
            <w:pPr>
              <w:keepNext/>
              <w:spacing w:after="0" w:line="247" w:lineRule="auto"/>
            </w:pPr>
            <w:r>
              <w:rPr>
                <w:b w:val="0"/>
                <w:sz w:val="20"/>
              </w:rPr>
              <w:t>Amazon Titan Text Embeddings v2, 1,024 dimensions, when Bedrock embeddings are configured.</w:t>
            </w:r>
          </w:p>
        </w:tc>
      </w:tr>
      <w:tr>
        <w:trPr>
          <w:cantSplit/>
        </w:trPr>
        <w:tc>
          <w:tcPr>
            <w:tcW w:type="dxa" w:w="2376"/>
            <w:vAlign w:val="center"/>
            <w:tcMar>
              <w:top w:w="85" w:type="dxa"/>
              <w:bottom w:w="85" w:type="dxa"/>
              <w:left w:w="95" w:type="dxa"/>
              <w:right w:w="95" w:type="dxa"/>
            </w:tcMar>
            <w:shd w:fill="FFFFFF"/>
          </w:tcPr>
          <w:p>
            <w:pPr>
              <w:spacing w:after="0" w:line="247" w:lineRule="auto"/>
            </w:pPr>
            <w:r>
              <w:rPr>
                <w:b w:val="0"/>
                <w:sz w:val="20"/>
              </w:rPr>
              <w:t>File storage</w:t>
            </w:r>
          </w:p>
        </w:tc>
        <w:tc>
          <w:tcPr>
            <w:tcW w:type="dxa" w:w="3816"/>
            <w:vAlign w:val="center"/>
            <w:tcMar>
              <w:top w:w="85" w:type="dxa"/>
              <w:bottom w:w="85" w:type="dxa"/>
              <w:left w:w="95" w:type="dxa"/>
              <w:right w:w="95" w:type="dxa"/>
            </w:tcMar>
            <w:shd w:fill="FFFFFF"/>
          </w:tcPr>
          <w:p>
            <w:pPr>
              <w:spacing w:after="0" w:line="247" w:lineRule="auto"/>
            </w:pPr>
            <w:r>
              <w:rPr>
                <w:b w:val="0"/>
                <w:sz w:val="20"/>
              </w:rPr>
              <w:t>Data directory on disk</w:t>
            </w:r>
          </w:p>
        </w:tc>
        <w:tc>
          <w:tcPr>
            <w:tcW w:type="dxa" w:w="3888"/>
            <w:vAlign w:val="center"/>
            <w:tcMar>
              <w:top w:w="85" w:type="dxa"/>
              <w:bottom w:w="85" w:type="dxa"/>
              <w:left w:w="95" w:type="dxa"/>
              <w:right w:w="95" w:type="dxa"/>
            </w:tcMar>
            <w:shd w:fill="FFFFFF"/>
          </w:tcPr>
          <w:p>
            <w:pPr>
              <w:spacing w:after="0" w:line="247" w:lineRule="auto"/>
            </w:pPr>
            <w:r>
              <w:rPr>
                <w:b w:val="0"/>
                <w:sz w:val="20"/>
              </w:rPr>
              <w:t>Original uploads are not written on this path. Avatar images use a private S3 bucket with SSE-S3 (AES256).</w:t>
            </w:r>
          </w:p>
        </w:tc>
      </w:tr>
    </w:tbl>
    <w:p>
      <w:pPr>
        <w:spacing w:after="40" w:before="0" w:line="240" w:lineRule="auto"/>
      </w:pPr>
      <w:r>
        <w:rPr>
          <w:sz w:val="4"/>
        </w:rPr>
      </w:r>
    </w:p>
    <w:p>
      <w:pPr>
        <w:keepLines/>
        <w:widowControl/>
      </w:pPr>
      <w:r>
        <w:t>Owning the deployment provides control over access and storage. It does not, by itself, keep every request local. Optional vendor models, Bedrock, vision processing, and transcription have their own processing paths. Those paths must be clear in the configuration and deployment documentation.</w:t>
      </w:r>
    </w:p>
    <w:p>
      <w:pPr>
        <w:pStyle w:val="Heading2"/>
      </w:pPr>
      <w:r>
        <w:t>Infrastructure and release configuration</w:t>
      </w:r>
    </w:p>
    <w:p>
      <w:pPr>
        <w:keepLines/>
        <w:widowControl/>
      </w:pPr>
      <w:r>
        <w:t>The AWS region is set in the infrastructure configuration. The Terraform in this repository does not define a custom VPC. A push to main runs tests and, when the sandbox role and state bucket are configured, applies Terraform and starts an Amplify release. A pull request runs tests and a Terraform plan.</w:t>
      </w:r>
    </w:p>
    <w:p>
      <w:pPr>
        <w:pStyle w:val="Heading1"/>
      </w:pPr>
      <w:r>
        <w:t>2 Identity and workspaces</w:t>
      </w:r>
    </w:p>
    <w:p>
      <w:pPr>
        <w:keepLines/>
        <w:widowControl/>
      </w:pPr>
      <w:r>
        <w:t>The server derives the user ID through getIdentity(req), using validated authentication information. A user ID identifies an account; a session or token supplies the authentication context from which the server obtains that identity. The application should not trust an arbitrary user ID supplied in a request body, query string, or custom header.</w:t>
      </w:r>
    </w:p>
    <w:p>
      <w:pPr>
        <w:widowControl/>
      </w:pPr>
      <w:r>
        <w:t>The documented access model scopes workspaces, sessions, messages, documents, and memory to the authenticated user. Requests for another user's records return 404 so that the response does not confirm the record exists. Administrative routes enforce role checks separately.</w:t>
      </w:r>
    </w:p>
    <w:p>
      <w:pPr>
        <w:pStyle w:val="Heading2"/>
      </w:pPr>
      <w:r>
        <w:t>Workspace boundaries</w:t>
      </w:r>
    </w:p>
    <w:p>
      <w:pPr>
        <w:keepLines/>
        <w:widowControl/>
      </w:pPr>
      <w:r>
        <w:t>A workspace contains a continuous conversation session, its history and summary, knowledge documents, facts, and bookmarks. One user can have multiple workspaces. A workspace limit is a possible future control, not a change included in this revision.</w:t>
      </w:r>
    </w:p>
    <w:p>
      <w:pPr>
        <w:widowControl/>
      </w:pPr>
      <w:r>
        <w:t>Workspace isolation does not require a separate physical database for every workspace. Records and embeddings can share a store while queries enforce both user and workspace ownership. Retrieval must apply those restrictions before returning evidence. The exact enforcement points belong in the implementation review.</w:t>
      </w:r>
    </w:p>
    <w:p>
      <w:pPr>
        <w:widowControl/>
      </w:pPr>
      <w:r>
        <w:t>The workspace name, emoji, and colour help the user recognize the conversation. The name can appear as the speaker label without turning it into a model persona. A description or mission is included in the prompt only when the turn policy calls for workspace context, such as a document investigation. A casual greeting does not need that context.</w:t>
      </w:r>
    </w:p>
    <w:p>
      <w:pPr>
        <w:pStyle w:val="Heading2"/>
      </w:pPr>
      <w:r>
        <w:t>Queued messages and switching workspaces</w:t>
      </w:r>
    </w:p>
    <w:p>
      <w:pPr>
        <w:keepLines/>
        <w:widowControl/>
      </w:pPr>
      <w:r>
        <w:t>Users can compose the next message while a response is generating. The documented queue keeps reviewed text and a snapshot of its attachments until the current request finishes.</w:t>
      </w:r>
    </w:p>
    <w:p>
      <w:pPr>
        <w:widowControl/>
      </w:pPr>
      <w:r>
        <w:t>Switching workspaces aborts the browser request, cancels the local reader, discards the queued messages, clears the composer, and loads the selected workspace’s session. Stop aborts the browser request the same way. The server stream has no cancel step that tells the provider to stop generating, and the inference status value “aborted” is declared but never set. Stopping the screen does not establish that the provider has stopped or that the call will go unbilled.</w:t>
      </w:r>
    </w:p>
    <w:p>
      <w:pPr>
        <w:pStyle w:val="Heading1"/>
      </w:pPr>
      <w:r>
        <w:t>3 The path of a chat message</w:t>
      </w:r>
    </w:p>
    <w:p>
      <w:pPr>
        <w:keepLines/>
        <w:widowControl/>
      </w:pPr>
      <w:r>
        <w:t>1. The user writes a message or adds an attachment. Browser-side detection reviews typed text before submission. A queued message should retain the reviewed text and the correct workspace and attachment references.</w:t>
      </w:r>
    </w:p>
    <w:p>
      <w:pPr>
        <w:widowControl/>
      </w:pPr>
      <w:r>
        <w:t>2. The server authenticates the request, obtains the user identity, and checks ownership of the requested resources. It checks the monthly cap before invoking a billable chat model.</w:t>
      </w:r>
    </w:p>
    <w:p>
      <w:pPr>
        <w:widowControl/>
      </w:pPr>
      <w:r>
        <w:t>3. Turn policy determines whether the request needs knowledge retrieval, citations, or operational context. Complexity routing selects a tier, subject to policy overrides.</w:t>
      </w:r>
    </w:p>
    <w:p>
      <w:pPr>
        <w:widowControl/>
      </w:pPr>
      <w:r>
        <w:t>4. The application resolves the model assigned to that tier, or the selected fixed model. The server validates the selection against the allowed model catalogue and capability requirements.</w:t>
      </w:r>
    </w:p>
    <w:p>
      <w:pPr>
        <w:widowControl/>
      </w:pPr>
      <w:r>
        <w:t>5. The prompt combines conversation instructions, recent context, and any relevant memory or document passages. Retrieved content is kept separate from application instructions.</w:t>
      </w:r>
    </w:p>
    <w:p>
      <w:pPr>
        <w:widowControl/>
      </w:pPr>
      <w:r>
        <w:t>6. The selected provider generates the reply. Streaming sends successive pieces of the answer to the browser so the user can read it before generation finishes.</w:t>
      </w:r>
    </w:p>
    <w:p>
      <w:pPr>
        <w:widowControl/>
      </w:pPr>
      <w:r>
        <w:t>7. The reply streams to the browser as it is generated. After the full answer has arrived, citation auditing checks reference markers against the passages supplied for that response. Sources shown afterward are the supplied passages the answer actually cited. The chat turn is then recorded as an inference event. Generated replies are not scanned for sensitive data.</w:t>
      </w:r>
    </w:p>
    <w:p>
      <w:pPr>
        <w:pStyle w:val="Heading2"/>
      </w:pPr>
      <w:r>
        <w:t>Streaming in practical terms</w:t>
      </w:r>
    </w:p>
    <w:p>
      <w:pPr>
        <w:keepLines/>
        <w:widowControl/>
      </w:pPr>
      <w:r>
        <w:t>Streaming is a response-delivery method. The application receives incremental output from a provider and forwards it to the interface, rather than waiting for the complete answer. This does not inherently require an additional streaming platform.</w:t>
      </w:r>
    </w:p>
    <w:p>
      <w:pPr>
        <w:widowControl/>
      </w:pPr>
      <w:r>
        <w:t>Locally the browser calls the same Next.js process that serves the interface. On AWS the stream is an API Gateway response stream from the chat Lambda. The browser attaches the session to the request and can abort that request. The server does not run a pattern check on the model’s output before a piece of text is shown.</w:t>
      </w:r>
    </w:p>
    <w:p>
      <w:pPr>
        <w:widowControl/>
      </w:pPr>
      <w:r>
        <w:t>Inference records describe the model and tier used, tokens, status, grounding, and estimated cost. Detection findings describe categories and outcomes; they should not retain the matched sensitive strings. These records serve different purposes and should remain distinguishable in Insights.</w:t>
      </w:r>
    </w:p>
    <w:p>
      <w:pPr>
        <w:pStyle w:val="Heading1"/>
      </w:pPr>
      <w:r>
        <w:t>4 Sensitive data detection</w:t>
      </w:r>
    </w:p>
    <w:p>
      <w:pPr>
        <w:keepLines/>
        <w:widowControl/>
      </w:pPr>
      <w:r>
        <w:t>Detection uses patterns and validation rules. It is separate from model-based classification or answer review. In the browser, application JavaScript examines the draft for supported patterns and opens a review dialog when it finds a match. This uses processing on the user's device before the text is submitted; it does not require a language-model call.</w:t>
      </w:r>
    </w:p>
    <w:p>
      <w:pPr>
        <w:widowControl/>
      </w:pPr>
      <w:r>
        <w:t>For document ingestion, the described server path extracts text, applies the installation's detection policy, and then stores and embeds the scrubbed text. The original uploaded file is a separate object and may still contain the original sensitive content.</w:t>
      </w:r>
    </w:p>
    <w:p>
      <w:pPr>
        <w:pStyle w:val="Heading2"/>
      </w:pPr>
      <w:r>
        <w:t>Policy coverage</w:t>
      </w:r>
    </w:p>
    <w:p>
      <w:pPr>
        <w:keepLines/>
        <w:widowControl/>
      </w:pPr>
      <w:r>
        <w:t>The administrator selects Low, Balanced, or High. Balanced is the documented default. Coverage is cumulative: High includes Balanced and Low. A policy change applies to new processing and does not automatically re-scan existing messages or documents.</w:t>
      </w:r>
    </w:p>
    <w:p>
      <w:pPr>
        <w:widowControl/>
      </w:pPr>
      <w:r>
        <w:t>The following coverage matches the pattern definitions in the application.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1080"/>
        <w:gridCol w:w="1224"/>
        <w:gridCol w:w="1080"/>
        <w:gridCol w:w="3384"/>
      </w:tblGrid>
      <w:tr>
        <w:trPr>
          <w:cantSplit/>
          <w:tblHeader/>
        </w:trPr>
        <w:tc>
          <w:tcPr>
            <w:tcW w:type="dxa" w:w="3312"/>
            <w:vAlign w:val="center"/>
            <w:tcMar>
              <w:top w:w="85" w:type="dxa"/>
              <w:bottom w:w="85" w:type="dxa"/>
              <w:left w:w="95" w:type="dxa"/>
              <w:right w:w="95" w:type="dxa"/>
            </w:tcMar>
            <w:shd w:fill="24384B"/>
          </w:tcPr>
          <w:p>
            <w:pPr>
              <w:keepNext/>
              <w:spacing w:after="0" w:line="247" w:lineRule="auto"/>
            </w:pPr>
            <w:r>
              <w:rPr>
                <w:b/>
                <w:color w:val="FFFFFF"/>
                <w:sz w:val="20"/>
              </w:rPr>
              <w:t>Detection family</w:t>
            </w:r>
          </w:p>
        </w:tc>
        <w:tc>
          <w:tcPr>
            <w:tcW w:type="dxa" w:w="1080"/>
            <w:vAlign w:val="center"/>
            <w:tcMar>
              <w:top w:w="85" w:type="dxa"/>
              <w:bottom w:w="85" w:type="dxa"/>
              <w:left w:w="95" w:type="dxa"/>
              <w:right w:w="95" w:type="dxa"/>
            </w:tcMar>
            <w:shd w:fill="24384B"/>
          </w:tcPr>
          <w:p>
            <w:pPr>
              <w:keepNext/>
              <w:spacing w:after="0" w:line="247" w:lineRule="auto"/>
              <w:jc w:val="center"/>
            </w:pPr>
            <w:r>
              <w:rPr>
                <w:b/>
                <w:color w:val="FFFFFF"/>
                <w:sz w:val="20"/>
              </w:rPr>
              <w:t>Low</w:t>
            </w:r>
          </w:p>
        </w:tc>
        <w:tc>
          <w:tcPr>
            <w:tcW w:type="dxa" w:w="1224"/>
            <w:vAlign w:val="center"/>
            <w:tcMar>
              <w:top w:w="85" w:type="dxa"/>
              <w:bottom w:w="85" w:type="dxa"/>
              <w:left w:w="95" w:type="dxa"/>
              <w:right w:w="95" w:type="dxa"/>
            </w:tcMar>
            <w:shd w:fill="24384B"/>
          </w:tcPr>
          <w:p>
            <w:pPr>
              <w:keepNext/>
              <w:spacing w:after="0" w:line="247" w:lineRule="auto"/>
              <w:jc w:val="center"/>
            </w:pPr>
            <w:r>
              <w:rPr>
                <w:b/>
                <w:color w:val="FFFFFF"/>
                <w:sz w:val="20"/>
              </w:rPr>
              <w:t>Balanced</w:t>
            </w:r>
          </w:p>
        </w:tc>
        <w:tc>
          <w:tcPr>
            <w:tcW w:type="dxa" w:w="1080"/>
            <w:vAlign w:val="center"/>
            <w:tcMar>
              <w:top w:w="85" w:type="dxa"/>
              <w:bottom w:w="85" w:type="dxa"/>
              <w:left w:w="95" w:type="dxa"/>
              <w:right w:w="95" w:type="dxa"/>
            </w:tcMar>
            <w:shd w:fill="24384B"/>
          </w:tcPr>
          <w:p>
            <w:pPr>
              <w:keepNext/>
              <w:spacing w:after="0" w:line="247" w:lineRule="auto"/>
              <w:jc w:val="center"/>
            </w:pPr>
            <w:r>
              <w:rPr>
                <w:b/>
                <w:color w:val="FFFFFF"/>
                <w:sz w:val="20"/>
              </w:rPr>
              <w:t>High</w:t>
            </w:r>
          </w:p>
        </w:tc>
        <w:tc>
          <w:tcPr>
            <w:tcW w:type="dxa" w:w="3384"/>
            <w:vAlign w:val="center"/>
            <w:tcMar>
              <w:top w:w="85" w:type="dxa"/>
              <w:bottom w:w="85" w:type="dxa"/>
              <w:left w:w="95" w:type="dxa"/>
              <w:right w:w="95" w:type="dxa"/>
            </w:tcMar>
            <w:shd w:fill="24384B"/>
          </w:tcPr>
          <w:p>
            <w:pPr>
              <w:keepNext/>
              <w:spacing w:after="0" w:line="247" w:lineRule="auto"/>
            </w:pPr>
            <w:r>
              <w:rPr>
                <w:b/>
                <w:color w:val="FFFFFF"/>
                <w:sz w:val="20"/>
              </w:rPr>
              <w:t>Safe-term exemption</w:t>
            </w:r>
          </w:p>
        </w:tc>
      </w:tr>
      <w:tr>
        <w:trPr>
          <w:cantSplit/>
        </w:trPr>
        <w:tc>
          <w:tcPr>
            <w:tcW w:type="dxa" w:w="3312"/>
            <w:vAlign w:val="center"/>
            <w:tcMar>
              <w:top w:w="85" w:type="dxa"/>
              <w:bottom w:w="85" w:type="dxa"/>
              <w:left w:w="95" w:type="dxa"/>
              <w:right w:w="95" w:type="dxa"/>
            </w:tcMar>
            <w:shd w:fill="FFFFFF"/>
          </w:tcPr>
          <w:p>
            <w:pPr>
              <w:spacing w:after="0" w:line="247" w:lineRule="auto"/>
            </w:pPr>
            <w:r>
              <w:rPr>
                <w:b w:val="0"/>
                <w:sz w:val="20"/>
              </w:rPr>
              <w:t>Email addresses</w:t>
            </w:r>
          </w:p>
        </w:tc>
        <w:tc>
          <w:tcPr>
            <w:tcW w:type="dxa" w:w="1080"/>
            <w:vAlign w:val="center"/>
            <w:tcMar>
              <w:top w:w="85" w:type="dxa"/>
              <w:bottom w:w="85" w:type="dxa"/>
              <w:left w:w="95" w:type="dxa"/>
              <w:right w:w="95" w:type="dxa"/>
            </w:tcMar>
            <w:shd w:fill="FFFFFF"/>
          </w:tcPr>
          <w:p>
            <w:pPr>
              <w:spacing w:after="0" w:line="247" w:lineRule="auto"/>
              <w:jc w:val="center"/>
            </w:pPr>
            <w:r>
              <w:rPr>
                <w:b w:val="0"/>
                <w:sz w:val="20"/>
              </w:rPr>
              <w:t>Yes</w:t>
            </w:r>
          </w:p>
        </w:tc>
        <w:tc>
          <w:tcPr>
            <w:tcW w:type="dxa" w:w="1224"/>
            <w:vAlign w:val="center"/>
            <w:tcMar>
              <w:top w:w="85" w:type="dxa"/>
              <w:bottom w:w="85" w:type="dxa"/>
              <w:left w:w="95" w:type="dxa"/>
              <w:right w:w="95" w:type="dxa"/>
            </w:tcMar>
            <w:shd w:fill="FFFFFF"/>
          </w:tcPr>
          <w:p>
            <w:pPr>
              <w:spacing w:after="0" w:line="247" w:lineRule="auto"/>
              <w:jc w:val="center"/>
            </w:pPr>
            <w:r>
              <w:rPr>
                <w:b w:val="0"/>
                <w:sz w:val="20"/>
              </w:rPr>
              <w:t>Yes</w:t>
            </w:r>
          </w:p>
        </w:tc>
        <w:tc>
          <w:tcPr>
            <w:tcW w:type="dxa" w:w="1080"/>
            <w:vAlign w:val="center"/>
            <w:tcMar>
              <w:top w:w="85" w:type="dxa"/>
              <w:bottom w:w="85" w:type="dxa"/>
              <w:left w:w="95" w:type="dxa"/>
              <w:right w:w="95" w:type="dxa"/>
            </w:tcMar>
            <w:shd w:fill="FFFFFF"/>
          </w:tcPr>
          <w:p>
            <w:pPr>
              <w:spacing w:after="0" w:line="247" w:lineRule="auto"/>
              <w:jc w:val="center"/>
            </w:pPr>
            <w:r>
              <w:rPr>
                <w:b w:val="0"/>
                <w:sz w:val="20"/>
              </w:rPr>
              <w:t>Yes</w:t>
            </w:r>
          </w:p>
        </w:tc>
        <w:tc>
          <w:tcPr>
            <w:tcW w:type="dxa" w:w="3384"/>
            <w:vAlign w:val="center"/>
            <w:tcMar>
              <w:top w:w="85" w:type="dxa"/>
              <w:bottom w:w="85" w:type="dxa"/>
              <w:left w:w="95" w:type="dxa"/>
              <w:right w:w="95" w:type="dxa"/>
            </w:tcMar>
            <w:shd w:fill="FFFFFF"/>
          </w:tcPr>
          <w:p>
            <w:pPr>
              <w:spacing w:after="0" w:line="247" w:lineRule="auto"/>
            </w:pPr>
            <w:r>
              <w:rPr>
                <w:b w:val="0"/>
                <w:sz w:val="20"/>
              </w:rPr>
              <w:t>Allowed</w:t>
            </w:r>
          </w:p>
        </w:tc>
      </w:tr>
      <w:tr>
        <w:trPr>
          <w:cantSplit/>
        </w:trPr>
        <w:tc>
          <w:tcPr>
            <w:tcW w:type="dxa" w:w="3312"/>
            <w:vAlign w:val="center"/>
            <w:tcMar>
              <w:top w:w="85" w:type="dxa"/>
              <w:bottom w:w="85" w:type="dxa"/>
              <w:left w:w="95" w:type="dxa"/>
              <w:right w:w="95" w:type="dxa"/>
            </w:tcMar>
            <w:shd w:fill="F2F5F8"/>
          </w:tcPr>
          <w:p>
            <w:pPr>
              <w:spacing w:after="0" w:line="247" w:lineRule="auto"/>
            </w:pPr>
            <w:r>
              <w:rPr>
                <w:b w:val="0"/>
                <w:sz w:val="20"/>
              </w:rPr>
              <w:t>US Social Security numbers</w:t>
            </w:r>
          </w:p>
        </w:tc>
        <w:tc>
          <w:tcPr>
            <w:tcW w:type="dxa" w:w="1080"/>
            <w:vAlign w:val="center"/>
            <w:tcMar>
              <w:top w:w="85" w:type="dxa"/>
              <w:bottom w:w="85" w:type="dxa"/>
              <w:left w:w="95" w:type="dxa"/>
              <w:right w:w="95" w:type="dxa"/>
            </w:tcMar>
            <w:shd w:fill="F2F5F8"/>
          </w:tcPr>
          <w:p>
            <w:pPr>
              <w:spacing w:after="0" w:line="247" w:lineRule="auto"/>
              <w:jc w:val="center"/>
            </w:pPr>
            <w:r>
              <w:rPr>
                <w:b w:val="0"/>
                <w:sz w:val="20"/>
              </w:rPr>
              <w:t>Yes</w:t>
            </w:r>
          </w:p>
        </w:tc>
        <w:tc>
          <w:tcPr>
            <w:tcW w:type="dxa" w:w="1224"/>
            <w:vAlign w:val="center"/>
            <w:tcMar>
              <w:top w:w="85" w:type="dxa"/>
              <w:bottom w:w="85" w:type="dxa"/>
              <w:left w:w="95" w:type="dxa"/>
              <w:right w:w="95" w:type="dxa"/>
            </w:tcMar>
            <w:shd w:fill="F2F5F8"/>
          </w:tcPr>
          <w:p>
            <w:pPr>
              <w:spacing w:after="0" w:line="247" w:lineRule="auto"/>
              <w:jc w:val="center"/>
            </w:pPr>
            <w:r>
              <w:rPr>
                <w:b w:val="0"/>
                <w:sz w:val="20"/>
              </w:rPr>
              <w:t>Yes</w:t>
            </w:r>
          </w:p>
        </w:tc>
        <w:tc>
          <w:tcPr>
            <w:tcW w:type="dxa" w:w="1080"/>
            <w:vAlign w:val="center"/>
            <w:tcMar>
              <w:top w:w="85" w:type="dxa"/>
              <w:bottom w:w="85" w:type="dxa"/>
              <w:left w:w="95" w:type="dxa"/>
              <w:right w:w="95" w:type="dxa"/>
            </w:tcMar>
            <w:shd w:fill="F2F5F8"/>
          </w:tcPr>
          <w:p>
            <w:pPr>
              <w:spacing w:after="0" w:line="247" w:lineRule="auto"/>
              <w:jc w:val="center"/>
            </w:pPr>
            <w:r>
              <w:rPr>
                <w:b w:val="0"/>
                <w:sz w:val="20"/>
              </w:rPr>
              <w:t>Yes</w:t>
            </w:r>
          </w:p>
        </w:tc>
        <w:tc>
          <w:tcPr>
            <w:tcW w:type="dxa" w:w="3384"/>
            <w:vAlign w:val="center"/>
            <w:tcMar>
              <w:top w:w="85" w:type="dxa"/>
              <w:bottom w:w="85" w:type="dxa"/>
              <w:left w:w="95" w:type="dxa"/>
              <w:right w:w="95" w:type="dxa"/>
            </w:tcMar>
            <w:shd w:fill="F2F5F8"/>
          </w:tcPr>
          <w:p>
            <w:pPr>
              <w:spacing w:after="0" w:line="247" w:lineRule="auto"/>
            </w:pPr>
            <w:r>
              <w:rPr>
                <w:b w:val="0"/>
                <w:sz w:val="20"/>
              </w:rPr>
              <w:t>Not allowed</w:t>
            </w:r>
          </w:p>
        </w:tc>
      </w:tr>
      <w:tr>
        <w:trPr>
          <w:cantSplit/>
        </w:trPr>
        <w:tc>
          <w:tcPr>
            <w:tcW w:type="dxa" w:w="3312"/>
            <w:vAlign w:val="center"/>
            <w:tcMar>
              <w:top w:w="85" w:type="dxa"/>
              <w:bottom w:w="85" w:type="dxa"/>
              <w:left w:w="95" w:type="dxa"/>
              <w:right w:w="95" w:type="dxa"/>
            </w:tcMar>
            <w:shd w:fill="FFFFFF"/>
          </w:tcPr>
          <w:p>
            <w:pPr>
              <w:spacing w:after="0" w:line="247" w:lineRule="auto"/>
            </w:pPr>
            <w:r>
              <w:rPr>
                <w:b w:val="0"/>
                <w:sz w:val="20"/>
              </w:rPr>
              <w:t>Canadian social insurance numbers</w:t>
            </w:r>
          </w:p>
        </w:tc>
        <w:tc>
          <w:tcPr>
            <w:tcW w:type="dxa" w:w="1080"/>
            <w:vAlign w:val="center"/>
            <w:tcMar>
              <w:top w:w="85" w:type="dxa"/>
              <w:bottom w:w="85" w:type="dxa"/>
              <w:left w:w="95" w:type="dxa"/>
              <w:right w:w="95" w:type="dxa"/>
            </w:tcMar>
            <w:shd w:fill="FFFFFF"/>
          </w:tcPr>
          <w:p>
            <w:pPr>
              <w:spacing w:after="0" w:line="247" w:lineRule="auto"/>
              <w:jc w:val="center"/>
            </w:pPr>
            <w:r>
              <w:rPr>
                <w:b w:val="0"/>
                <w:sz w:val="20"/>
              </w:rPr>
              <w:t>Yes</w:t>
            </w:r>
          </w:p>
        </w:tc>
        <w:tc>
          <w:tcPr>
            <w:tcW w:type="dxa" w:w="1224"/>
            <w:vAlign w:val="center"/>
            <w:tcMar>
              <w:top w:w="85" w:type="dxa"/>
              <w:bottom w:w="85" w:type="dxa"/>
              <w:left w:w="95" w:type="dxa"/>
              <w:right w:w="95" w:type="dxa"/>
            </w:tcMar>
            <w:shd w:fill="FFFFFF"/>
          </w:tcPr>
          <w:p>
            <w:pPr>
              <w:spacing w:after="0" w:line="247" w:lineRule="auto"/>
              <w:jc w:val="center"/>
            </w:pPr>
            <w:r>
              <w:rPr>
                <w:b w:val="0"/>
                <w:sz w:val="20"/>
              </w:rPr>
              <w:t>Yes</w:t>
            </w:r>
          </w:p>
        </w:tc>
        <w:tc>
          <w:tcPr>
            <w:tcW w:type="dxa" w:w="1080"/>
            <w:vAlign w:val="center"/>
            <w:tcMar>
              <w:top w:w="85" w:type="dxa"/>
              <w:bottom w:w="85" w:type="dxa"/>
              <w:left w:w="95" w:type="dxa"/>
              <w:right w:w="95" w:type="dxa"/>
            </w:tcMar>
            <w:shd w:fill="FFFFFF"/>
          </w:tcPr>
          <w:p>
            <w:pPr>
              <w:spacing w:after="0" w:line="247" w:lineRule="auto"/>
              <w:jc w:val="center"/>
            </w:pPr>
            <w:r>
              <w:rPr>
                <w:b w:val="0"/>
                <w:sz w:val="20"/>
              </w:rPr>
              <w:t>Yes</w:t>
            </w:r>
          </w:p>
        </w:tc>
        <w:tc>
          <w:tcPr>
            <w:tcW w:type="dxa" w:w="3384"/>
            <w:vAlign w:val="center"/>
            <w:tcMar>
              <w:top w:w="85" w:type="dxa"/>
              <w:bottom w:w="85" w:type="dxa"/>
              <w:left w:w="95" w:type="dxa"/>
              <w:right w:w="95" w:type="dxa"/>
            </w:tcMar>
            <w:shd w:fill="FFFFFF"/>
          </w:tcPr>
          <w:p>
            <w:pPr>
              <w:spacing w:after="0" w:line="247" w:lineRule="auto"/>
            </w:pPr>
            <w:r>
              <w:rPr>
                <w:b w:val="0"/>
                <w:sz w:val="20"/>
              </w:rPr>
              <w:t>Not allowed</w:t>
            </w:r>
          </w:p>
        </w:tc>
      </w:tr>
      <w:tr>
        <w:trPr>
          <w:cantSplit/>
        </w:trPr>
        <w:tc>
          <w:tcPr>
            <w:tcW w:type="dxa" w:w="3312"/>
            <w:vAlign w:val="center"/>
            <w:tcMar>
              <w:top w:w="85" w:type="dxa"/>
              <w:bottom w:w="85" w:type="dxa"/>
              <w:left w:w="95" w:type="dxa"/>
              <w:right w:w="95" w:type="dxa"/>
            </w:tcMar>
            <w:shd w:fill="F2F5F8"/>
          </w:tcPr>
          <w:p>
            <w:pPr>
              <w:spacing w:after="0" w:line="247" w:lineRule="auto"/>
            </w:pPr>
            <w:r>
              <w:rPr>
                <w:b w:val="0"/>
                <w:sz w:val="20"/>
              </w:rPr>
              <w:t>Payment card numbers</w:t>
            </w:r>
          </w:p>
        </w:tc>
        <w:tc>
          <w:tcPr>
            <w:tcW w:type="dxa" w:w="1080"/>
            <w:vAlign w:val="center"/>
            <w:tcMar>
              <w:top w:w="85" w:type="dxa"/>
              <w:bottom w:w="85" w:type="dxa"/>
              <w:left w:w="95" w:type="dxa"/>
              <w:right w:w="95" w:type="dxa"/>
            </w:tcMar>
            <w:shd w:fill="F2F5F8"/>
          </w:tcPr>
          <w:p>
            <w:pPr>
              <w:spacing w:after="0" w:line="247" w:lineRule="auto"/>
              <w:jc w:val="center"/>
            </w:pPr>
            <w:r>
              <w:rPr>
                <w:b w:val="0"/>
                <w:sz w:val="20"/>
              </w:rPr>
              <w:t>Yes</w:t>
            </w:r>
          </w:p>
        </w:tc>
        <w:tc>
          <w:tcPr>
            <w:tcW w:type="dxa" w:w="1224"/>
            <w:vAlign w:val="center"/>
            <w:tcMar>
              <w:top w:w="85" w:type="dxa"/>
              <w:bottom w:w="85" w:type="dxa"/>
              <w:left w:w="95" w:type="dxa"/>
              <w:right w:w="95" w:type="dxa"/>
            </w:tcMar>
            <w:shd w:fill="F2F5F8"/>
          </w:tcPr>
          <w:p>
            <w:pPr>
              <w:spacing w:after="0" w:line="247" w:lineRule="auto"/>
              <w:jc w:val="center"/>
            </w:pPr>
            <w:r>
              <w:rPr>
                <w:b w:val="0"/>
                <w:sz w:val="20"/>
              </w:rPr>
              <w:t>Yes</w:t>
            </w:r>
          </w:p>
        </w:tc>
        <w:tc>
          <w:tcPr>
            <w:tcW w:type="dxa" w:w="1080"/>
            <w:vAlign w:val="center"/>
            <w:tcMar>
              <w:top w:w="85" w:type="dxa"/>
              <w:bottom w:w="85" w:type="dxa"/>
              <w:left w:w="95" w:type="dxa"/>
              <w:right w:w="95" w:type="dxa"/>
            </w:tcMar>
            <w:shd w:fill="F2F5F8"/>
          </w:tcPr>
          <w:p>
            <w:pPr>
              <w:spacing w:after="0" w:line="247" w:lineRule="auto"/>
              <w:jc w:val="center"/>
            </w:pPr>
            <w:r>
              <w:rPr>
                <w:b w:val="0"/>
                <w:sz w:val="20"/>
              </w:rPr>
              <w:t>Yes</w:t>
            </w:r>
          </w:p>
        </w:tc>
        <w:tc>
          <w:tcPr>
            <w:tcW w:type="dxa" w:w="3384"/>
            <w:vAlign w:val="center"/>
            <w:tcMar>
              <w:top w:w="85" w:type="dxa"/>
              <w:bottom w:w="85" w:type="dxa"/>
              <w:left w:w="95" w:type="dxa"/>
              <w:right w:w="95" w:type="dxa"/>
            </w:tcMar>
            <w:shd w:fill="F2F5F8"/>
          </w:tcPr>
          <w:p>
            <w:pPr>
              <w:spacing w:after="0" w:line="247" w:lineRule="auto"/>
            </w:pPr>
            <w:r>
              <w:rPr>
                <w:b w:val="0"/>
                <w:sz w:val="20"/>
              </w:rPr>
              <w:t>Not allowed</w:t>
            </w:r>
          </w:p>
        </w:tc>
      </w:tr>
      <w:tr>
        <w:trPr>
          <w:cantSplit/>
        </w:trPr>
        <w:tc>
          <w:tcPr>
            <w:tcW w:type="dxa" w:w="3312"/>
            <w:vAlign w:val="center"/>
            <w:tcMar>
              <w:top w:w="85" w:type="dxa"/>
              <w:bottom w:w="85" w:type="dxa"/>
              <w:left w:w="95" w:type="dxa"/>
              <w:right w:w="95" w:type="dxa"/>
            </w:tcMar>
            <w:shd w:fill="FFFFFF"/>
          </w:tcPr>
          <w:p>
            <w:pPr>
              <w:spacing w:after="0" w:line="247" w:lineRule="auto"/>
            </w:pPr>
            <w:r>
              <w:rPr>
                <w:b w:val="0"/>
                <w:sz w:val="20"/>
              </w:rPr>
              <w:t>API keys and private keys</w:t>
            </w:r>
          </w:p>
        </w:tc>
        <w:tc>
          <w:tcPr>
            <w:tcW w:type="dxa" w:w="1080"/>
            <w:vAlign w:val="center"/>
            <w:tcMar>
              <w:top w:w="85" w:type="dxa"/>
              <w:bottom w:w="85" w:type="dxa"/>
              <w:left w:w="95" w:type="dxa"/>
              <w:right w:w="95" w:type="dxa"/>
            </w:tcMar>
            <w:shd w:fill="FFFFFF"/>
          </w:tcPr>
          <w:p>
            <w:pPr>
              <w:spacing w:after="0" w:line="247" w:lineRule="auto"/>
              <w:jc w:val="center"/>
            </w:pPr>
            <w:r>
              <w:rPr>
                <w:b w:val="0"/>
                <w:sz w:val="20"/>
              </w:rPr>
              <w:t>Yes</w:t>
            </w:r>
          </w:p>
        </w:tc>
        <w:tc>
          <w:tcPr>
            <w:tcW w:type="dxa" w:w="1224"/>
            <w:vAlign w:val="center"/>
            <w:tcMar>
              <w:top w:w="85" w:type="dxa"/>
              <w:bottom w:w="85" w:type="dxa"/>
              <w:left w:w="95" w:type="dxa"/>
              <w:right w:w="95" w:type="dxa"/>
            </w:tcMar>
            <w:shd w:fill="FFFFFF"/>
          </w:tcPr>
          <w:p>
            <w:pPr>
              <w:spacing w:after="0" w:line="247" w:lineRule="auto"/>
              <w:jc w:val="center"/>
            </w:pPr>
            <w:r>
              <w:rPr>
                <w:b w:val="0"/>
                <w:sz w:val="20"/>
              </w:rPr>
              <w:t>Yes</w:t>
            </w:r>
          </w:p>
        </w:tc>
        <w:tc>
          <w:tcPr>
            <w:tcW w:type="dxa" w:w="1080"/>
            <w:vAlign w:val="center"/>
            <w:tcMar>
              <w:top w:w="85" w:type="dxa"/>
              <w:bottom w:w="85" w:type="dxa"/>
              <w:left w:w="95" w:type="dxa"/>
              <w:right w:w="95" w:type="dxa"/>
            </w:tcMar>
            <w:shd w:fill="FFFFFF"/>
          </w:tcPr>
          <w:p>
            <w:pPr>
              <w:spacing w:after="0" w:line="247" w:lineRule="auto"/>
              <w:jc w:val="center"/>
            </w:pPr>
            <w:r>
              <w:rPr>
                <w:b w:val="0"/>
                <w:sz w:val="20"/>
              </w:rPr>
              <w:t>Yes</w:t>
            </w:r>
          </w:p>
        </w:tc>
        <w:tc>
          <w:tcPr>
            <w:tcW w:type="dxa" w:w="3384"/>
            <w:vAlign w:val="center"/>
            <w:tcMar>
              <w:top w:w="85" w:type="dxa"/>
              <w:bottom w:w="85" w:type="dxa"/>
              <w:left w:w="95" w:type="dxa"/>
              <w:right w:w="95" w:type="dxa"/>
            </w:tcMar>
            <w:shd w:fill="FFFFFF"/>
          </w:tcPr>
          <w:p>
            <w:pPr>
              <w:spacing w:after="0" w:line="247" w:lineRule="auto"/>
            </w:pPr>
            <w:r>
              <w:rPr>
                <w:b w:val="0"/>
                <w:sz w:val="20"/>
              </w:rPr>
              <w:t>Not allowed</w:t>
            </w:r>
          </w:p>
        </w:tc>
      </w:tr>
      <w:tr>
        <w:trPr>
          <w:cantSplit/>
        </w:trPr>
        <w:tc>
          <w:tcPr>
            <w:tcW w:type="dxa" w:w="3312"/>
            <w:vAlign w:val="center"/>
            <w:tcMar>
              <w:top w:w="85" w:type="dxa"/>
              <w:bottom w:w="85" w:type="dxa"/>
              <w:left w:w="95" w:type="dxa"/>
              <w:right w:w="95" w:type="dxa"/>
            </w:tcMar>
            <w:shd w:fill="F2F5F8"/>
          </w:tcPr>
          <w:p>
            <w:pPr>
              <w:spacing w:after="0" w:line="247" w:lineRule="auto"/>
            </w:pPr>
            <w:r>
              <w:rPr>
                <w:b w:val="0"/>
                <w:sz w:val="20"/>
              </w:rPr>
              <w:t>Phone numbers</w:t>
            </w:r>
          </w:p>
        </w:tc>
        <w:tc>
          <w:tcPr>
            <w:tcW w:type="dxa" w:w="1080"/>
            <w:vAlign w:val="center"/>
            <w:tcMar>
              <w:top w:w="85" w:type="dxa"/>
              <w:bottom w:w="85" w:type="dxa"/>
              <w:left w:w="95" w:type="dxa"/>
              <w:right w:w="95" w:type="dxa"/>
            </w:tcMar>
            <w:shd w:fill="F2F5F8"/>
          </w:tcPr>
          <w:p>
            <w:pPr>
              <w:spacing w:after="0" w:line="247" w:lineRule="auto"/>
              <w:jc w:val="center"/>
            </w:pPr>
            <w:r>
              <w:rPr>
                <w:b w:val="0"/>
                <w:sz w:val="20"/>
              </w:rPr>
              <w:t>No</w:t>
            </w:r>
          </w:p>
        </w:tc>
        <w:tc>
          <w:tcPr>
            <w:tcW w:type="dxa" w:w="1224"/>
            <w:vAlign w:val="center"/>
            <w:tcMar>
              <w:top w:w="85" w:type="dxa"/>
              <w:bottom w:w="85" w:type="dxa"/>
              <w:left w:w="95" w:type="dxa"/>
              <w:right w:w="95" w:type="dxa"/>
            </w:tcMar>
            <w:shd w:fill="F2F5F8"/>
          </w:tcPr>
          <w:p>
            <w:pPr>
              <w:spacing w:after="0" w:line="247" w:lineRule="auto"/>
              <w:jc w:val="center"/>
            </w:pPr>
            <w:r>
              <w:rPr>
                <w:b w:val="0"/>
                <w:sz w:val="20"/>
              </w:rPr>
              <w:t>Yes</w:t>
            </w:r>
          </w:p>
        </w:tc>
        <w:tc>
          <w:tcPr>
            <w:tcW w:type="dxa" w:w="1080"/>
            <w:vAlign w:val="center"/>
            <w:tcMar>
              <w:top w:w="85" w:type="dxa"/>
              <w:bottom w:w="85" w:type="dxa"/>
              <w:left w:w="95" w:type="dxa"/>
              <w:right w:w="95" w:type="dxa"/>
            </w:tcMar>
            <w:shd w:fill="F2F5F8"/>
          </w:tcPr>
          <w:p>
            <w:pPr>
              <w:spacing w:after="0" w:line="247" w:lineRule="auto"/>
              <w:jc w:val="center"/>
            </w:pPr>
            <w:r>
              <w:rPr>
                <w:b w:val="0"/>
                <w:sz w:val="20"/>
              </w:rPr>
              <w:t>Yes</w:t>
            </w:r>
          </w:p>
        </w:tc>
        <w:tc>
          <w:tcPr>
            <w:tcW w:type="dxa" w:w="3384"/>
            <w:vAlign w:val="center"/>
            <w:tcMar>
              <w:top w:w="85" w:type="dxa"/>
              <w:bottom w:w="85" w:type="dxa"/>
              <w:left w:w="95" w:type="dxa"/>
              <w:right w:w="95" w:type="dxa"/>
            </w:tcMar>
            <w:shd w:fill="F2F5F8"/>
          </w:tcPr>
          <w:p>
            <w:pPr>
              <w:spacing w:after="0" w:line="247" w:lineRule="auto"/>
            </w:pPr>
            <w:r>
              <w:rPr>
                <w:b w:val="0"/>
                <w:sz w:val="20"/>
              </w:rPr>
              <w:t>Allowed</w:t>
            </w:r>
          </w:p>
        </w:tc>
      </w:tr>
      <w:tr>
        <w:trPr>
          <w:cantSplit/>
        </w:trPr>
        <w:tc>
          <w:tcPr>
            <w:tcW w:type="dxa" w:w="3312"/>
            <w:vAlign w:val="center"/>
            <w:tcMar>
              <w:top w:w="85" w:type="dxa"/>
              <w:bottom w:w="85" w:type="dxa"/>
              <w:left w:w="95" w:type="dxa"/>
              <w:right w:w="95" w:type="dxa"/>
            </w:tcMar>
            <w:shd w:fill="FFFFFF"/>
          </w:tcPr>
          <w:p>
            <w:pPr>
              <w:keepNext/>
              <w:spacing w:after="0" w:line="247" w:lineRule="auto"/>
            </w:pPr>
            <w:r>
              <w:rPr>
                <w:b w:val="0"/>
                <w:sz w:val="20"/>
              </w:rPr>
              <w:t>IPv4 addresses</w:t>
            </w:r>
          </w:p>
        </w:tc>
        <w:tc>
          <w:tcPr>
            <w:tcW w:type="dxa" w:w="1080"/>
            <w:vAlign w:val="center"/>
            <w:tcMar>
              <w:top w:w="85" w:type="dxa"/>
              <w:bottom w:w="85" w:type="dxa"/>
              <w:left w:w="95" w:type="dxa"/>
              <w:right w:w="95" w:type="dxa"/>
            </w:tcMar>
            <w:shd w:fill="FFFFFF"/>
          </w:tcPr>
          <w:p>
            <w:pPr>
              <w:keepNext/>
              <w:spacing w:after="0" w:line="247" w:lineRule="auto"/>
              <w:jc w:val="center"/>
            </w:pPr>
            <w:r>
              <w:rPr>
                <w:b w:val="0"/>
                <w:sz w:val="20"/>
              </w:rPr>
              <w:t>No</w:t>
            </w:r>
          </w:p>
        </w:tc>
        <w:tc>
          <w:tcPr>
            <w:tcW w:type="dxa" w:w="1224"/>
            <w:vAlign w:val="center"/>
            <w:tcMar>
              <w:top w:w="85" w:type="dxa"/>
              <w:bottom w:w="85" w:type="dxa"/>
              <w:left w:w="95" w:type="dxa"/>
              <w:right w:w="95" w:type="dxa"/>
            </w:tcMar>
            <w:shd w:fill="FFFFFF"/>
          </w:tcPr>
          <w:p>
            <w:pPr>
              <w:keepNext/>
              <w:spacing w:after="0" w:line="247" w:lineRule="auto"/>
              <w:jc w:val="center"/>
            </w:pPr>
            <w:r>
              <w:rPr>
                <w:b w:val="0"/>
                <w:sz w:val="20"/>
              </w:rPr>
              <w:t>Yes</w:t>
            </w:r>
          </w:p>
        </w:tc>
        <w:tc>
          <w:tcPr>
            <w:tcW w:type="dxa" w:w="1080"/>
            <w:vAlign w:val="center"/>
            <w:tcMar>
              <w:top w:w="85" w:type="dxa"/>
              <w:bottom w:w="85" w:type="dxa"/>
              <w:left w:w="95" w:type="dxa"/>
              <w:right w:w="95" w:type="dxa"/>
            </w:tcMar>
            <w:shd w:fill="FFFFFF"/>
          </w:tcPr>
          <w:p>
            <w:pPr>
              <w:keepNext/>
              <w:spacing w:after="0" w:line="247" w:lineRule="auto"/>
              <w:jc w:val="center"/>
            </w:pPr>
            <w:r>
              <w:rPr>
                <w:b w:val="0"/>
                <w:sz w:val="20"/>
              </w:rPr>
              <w:t>Yes</w:t>
            </w:r>
          </w:p>
        </w:tc>
        <w:tc>
          <w:tcPr>
            <w:tcW w:type="dxa" w:w="3384"/>
            <w:vAlign w:val="center"/>
            <w:tcMar>
              <w:top w:w="85" w:type="dxa"/>
              <w:bottom w:w="85" w:type="dxa"/>
              <w:left w:w="95" w:type="dxa"/>
              <w:right w:w="95" w:type="dxa"/>
            </w:tcMar>
            <w:shd w:fill="FFFFFF"/>
          </w:tcPr>
          <w:p>
            <w:pPr>
              <w:keepNext/>
              <w:spacing w:after="0" w:line="247" w:lineRule="auto"/>
            </w:pPr>
            <w:r>
              <w:rPr>
                <w:b w:val="0"/>
                <w:sz w:val="20"/>
              </w:rPr>
              <w:t>Allowed</w:t>
            </w:r>
          </w:p>
        </w:tc>
      </w:tr>
      <w:tr>
        <w:trPr>
          <w:cantSplit/>
        </w:trPr>
        <w:tc>
          <w:tcPr>
            <w:tcW w:type="dxa" w:w="3312"/>
            <w:vAlign w:val="center"/>
            <w:tcMar>
              <w:top w:w="85" w:type="dxa"/>
              <w:bottom w:w="85" w:type="dxa"/>
              <w:left w:w="95" w:type="dxa"/>
              <w:right w:w="95" w:type="dxa"/>
            </w:tcMar>
            <w:shd w:fill="F2F5F8"/>
          </w:tcPr>
          <w:p>
            <w:pPr>
              <w:keepNext/>
              <w:spacing w:after="0" w:line="247" w:lineRule="auto"/>
            </w:pPr>
            <w:r>
              <w:rPr>
                <w:b w:val="0"/>
                <w:sz w:val="20"/>
              </w:rPr>
              <w:t>Street addresses</w:t>
            </w:r>
          </w:p>
        </w:tc>
        <w:tc>
          <w:tcPr>
            <w:tcW w:type="dxa" w:w="1080"/>
            <w:vAlign w:val="center"/>
            <w:tcMar>
              <w:top w:w="85" w:type="dxa"/>
              <w:bottom w:w="85" w:type="dxa"/>
              <w:left w:w="95" w:type="dxa"/>
              <w:right w:w="95" w:type="dxa"/>
            </w:tcMar>
            <w:shd w:fill="F2F5F8"/>
          </w:tcPr>
          <w:p>
            <w:pPr>
              <w:keepNext/>
              <w:spacing w:after="0" w:line="247" w:lineRule="auto"/>
              <w:jc w:val="center"/>
            </w:pPr>
            <w:r>
              <w:rPr>
                <w:b w:val="0"/>
                <w:sz w:val="20"/>
              </w:rPr>
              <w:t>No</w:t>
            </w:r>
          </w:p>
        </w:tc>
        <w:tc>
          <w:tcPr>
            <w:tcW w:type="dxa" w:w="1224"/>
            <w:vAlign w:val="center"/>
            <w:tcMar>
              <w:top w:w="85" w:type="dxa"/>
              <w:bottom w:w="85" w:type="dxa"/>
              <w:left w:w="95" w:type="dxa"/>
              <w:right w:w="95" w:type="dxa"/>
            </w:tcMar>
            <w:shd w:fill="F2F5F8"/>
          </w:tcPr>
          <w:p>
            <w:pPr>
              <w:keepNext/>
              <w:spacing w:after="0" w:line="247" w:lineRule="auto"/>
              <w:jc w:val="center"/>
            </w:pPr>
            <w:r>
              <w:rPr>
                <w:b w:val="0"/>
                <w:sz w:val="20"/>
              </w:rPr>
              <w:t>Yes</w:t>
            </w:r>
          </w:p>
        </w:tc>
        <w:tc>
          <w:tcPr>
            <w:tcW w:type="dxa" w:w="1080"/>
            <w:vAlign w:val="center"/>
            <w:tcMar>
              <w:top w:w="85" w:type="dxa"/>
              <w:bottom w:w="85" w:type="dxa"/>
              <w:left w:w="95" w:type="dxa"/>
              <w:right w:w="95" w:type="dxa"/>
            </w:tcMar>
            <w:shd w:fill="F2F5F8"/>
          </w:tcPr>
          <w:p>
            <w:pPr>
              <w:keepNext/>
              <w:spacing w:after="0" w:line="247" w:lineRule="auto"/>
              <w:jc w:val="center"/>
            </w:pPr>
            <w:r>
              <w:rPr>
                <w:b w:val="0"/>
                <w:sz w:val="20"/>
              </w:rPr>
              <w:t>Yes</w:t>
            </w:r>
          </w:p>
        </w:tc>
        <w:tc>
          <w:tcPr>
            <w:tcW w:type="dxa" w:w="3384"/>
            <w:vAlign w:val="center"/>
            <w:tcMar>
              <w:top w:w="85" w:type="dxa"/>
              <w:bottom w:w="85" w:type="dxa"/>
              <w:left w:w="95" w:type="dxa"/>
              <w:right w:w="95" w:type="dxa"/>
            </w:tcMar>
            <w:shd w:fill="F2F5F8"/>
          </w:tcPr>
          <w:p>
            <w:pPr>
              <w:keepNext/>
              <w:spacing w:after="0" w:line="247" w:lineRule="auto"/>
            </w:pPr>
            <w:r>
              <w:rPr>
                <w:b w:val="0"/>
                <w:sz w:val="20"/>
              </w:rPr>
              <w:t>Allowed</w:t>
            </w:r>
          </w:p>
        </w:tc>
      </w:tr>
      <w:tr>
        <w:trPr>
          <w:cantSplit/>
        </w:trPr>
        <w:tc>
          <w:tcPr>
            <w:tcW w:type="dxa" w:w="3312"/>
            <w:vAlign w:val="center"/>
            <w:tcMar>
              <w:top w:w="85" w:type="dxa"/>
              <w:bottom w:w="85" w:type="dxa"/>
              <w:left w:w="95" w:type="dxa"/>
              <w:right w:w="95" w:type="dxa"/>
            </w:tcMar>
            <w:shd w:fill="FFFFFF"/>
          </w:tcPr>
          <w:p>
            <w:pPr>
              <w:spacing w:after="0" w:line="247" w:lineRule="auto"/>
            </w:pPr>
            <w:r>
              <w:rPr>
                <w:b w:val="0"/>
                <w:sz w:val="20"/>
              </w:rPr>
              <w:t>Passport and national ID patterns</w:t>
            </w:r>
          </w:p>
        </w:tc>
        <w:tc>
          <w:tcPr>
            <w:tcW w:type="dxa" w:w="1080"/>
            <w:vAlign w:val="center"/>
            <w:tcMar>
              <w:top w:w="85" w:type="dxa"/>
              <w:bottom w:w="85" w:type="dxa"/>
              <w:left w:w="95" w:type="dxa"/>
              <w:right w:w="95" w:type="dxa"/>
            </w:tcMar>
            <w:shd w:fill="FFFFFF"/>
          </w:tcPr>
          <w:p>
            <w:pPr>
              <w:spacing w:after="0" w:line="247" w:lineRule="auto"/>
              <w:jc w:val="center"/>
            </w:pPr>
            <w:r>
              <w:rPr>
                <w:b w:val="0"/>
                <w:sz w:val="20"/>
              </w:rPr>
              <w:t>No</w:t>
            </w:r>
          </w:p>
        </w:tc>
        <w:tc>
          <w:tcPr>
            <w:tcW w:type="dxa" w:w="1224"/>
            <w:vAlign w:val="center"/>
            <w:tcMar>
              <w:top w:w="85" w:type="dxa"/>
              <w:bottom w:w="85" w:type="dxa"/>
              <w:left w:w="95" w:type="dxa"/>
              <w:right w:w="95" w:type="dxa"/>
            </w:tcMar>
            <w:shd w:fill="FFFFFF"/>
          </w:tcPr>
          <w:p>
            <w:pPr>
              <w:spacing w:after="0" w:line="247" w:lineRule="auto"/>
              <w:jc w:val="center"/>
            </w:pPr>
            <w:r>
              <w:rPr>
                <w:b w:val="0"/>
                <w:sz w:val="20"/>
              </w:rPr>
              <w:t>No</w:t>
            </w:r>
          </w:p>
        </w:tc>
        <w:tc>
          <w:tcPr>
            <w:tcW w:type="dxa" w:w="1080"/>
            <w:vAlign w:val="center"/>
            <w:tcMar>
              <w:top w:w="85" w:type="dxa"/>
              <w:bottom w:w="85" w:type="dxa"/>
              <w:left w:w="95" w:type="dxa"/>
              <w:right w:w="95" w:type="dxa"/>
            </w:tcMar>
            <w:shd w:fill="FFFFFF"/>
          </w:tcPr>
          <w:p>
            <w:pPr>
              <w:spacing w:after="0" w:line="247" w:lineRule="auto"/>
              <w:jc w:val="center"/>
            </w:pPr>
            <w:r>
              <w:rPr>
                <w:b w:val="0"/>
                <w:sz w:val="20"/>
              </w:rPr>
              <w:t>Yes</w:t>
            </w:r>
          </w:p>
        </w:tc>
        <w:tc>
          <w:tcPr>
            <w:tcW w:type="dxa" w:w="3384"/>
            <w:vAlign w:val="center"/>
            <w:tcMar>
              <w:top w:w="85" w:type="dxa"/>
              <w:bottom w:w="85" w:type="dxa"/>
              <w:left w:w="95" w:type="dxa"/>
              <w:right w:w="95" w:type="dxa"/>
            </w:tcMar>
            <w:shd w:fill="FFFFFF"/>
          </w:tcPr>
          <w:p>
            <w:pPr>
              <w:spacing w:after="0" w:line="247" w:lineRule="auto"/>
            </w:pPr>
            <w:r>
              <w:rPr>
                <w:b w:val="0"/>
                <w:sz w:val="20"/>
              </w:rPr>
              <w:t>Allowed</w:t>
            </w:r>
          </w:p>
        </w:tc>
      </w:tr>
    </w:tbl>
    <w:p>
      <w:pPr>
        <w:spacing w:after="40" w:before="0" w:line="240" w:lineRule="auto"/>
      </w:pPr>
      <w:r>
        <w:rPr>
          <w:sz w:val="4"/>
        </w:rPr>
      </w:r>
    </w:p>
    <w:p>
      <w:pPr>
        <w:widowControl/>
      </w:pPr>
      <w:r>
        <w:t>Structural checks and checksums help distinguish likely identifiers from ordinary digit strings. Examples include Luhn validation for card numbers and recognition of private-key blocks. Pattern matching can still produce false positives and miss sensitive content.</w:t>
      </w:r>
    </w:p>
    <w:p>
      <w:pPr>
        <w:pStyle w:val="Heading2"/>
      </w:pPr>
      <w:r>
        <w:t>Safe terms and retained findings</w:t>
      </w:r>
    </w:p>
    <w:p>
      <w:pPr>
        <w:keepLines/>
        <w:widowControl/>
      </w:pPr>
      <w:r>
        <w:t>A safe term exempts an approved domain, CIDR range, prefix, or literal from an exemptible category. The documented policy allows members to propose changes while administrators apply them. Server-side ingestion uses the saved installation policy rather than trusting a browser-supplied exemption list.</w:t>
      </w:r>
    </w:p>
    <w:p>
      <w:pPr>
        <w:widowControl/>
      </w:pPr>
      <w:r>
        <w:t>Findings record the category, source, outcome, count, and sensitivity in effect. The matched string is not part of that record. Removing a finding removes the log entry. It does not reconstruct redacted text.</w:t>
      </w:r>
    </w:p>
    <w:p>
      <w:pPr>
        <w:pStyle w:val="Heading2"/>
      </w:pPr>
      <w:r>
        <w:t>Where detection is enforced</w:t>
      </w:r>
    </w:p>
    <w:p>
      <w:pPr>
        <w:keepLines/>
        <w:widowControl/>
      </w:pPr>
      <w:r>
        <w:t>Browser checks protect the normal composer. The text that leaves that screen is the reviewed replacement. A request that calls the API directly can skip the browser, and chat text is not scrubbed again on the server. Server authentication still applies.</w:t>
      </w:r>
    </w:p>
    <w:p>
      <w:pPr>
        <w:widowControl/>
      </w:pPr>
      <w:r>
        <w:t>Generated replies are not scanned for sensitive data, either while they stream or after they are stored. The application does not use a second model to review the answer.</w:t>
      </w:r>
    </w:p>
    <w:p>
      <w:pPr>
        <w:pStyle w:val="Heading1"/>
      </w:pPr>
      <w:r>
        <w:t>5 Turn policy and conversation style</w:t>
      </w:r>
    </w:p>
    <w:p>
      <w:pPr>
        <w:keepLines/>
        <w:widowControl/>
      </w:pPr>
      <w:r>
        <w:t>Turn policy asks what context a message needs. Complexity routing asks which model tier should handle it. Keeping these decisions separate lets SecureMind answer casually when appropriate and use document evidence when it adds value.</w:t>
      </w:r>
    </w:p>
    <w:p>
      <w:pPr>
        <w:widowControl/>
      </w:pPr>
      <w:r>
        <w:t>The documented classifier is deterministic: it normalizes the message and evaluates signals in a defined order, including attachments, social messages, corrections, application help, grounded follow-ups, workspace references, and general questions. The reason code is recorded for diagnostics rather than inserted into the reply.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3816"/>
        <w:gridCol w:w="3888"/>
      </w:tblGrid>
      <w:tr>
        <w:trPr>
          <w:cantSplit/>
          <w:tblHeader/>
        </w:trPr>
        <w:tc>
          <w:tcPr>
            <w:tcW w:type="dxa" w:w="2376"/>
            <w:vAlign w:val="center"/>
            <w:tcMar>
              <w:top w:w="85" w:type="dxa"/>
              <w:bottom w:w="85" w:type="dxa"/>
              <w:left w:w="95" w:type="dxa"/>
              <w:right w:w="95" w:type="dxa"/>
            </w:tcMar>
            <w:shd w:fill="24384B"/>
          </w:tcPr>
          <w:p>
            <w:pPr>
              <w:keepNext/>
              <w:spacing w:after="0" w:line="247" w:lineRule="auto"/>
            </w:pPr>
            <w:r>
              <w:rPr>
                <w:b/>
                <w:color w:val="FFFFFF"/>
                <w:sz w:val="20"/>
              </w:rPr>
              <w:t>Type of request</w:t>
            </w:r>
          </w:p>
        </w:tc>
        <w:tc>
          <w:tcPr>
            <w:tcW w:type="dxa" w:w="3816"/>
            <w:vAlign w:val="center"/>
            <w:tcMar>
              <w:top w:w="85" w:type="dxa"/>
              <w:bottom w:w="85" w:type="dxa"/>
              <w:left w:w="95" w:type="dxa"/>
              <w:right w:w="95" w:type="dxa"/>
            </w:tcMar>
            <w:shd w:fill="24384B"/>
          </w:tcPr>
          <w:p>
            <w:pPr>
              <w:keepNext/>
              <w:spacing w:after="0" w:line="247" w:lineRule="auto"/>
            </w:pPr>
            <w:r>
              <w:rPr>
                <w:b/>
                <w:color w:val="FFFFFF"/>
                <w:sz w:val="20"/>
              </w:rPr>
              <w:t>Retrieval behaviour</w:t>
            </w:r>
          </w:p>
        </w:tc>
        <w:tc>
          <w:tcPr>
            <w:tcW w:type="dxa" w:w="3888"/>
            <w:vAlign w:val="center"/>
            <w:tcMar>
              <w:top w:w="85" w:type="dxa"/>
              <w:bottom w:w="85" w:type="dxa"/>
              <w:left w:w="95" w:type="dxa"/>
              <w:right w:w="95" w:type="dxa"/>
            </w:tcMar>
            <w:shd w:fill="24384B"/>
          </w:tcPr>
          <w:p>
            <w:pPr>
              <w:keepNext/>
              <w:spacing w:after="0" w:line="247" w:lineRule="auto"/>
            </w:pPr>
            <w:r>
              <w:rPr>
                <w:b/>
                <w:color w:val="FFFFFF"/>
                <w:sz w:val="20"/>
              </w:rPr>
              <w:t>Context and sources</w:t>
            </w:r>
          </w:p>
        </w:tc>
      </w:tr>
      <w:tr>
        <w:trPr>
          <w:cantSplit/>
        </w:trPr>
        <w:tc>
          <w:tcPr>
            <w:tcW w:type="dxa" w:w="2376"/>
            <w:vAlign w:val="center"/>
            <w:tcMar>
              <w:top w:w="85" w:type="dxa"/>
              <w:bottom w:w="85" w:type="dxa"/>
              <w:left w:w="95" w:type="dxa"/>
              <w:right w:w="95" w:type="dxa"/>
            </w:tcMar>
            <w:shd w:fill="FFFFFF"/>
          </w:tcPr>
          <w:p>
            <w:pPr>
              <w:spacing w:after="0" w:line="247" w:lineRule="auto"/>
            </w:pPr>
            <w:r>
              <w:rPr>
                <w:b w:val="0"/>
                <w:sz w:val="20"/>
              </w:rPr>
              <w:t>Greeting, joke, correction, or topic change</w:t>
            </w:r>
          </w:p>
        </w:tc>
        <w:tc>
          <w:tcPr>
            <w:tcW w:type="dxa" w:w="3816"/>
            <w:vAlign w:val="center"/>
            <w:tcMar>
              <w:top w:w="85" w:type="dxa"/>
              <w:bottom w:w="85" w:type="dxa"/>
              <w:left w:w="95" w:type="dxa"/>
              <w:right w:w="95" w:type="dxa"/>
            </w:tcMar>
            <w:shd w:fill="FFFFFF"/>
          </w:tcPr>
          <w:p>
            <w:pPr>
              <w:spacing w:after="0" w:line="247" w:lineRule="auto"/>
            </w:pPr>
            <w:r>
              <w:rPr>
                <w:b w:val="0"/>
                <w:sz w:val="20"/>
              </w:rPr>
              <w:t>No knowledge search</w:t>
            </w:r>
          </w:p>
        </w:tc>
        <w:tc>
          <w:tcPr>
            <w:tcW w:type="dxa" w:w="3888"/>
            <w:vAlign w:val="center"/>
            <w:tcMar>
              <w:top w:w="85" w:type="dxa"/>
              <w:bottom w:w="85" w:type="dxa"/>
              <w:left w:w="95" w:type="dxa"/>
              <w:right w:w="95" w:type="dxa"/>
            </w:tcMar>
            <w:shd w:fill="FFFFFF"/>
          </w:tcPr>
          <w:p>
            <w:pPr>
              <w:spacing w:after="0" w:line="247" w:lineRule="auto"/>
            </w:pPr>
            <w:r>
              <w:rPr>
                <w:b w:val="0"/>
                <w:sz w:val="20"/>
              </w:rPr>
              <w:t>Conversational instructions; Micro override</w:t>
            </w:r>
          </w:p>
        </w:tc>
      </w:tr>
      <w:tr>
        <w:trPr>
          <w:cantSplit/>
        </w:trPr>
        <w:tc>
          <w:tcPr>
            <w:tcW w:type="dxa" w:w="2376"/>
            <w:vAlign w:val="center"/>
            <w:tcMar>
              <w:top w:w="85" w:type="dxa"/>
              <w:bottom w:w="85" w:type="dxa"/>
              <w:left w:w="95" w:type="dxa"/>
              <w:right w:w="95" w:type="dxa"/>
            </w:tcMar>
            <w:shd w:fill="F2F5F8"/>
          </w:tcPr>
          <w:p>
            <w:pPr>
              <w:spacing w:after="0" w:line="247" w:lineRule="auto"/>
            </w:pPr>
            <w:r>
              <w:rPr>
                <w:b w:val="0"/>
                <w:sz w:val="20"/>
              </w:rPr>
              <w:t>Application help or a question about where an answer came from</w:t>
            </w:r>
          </w:p>
        </w:tc>
        <w:tc>
          <w:tcPr>
            <w:tcW w:type="dxa" w:w="3816"/>
            <w:vAlign w:val="center"/>
            <w:tcMar>
              <w:top w:w="85" w:type="dxa"/>
              <w:bottom w:w="85" w:type="dxa"/>
              <w:left w:w="95" w:type="dxa"/>
              <w:right w:w="95" w:type="dxa"/>
            </w:tcMar>
            <w:shd w:fill="F2F5F8"/>
          </w:tcPr>
          <w:p>
            <w:pPr>
              <w:spacing w:after="0" w:line="247" w:lineRule="auto"/>
            </w:pPr>
            <w:r>
              <w:rPr>
                <w:b w:val="0"/>
                <w:sz w:val="20"/>
              </w:rPr>
              <w:t>No knowledge search in the documented policy</w:t>
            </w:r>
          </w:p>
        </w:tc>
        <w:tc>
          <w:tcPr>
            <w:tcW w:type="dxa" w:w="3888"/>
            <w:vAlign w:val="center"/>
            <w:tcMar>
              <w:top w:w="85" w:type="dxa"/>
              <w:bottom w:w="85" w:type="dxa"/>
              <w:left w:w="95" w:type="dxa"/>
              <w:right w:w="95" w:type="dxa"/>
            </w:tcMar>
            <w:shd w:fill="F2F5F8"/>
          </w:tcPr>
          <w:p>
            <w:pPr>
              <w:spacing w:after="0" w:line="247" w:lineRule="auto"/>
            </w:pPr>
            <w:r>
              <w:rPr>
                <w:b w:val="0"/>
                <w:sz w:val="20"/>
              </w:rPr>
              <w:t>Conversational response; Micro override</w:t>
            </w:r>
          </w:p>
        </w:tc>
      </w:tr>
      <w:tr>
        <w:trPr>
          <w:cantSplit/>
        </w:trPr>
        <w:tc>
          <w:tcPr>
            <w:tcW w:type="dxa" w:w="2376"/>
            <w:vAlign w:val="center"/>
            <w:tcMar>
              <w:top w:w="85" w:type="dxa"/>
              <w:bottom w:w="85" w:type="dxa"/>
              <w:left w:w="95" w:type="dxa"/>
              <w:right w:w="95" w:type="dxa"/>
            </w:tcMar>
            <w:shd w:fill="FFFFFF"/>
          </w:tcPr>
          <w:p>
            <w:pPr>
              <w:spacing w:after="0" w:line="247" w:lineRule="auto"/>
            </w:pPr>
            <w:r>
              <w:rPr>
                <w:b w:val="0"/>
                <w:sz w:val="20"/>
              </w:rPr>
              <w:t>Short unclear message without grounded context</w:t>
            </w:r>
          </w:p>
        </w:tc>
        <w:tc>
          <w:tcPr>
            <w:tcW w:type="dxa" w:w="3816"/>
            <w:vAlign w:val="center"/>
            <w:tcMar>
              <w:top w:w="85" w:type="dxa"/>
              <w:bottom w:w="85" w:type="dxa"/>
              <w:left w:w="95" w:type="dxa"/>
              <w:right w:w="95" w:type="dxa"/>
            </w:tcMar>
            <w:shd w:fill="FFFFFF"/>
          </w:tcPr>
          <w:p>
            <w:pPr>
              <w:spacing w:after="0" w:line="247" w:lineRule="auto"/>
            </w:pPr>
            <w:r>
              <w:rPr>
                <w:b w:val="0"/>
                <w:sz w:val="20"/>
              </w:rPr>
              <w:t>Ask for clarification</w:t>
            </w:r>
          </w:p>
        </w:tc>
        <w:tc>
          <w:tcPr>
            <w:tcW w:type="dxa" w:w="3888"/>
            <w:vAlign w:val="center"/>
            <w:tcMar>
              <w:top w:w="85" w:type="dxa"/>
              <w:bottom w:w="85" w:type="dxa"/>
              <w:left w:w="95" w:type="dxa"/>
              <w:right w:w="95" w:type="dxa"/>
            </w:tcMar>
            <w:shd w:fill="FFFFFF"/>
          </w:tcPr>
          <w:p>
            <w:pPr>
              <w:spacing w:after="0" w:line="247" w:lineRule="auto"/>
            </w:pPr>
            <w:r>
              <w:rPr>
                <w:b w:val="0"/>
                <w:sz w:val="20"/>
              </w:rPr>
              <w:t>Micro override</w:t>
            </w:r>
          </w:p>
        </w:tc>
      </w:tr>
      <w:tr>
        <w:trPr>
          <w:cantSplit/>
        </w:trPr>
        <w:tc>
          <w:tcPr>
            <w:tcW w:type="dxa" w:w="2376"/>
            <w:vAlign w:val="center"/>
            <w:tcMar>
              <w:top w:w="85" w:type="dxa"/>
              <w:bottom w:w="85" w:type="dxa"/>
              <w:left w:w="95" w:type="dxa"/>
              <w:right w:w="95" w:type="dxa"/>
            </w:tcMar>
            <w:shd w:fill="F2F5F8"/>
          </w:tcPr>
          <w:p>
            <w:pPr>
              <w:spacing w:after="0" w:line="247" w:lineRule="auto"/>
            </w:pPr>
            <w:r>
              <w:rPr>
                <w:b w:val="0"/>
                <w:sz w:val="20"/>
              </w:rPr>
              <w:t>Attachment on its own</w:t>
            </w:r>
          </w:p>
        </w:tc>
        <w:tc>
          <w:tcPr>
            <w:tcW w:type="dxa" w:w="3816"/>
            <w:vAlign w:val="center"/>
            <w:tcMar>
              <w:top w:w="85" w:type="dxa"/>
              <w:bottom w:w="85" w:type="dxa"/>
              <w:left w:w="95" w:type="dxa"/>
              <w:right w:w="95" w:type="dxa"/>
            </w:tcMar>
            <w:shd w:fill="F2F5F8"/>
          </w:tcPr>
          <w:p>
            <w:pPr>
              <w:spacing w:after="0" w:line="247" w:lineRule="auto"/>
            </w:pPr>
            <w:r>
              <w:rPr>
                <w:b w:val="0"/>
                <w:sz w:val="20"/>
              </w:rPr>
              <w:t>Use attachment content</w:t>
            </w:r>
          </w:p>
        </w:tc>
        <w:tc>
          <w:tcPr>
            <w:tcW w:type="dxa" w:w="3888"/>
            <w:vAlign w:val="center"/>
            <w:tcMar>
              <w:top w:w="85" w:type="dxa"/>
              <w:bottom w:w="85" w:type="dxa"/>
              <w:left w:w="95" w:type="dxa"/>
              <w:right w:w="95" w:type="dxa"/>
            </w:tcMar>
            <w:shd w:fill="F2F5F8"/>
          </w:tcPr>
          <w:p>
            <w:pPr>
              <w:spacing w:after="0" w:line="247" w:lineRule="auto"/>
            </w:pPr>
            <w:r>
              <w:rPr>
                <w:b w:val="0"/>
                <w:sz w:val="20"/>
              </w:rPr>
              <w:t>Operational context; no separate workspace source search</w:t>
            </w:r>
          </w:p>
        </w:tc>
      </w:tr>
      <w:tr>
        <w:trPr>
          <w:cantSplit/>
        </w:trPr>
        <w:tc>
          <w:tcPr>
            <w:tcW w:type="dxa" w:w="2376"/>
            <w:vAlign w:val="center"/>
            <w:tcMar>
              <w:top w:w="85" w:type="dxa"/>
              <w:bottom w:w="85" w:type="dxa"/>
              <w:left w:w="95" w:type="dxa"/>
              <w:right w:w="95" w:type="dxa"/>
            </w:tcMar>
            <w:shd w:fill="FFFFFF"/>
          </w:tcPr>
          <w:p>
            <w:pPr>
              <w:spacing w:after="0" w:line="247" w:lineRule="auto"/>
            </w:pPr>
            <w:r>
              <w:rPr>
                <w:b w:val="0"/>
                <w:sz w:val="20"/>
              </w:rPr>
              <w:t>Attachment compared with workspace documents</w:t>
            </w:r>
          </w:p>
        </w:tc>
        <w:tc>
          <w:tcPr>
            <w:tcW w:type="dxa" w:w="3816"/>
            <w:vAlign w:val="center"/>
            <w:tcMar>
              <w:top w:w="85" w:type="dxa"/>
              <w:bottom w:w="85" w:type="dxa"/>
              <w:left w:w="95" w:type="dxa"/>
              <w:right w:w="95" w:type="dxa"/>
            </w:tcMar>
            <w:shd w:fill="FFFFFF"/>
          </w:tcPr>
          <w:p>
            <w:pPr>
              <w:spacing w:after="0" w:line="247" w:lineRule="auto"/>
            </w:pPr>
            <w:r>
              <w:rPr>
                <w:b w:val="0"/>
                <w:sz w:val="20"/>
              </w:rPr>
              <w:t>Search workspace knowledge</w:t>
            </w:r>
          </w:p>
        </w:tc>
        <w:tc>
          <w:tcPr>
            <w:tcW w:type="dxa" w:w="3888"/>
            <w:vAlign w:val="center"/>
            <w:tcMar>
              <w:top w:w="85" w:type="dxa"/>
              <w:bottom w:w="85" w:type="dxa"/>
              <w:left w:w="95" w:type="dxa"/>
              <w:right w:w="95" w:type="dxa"/>
            </w:tcMar>
            <w:shd w:fill="FFFFFF"/>
          </w:tcPr>
          <w:p>
            <w:pPr>
              <w:spacing w:after="0" w:line="247" w:lineRule="auto"/>
            </w:pPr>
            <w:r>
              <w:rPr>
                <w:b w:val="0"/>
                <w:sz w:val="20"/>
              </w:rPr>
              <w:t>Cite supporting passages used in the answer</w:t>
            </w:r>
          </w:p>
        </w:tc>
      </w:tr>
      <w:tr>
        <w:trPr>
          <w:cantSplit/>
        </w:trPr>
        <w:tc>
          <w:tcPr>
            <w:tcW w:type="dxa" w:w="2376"/>
            <w:vAlign w:val="center"/>
            <w:tcMar>
              <w:top w:w="85" w:type="dxa"/>
              <w:bottom w:w="85" w:type="dxa"/>
              <w:left w:w="95" w:type="dxa"/>
              <w:right w:w="95" w:type="dxa"/>
            </w:tcMar>
            <w:shd w:fill="F2F5F8"/>
          </w:tcPr>
          <w:p>
            <w:pPr>
              <w:keepNext/>
              <w:spacing w:after="0" w:line="247" w:lineRule="auto"/>
            </w:pPr>
            <w:r>
              <w:rPr>
                <w:b w:val="0"/>
                <w:sz w:val="20"/>
              </w:rPr>
              <w:t>Workspace, file, or investigation request</w:t>
            </w:r>
          </w:p>
        </w:tc>
        <w:tc>
          <w:tcPr>
            <w:tcW w:type="dxa" w:w="3816"/>
            <w:vAlign w:val="center"/>
            <w:tcMar>
              <w:top w:w="85" w:type="dxa"/>
              <w:bottom w:w="85" w:type="dxa"/>
              <w:left w:w="95" w:type="dxa"/>
              <w:right w:w="95" w:type="dxa"/>
            </w:tcMar>
            <w:shd w:fill="F2F5F8"/>
          </w:tcPr>
          <w:p>
            <w:pPr>
              <w:keepNext/>
              <w:spacing w:after="0" w:line="247" w:lineRule="auto"/>
            </w:pPr>
            <w:r>
              <w:rPr>
                <w:b w:val="0"/>
                <w:sz w:val="20"/>
              </w:rPr>
              <w:t>Search scoped knowledge</w:t>
            </w:r>
          </w:p>
        </w:tc>
        <w:tc>
          <w:tcPr>
            <w:tcW w:type="dxa" w:w="3888"/>
            <w:vAlign w:val="center"/>
            <w:tcMar>
              <w:top w:w="85" w:type="dxa"/>
              <w:bottom w:w="85" w:type="dxa"/>
              <w:left w:w="95" w:type="dxa"/>
              <w:right w:w="95" w:type="dxa"/>
            </w:tcMar>
            <w:shd w:fill="F2F5F8"/>
          </w:tcPr>
          <w:p>
            <w:pPr>
              <w:keepNext/>
              <w:spacing w:after="0" w:line="247" w:lineRule="auto"/>
            </w:pPr>
            <w:r>
              <w:rPr>
                <w:b w:val="0"/>
                <w:sz w:val="20"/>
              </w:rPr>
              <w:t>Operational instructions and workspace context</w:t>
            </w:r>
          </w:p>
        </w:tc>
      </w:tr>
      <w:tr>
        <w:trPr>
          <w:cantSplit/>
        </w:trPr>
        <w:tc>
          <w:tcPr>
            <w:tcW w:type="dxa" w:w="2376"/>
            <w:vAlign w:val="center"/>
            <w:tcMar>
              <w:top w:w="85" w:type="dxa"/>
              <w:bottom w:w="85" w:type="dxa"/>
              <w:left w:w="95" w:type="dxa"/>
              <w:right w:w="95" w:type="dxa"/>
            </w:tcMar>
            <w:shd w:fill="FFFFFF"/>
          </w:tcPr>
          <w:p>
            <w:pPr>
              <w:keepNext/>
              <w:spacing w:after="0" w:line="247" w:lineRule="auto"/>
            </w:pPr>
            <w:r>
              <w:rPr>
                <w:b w:val="0"/>
                <w:sz w:val="20"/>
              </w:rPr>
              <w:t>Follow-up to a grounded answer</w:t>
            </w:r>
          </w:p>
        </w:tc>
        <w:tc>
          <w:tcPr>
            <w:tcW w:type="dxa" w:w="3816"/>
            <w:vAlign w:val="center"/>
            <w:tcMar>
              <w:top w:w="85" w:type="dxa"/>
              <w:bottom w:w="85" w:type="dxa"/>
              <w:left w:w="95" w:type="dxa"/>
              <w:right w:w="95" w:type="dxa"/>
            </w:tcMar>
            <w:shd w:fill="FFFFFF"/>
          </w:tcPr>
          <w:p>
            <w:pPr>
              <w:keepNext/>
              <w:spacing w:after="0" w:line="247" w:lineRule="auto"/>
            </w:pPr>
            <w:r>
              <w:rPr>
                <w:b w:val="0"/>
                <w:sz w:val="20"/>
              </w:rPr>
              <w:t>Search within prior-source context</w:t>
            </w:r>
          </w:p>
        </w:tc>
        <w:tc>
          <w:tcPr>
            <w:tcW w:type="dxa" w:w="3888"/>
            <w:vAlign w:val="center"/>
            <w:tcMar>
              <w:top w:w="85" w:type="dxa"/>
              <w:bottom w:w="85" w:type="dxa"/>
              <w:left w:w="95" w:type="dxa"/>
              <w:right w:w="95" w:type="dxa"/>
            </w:tcMar>
            <w:shd w:fill="FFFFFF"/>
          </w:tcPr>
          <w:p>
            <w:pPr>
              <w:keepNext/>
              <w:spacing w:after="0" w:line="247" w:lineRule="auto"/>
            </w:pPr>
            <w:r>
              <w:rPr>
                <w:b w:val="0"/>
                <w:sz w:val="20"/>
              </w:rPr>
              <w:t>Continue evidence-based discussion</w:t>
            </w:r>
          </w:p>
        </w:tc>
      </w:tr>
      <w:tr>
        <w:trPr>
          <w:cantSplit/>
        </w:trPr>
        <w:tc>
          <w:tcPr>
            <w:tcW w:type="dxa" w:w="2376"/>
            <w:vAlign w:val="center"/>
            <w:tcMar>
              <w:top w:w="85" w:type="dxa"/>
              <w:bottom w:w="85" w:type="dxa"/>
              <w:left w:w="95" w:type="dxa"/>
              <w:right w:w="95" w:type="dxa"/>
            </w:tcMar>
            <w:shd w:fill="F2F5F8"/>
          </w:tcPr>
          <w:p>
            <w:pPr>
              <w:spacing w:after="0" w:line="247" w:lineRule="auto"/>
            </w:pPr>
            <w:r>
              <w:rPr>
                <w:b w:val="0"/>
                <w:sz w:val="20"/>
              </w:rPr>
              <w:t>General question</w:t>
            </w:r>
          </w:p>
        </w:tc>
        <w:tc>
          <w:tcPr>
            <w:tcW w:type="dxa" w:w="3816"/>
            <w:vAlign w:val="center"/>
            <w:tcMar>
              <w:top w:w="85" w:type="dxa"/>
              <w:bottom w:w="85" w:type="dxa"/>
              <w:left w:w="95" w:type="dxa"/>
              <w:right w:w="95" w:type="dxa"/>
            </w:tcMar>
            <w:shd w:fill="F2F5F8"/>
          </w:tcPr>
          <w:p>
            <w:pPr>
              <w:spacing w:after="0" w:line="247" w:lineRule="auto"/>
            </w:pPr>
            <w:r>
              <w:rPr>
                <w:b w:val="0"/>
                <w:sz w:val="20"/>
              </w:rPr>
              <w:t>Silent relevance search</w:t>
            </w:r>
          </w:p>
        </w:tc>
        <w:tc>
          <w:tcPr>
            <w:tcW w:type="dxa" w:w="3888"/>
            <w:vAlign w:val="center"/>
            <w:tcMar>
              <w:top w:w="85" w:type="dxa"/>
              <w:bottom w:w="85" w:type="dxa"/>
              <w:left w:w="95" w:type="dxa"/>
              <w:right w:w="95" w:type="dxa"/>
            </w:tcMar>
            <w:shd w:fill="F2F5F8"/>
          </w:tcPr>
          <w:p>
            <w:pPr>
              <w:spacing w:after="0" w:line="247" w:lineRule="auto"/>
            </w:pPr>
            <w:r>
              <w:rPr>
                <w:b w:val="0"/>
                <w:sz w:val="20"/>
              </w:rPr>
              <w:t>Remain conversational unless useful evidence qualifies</w:t>
            </w:r>
          </w:p>
        </w:tc>
      </w:tr>
    </w:tbl>
    <w:p>
      <w:pPr>
        <w:spacing w:after="40" w:before="0" w:line="240" w:lineRule="auto"/>
      </w:pPr>
      <w:r>
        <w:rPr>
          <w:sz w:val="4"/>
        </w:rPr>
      </w:r>
    </w:p>
    <w:p>
      <w:pPr>
        <w:widowControl/>
      </w:pPr>
      <w:r>
        <w:t>For a general question, a relevant document match can upgrade the turn to a grounded response. A miss leaves it as an ordinary conversation, without announcing that the knowledge base was empty. The evidence threshold is a similarity of 0.5. Retrieval orders by cosine distance and converts it with one minus the distance, so a higher number is a closer match. Hits below 0.5 are dropped.</w:t>
      </w:r>
    </w:p>
    <w:p>
      <w:pPr>
        <w:widowControl/>
      </w:pPr>
      <w:r>
        <w:t>The operational-context flag controls whether the workspace mission and additional grounding instructions are included. It should not force every conversation into an operations pitch. Conversation history supplies continuity, even when no documentary evidence is needed.</w:t>
      </w:r>
    </w:p>
    <w:p>
      <w:pPr>
        <w:pStyle w:val="Heading1"/>
      </w:pPr>
      <w:r>
        <w:t>6 Complexity tiers and model selection</w:t>
      </w:r>
    </w:p>
    <w:p>
      <w:pPr>
        <w:keepLines/>
        <w:widowControl/>
      </w:pPr>
      <w:r>
        <w:t>SecureMind's intended routing model evaluates the request, selects a complexity tier, and uses the model assigned to that tier. The tier names describe routing categories. They do not require a particular vendor or guarantee a capability level independent of the assigned model.</w:t>
      </w:r>
    </w:p>
    <w:p>
      <w:pPr>
        <w:widowControl/>
      </w:pPr>
      <w:r>
        <w:t>The five current names are Max, Plus, Standard, Light, and Micro. Historical records may call Max “High” and Light “Fast.” That is naming compatibility; an older conversation does not receive a stronger model because of its age.</w:t>
      </w:r>
    </w:p>
    <w:p>
      <w:pPr>
        <w:pStyle w:val="Heading2"/>
      </w:pPr>
      <w:r>
        <w:t>Score thresholds</w:t>
      </w:r>
    </w:p>
    <w:p>
      <w:pPr>
        <w:keepLines/>
        <w:widowControl/>
      </w:pPr>
      <w:r>
        <w:t>The existing guide describes a starting score of 42, with adjustments clamped to a range of 0 to 100. Standard is therefore the starting classification before other signals and overrides, rather than a mandatory model for every request.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24"/>
        <w:gridCol w:w="1440"/>
        <w:gridCol w:w="3960"/>
        <w:gridCol w:w="3456"/>
      </w:tblGrid>
      <w:tr>
        <w:trPr>
          <w:cantSplit/>
          <w:tblHeader/>
        </w:trPr>
        <w:tc>
          <w:tcPr>
            <w:tcW w:type="dxa" w:w="1224"/>
            <w:vAlign w:val="center"/>
            <w:tcMar>
              <w:top w:w="85" w:type="dxa"/>
              <w:bottom w:w="85" w:type="dxa"/>
              <w:left w:w="95" w:type="dxa"/>
              <w:right w:w="95" w:type="dxa"/>
            </w:tcMar>
            <w:shd w:fill="24384B"/>
          </w:tcPr>
          <w:p>
            <w:pPr>
              <w:keepNext/>
              <w:spacing w:after="0" w:line="247" w:lineRule="auto"/>
              <w:jc w:val="center"/>
            </w:pPr>
            <w:r>
              <w:rPr>
                <w:b/>
                <w:color w:val="FFFFFF"/>
                <w:sz w:val="20"/>
              </w:rPr>
              <w:t>Tier</w:t>
            </w:r>
          </w:p>
        </w:tc>
        <w:tc>
          <w:tcPr>
            <w:tcW w:type="dxa" w:w="1440"/>
            <w:vAlign w:val="center"/>
            <w:tcMar>
              <w:top w:w="85" w:type="dxa"/>
              <w:bottom w:w="85" w:type="dxa"/>
              <w:left w:w="95" w:type="dxa"/>
              <w:right w:w="95" w:type="dxa"/>
            </w:tcMar>
            <w:shd w:fill="24384B"/>
          </w:tcPr>
          <w:p>
            <w:pPr>
              <w:keepNext/>
              <w:spacing w:after="0" w:line="247" w:lineRule="auto"/>
              <w:jc w:val="center"/>
            </w:pPr>
            <w:r>
              <w:rPr>
                <w:b/>
                <w:color w:val="FFFFFF"/>
                <w:sz w:val="20"/>
              </w:rPr>
              <w:t>Score range</w:t>
            </w:r>
          </w:p>
        </w:tc>
        <w:tc>
          <w:tcPr>
            <w:tcW w:type="dxa" w:w="3960"/>
            <w:vAlign w:val="center"/>
            <w:tcMar>
              <w:top w:w="85" w:type="dxa"/>
              <w:bottom w:w="85" w:type="dxa"/>
              <w:left w:w="95" w:type="dxa"/>
              <w:right w:w="95" w:type="dxa"/>
            </w:tcMar>
            <w:shd w:fill="24384B"/>
          </w:tcPr>
          <w:p>
            <w:pPr>
              <w:keepNext/>
              <w:spacing w:after="0" w:line="247" w:lineRule="auto"/>
            </w:pPr>
            <w:r>
              <w:rPr>
                <w:b/>
                <w:color w:val="FFFFFF"/>
                <w:sz w:val="20"/>
              </w:rPr>
              <w:t>Typical routing purpose</w:t>
            </w:r>
          </w:p>
        </w:tc>
        <w:tc>
          <w:tcPr>
            <w:tcW w:type="dxa" w:w="3456"/>
            <w:vAlign w:val="center"/>
            <w:tcMar>
              <w:top w:w="85" w:type="dxa"/>
              <w:bottom w:w="85" w:type="dxa"/>
              <w:left w:w="95" w:type="dxa"/>
              <w:right w:w="95" w:type="dxa"/>
            </w:tcMar>
            <w:shd w:fill="24384B"/>
          </w:tcPr>
          <w:p>
            <w:pPr>
              <w:keepNext/>
              <w:spacing w:after="0" w:line="247" w:lineRule="auto"/>
            </w:pPr>
            <w:r>
              <w:rPr>
                <w:b/>
                <w:color w:val="FFFFFF"/>
                <w:sz w:val="20"/>
              </w:rPr>
              <w:t>Model used</w:t>
            </w:r>
          </w:p>
        </w:tc>
      </w:tr>
      <w:tr>
        <w:trPr>
          <w:cantSplit/>
        </w:trPr>
        <w:tc>
          <w:tcPr>
            <w:tcW w:type="dxa" w:w="1224"/>
            <w:vAlign w:val="center"/>
            <w:tcMar>
              <w:top w:w="85" w:type="dxa"/>
              <w:bottom w:w="85" w:type="dxa"/>
              <w:left w:w="95" w:type="dxa"/>
              <w:right w:w="95" w:type="dxa"/>
            </w:tcMar>
            <w:shd w:fill="FFFFFF"/>
          </w:tcPr>
          <w:p>
            <w:pPr>
              <w:keepNext/>
              <w:spacing w:after="0" w:line="247" w:lineRule="auto"/>
              <w:jc w:val="center"/>
            </w:pPr>
            <w:r>
              <w:rPr>
                <w:b w:val="0"/>
                <w:sz w:val="20"/>
              </w:rPr>
              <w:t>Max</w:t>
            </w:r>
          </w:p>
        </w:tc>
        <w:tc>
          <w:tcPr>
            <w:tcW w:type="dxa" w:w="1440"/>
            <w:vAlign w:val="center"/>
            <w:tcMar>
              <w:top w:w="85" w:type="dxa"/>
              <w:bottom w:w="85" w:type="dxa"/>
              <w:left w:w="95" w:type="dxa"/>
              <w:right w:w="95" w:type="dxa"/>
            </w:tcMar>
            <w:shd w:fill="FFFFFF"/>
          </w:tcPr>
          <w:p>
            <w:pPr>
              <w:keepNext/>
              <w:spacing w:after="0" w:line="247" w:lineRule="auto"/>
              <w:jc w:val="center"/>
            </w:pPr>
            <w:r>
              <w:rPr>
                <w:b w:val="0"/>
                <w:sz w:val="20"/>
              </w:rPr>
              <w:t>66 to 100</w:t>
            </w:r>
          </w:p>
        </w:tc>
        <w:tc>
          <w:tcPr>
            <w:tcW w:type="dxa" w:w="3960"/>
            <w:vAlign w:val="center"/>
            <w:tcMar>
              <w:top w:w="85" w:type="dxa"/>
              <w:bottom w:w="85" w:type="dxa"/>
              <w:left w:w="95" w:type="dxa"/>
              <w:right w:w="95" w:type="dxa"/>
            </w:tcMar>
            <w:shd w:fill="FFFFFF"/>
          </w:tcPr>
          <w:p>
            <w:pPr>
              <w:keepNext/>
              <w:spacing w:after="0" w:line="247" w:lineRule="auto"/>
            </w:pPr>
            <w:r>
              <w:rPr>
                <w:b w:val="0"/>
                <w:sz w:val="20"/>
              </w:rPr>
              <w:t>Deep analysis or demanding technical work</w:t>
            </w:r>
          </w:p>
        </w:tc>
        <w:tc>
          <w:tcPr>
            <w:tcW w:type="dxa" w:w="3456"/>
            <w:vAlign w:val="center"/>
            <w:tcMar>
              <w:top w:w="85" w:type="dxa"/>
              <w:bottom w:w="85" w:type="dxa"/>
              <w:left w:w="95" w:type="dxa"/>
              <w:right w:w="95" w:type="dxa"/>
            </w:tcMar>
            <w:shd w:fill="FFFFFF"/>
          </w:tcPr>
          <w:p>
            <w:pPr>
              <w:keepNext/>
              <w:spacing w:after="0" w:line="247" w:lineRule="auto"/>
            </w:pPr>
            <w:r>
              <w:rPr>
                <w:b w:val="0"/>
                <w:sz w:val="20"/>
              </w:rPr>
              <w:t>Configured Max assignment</w:t>
            </w:r>
          </w:p>
        </w:tc>
      </w:tr>
      <w:tr>
        <w:trPr>
          <w:cantSplit/>
        </w:trPr>
        <w:tc>
          <w:tcPr>
            <w:tcW w:type="dxa" w:w="1224"/>
            <w:vAlign w:val="center"/>
            <w:tcMar>
              <w:top w:w="85" w:type="dxa"/>
              <w:bottom w:w="85" w:type="dxa"/>
              <w:left w:w="95" w:type="dxa"/>
              <w:right w:w="95" w:type="dxa"/>
            </w:tcMar>
            <w:shd w:fill="F2F5F8"/>
          </w:tcPr>
          <w:p>
            <w:pPr>
              <w:keepNext/>
              <w:spacing w:after="0" w:line="247" w:lineRule="auto"/>
              <w:jc w:val="center"/>
            </w:pPr>
            <w:r>
              <w:rPr>
                <w:b w:val="0"/>
                <w:sz w:val="20"/>
              </w:rPr>
              <w:t>Plus</w:t>
            </w:r>
          </w:p>
        </w:tc>
        <w:tc>
          <w:tcPr>
            <w:tcW w:type="dxa" w:w="1440"/>
            <w:vAlign w:val="center"/>
            <w:tcMar>
              <w:top w:w="85" w:type="dxa"/>
              <w:bottom w:w="85" w:type="dxa"/>
              <w:left w:w="95" w:type="dxa"/>
              <w:right w:w="95" w:type="dxa"/>
            </w:tcMar>
            <w:shd w:fill="F2F5F8"/>
          </w:tcPr>
          <w:p>
            <w:pPr>
              <w:keepNext/>
              <w:spacing w:after="0" w:line="247" w:lineRule="auto"/>
              <w:jc w:val="center"/>
            </w:pPr>
            <w:r>
              <w:rPr>
                <w:b w:val="0"/>
                <w:sz w:val="20"/>
              </w:rPr>
              <w:t>52 to 65</w:t>
            </w:r>
          </w:p>
        </w:tc>
        <w:tc>
          <w:tcPr>
            <w:tcW w:type="dxa" w:w="3960"/>
            <w:vAlign w:val="center"/>
            <w:tcMar>
              <w:top w:w="85" w:type="dxa"/>
              <w:bottom w:w="85" w:type="dxa"/>
              <w:left w:w="95" w:type="dxa"/>
              <w:right w:w="95" w:type="dxa"/>
            </w:tcMar>
            <w:shd w:fill="F2F5F8"/>
          </w:tcPr>
          <w:p>
            <w:pPr>
              <w:keepNext/>
              <w:spacing w:after="0" w:line="247" w:lineRule="auto"/>
            </w:pPr>
            <w:r>
              <w:rPr>
                <w:b w:val="0"/>
                <w:sz w:val="20"/>
              </w:rPr>
              <w:t>More involved planning or reasoning</w:t>
            </w:r>
          </w:p>
        </w:tc>
        <w:tc>
          <w:tcPr>
            <w:tcW w:type="dxa" w:w="3456"/>
            <w:vAlign w:val="center"/>
            <w:tcMar>
              <w:top w:w="85" w:type="dxa"/>
              <w:bottom w:w="85" w:type="dxa"/>
              <w:left w:w="95" w:type="dxa"/>
              <w:right w:w="95" w:type="dxa"/>
            </w:tcMar>
            <w:shd w:fill="F2F5F8"/>
          </w:tcPr>
          <w:p>
            <w:pPr>
              <w:keepNext/>
              <w:spacing w:after="0" w:line="247" w:lineRule="auto"/>
            </w:pPr>
            <w:r>
              <w:rPr>
                <w:b w:val="0"/>
                <w:sz w:val="20"/>
              </w:rPr>
              <w:t>Configured Plus assignment</w:t>
            </w:r>
          </w:p>
        </w:tc>
      </w:tr>
      <w:tr>
        <w:trPr>
          <w:cantSplit/>
        </w:trPr>
        <w:tc>
          <w:tcPr>
            <w:tcW w:type="dxa" w:w="1224"/>
            <w:vAlign w:val="center"/>
            <w:tcMar>
              <w:top w:w="85" w:type="dxa"/>
              <w:bottom w:w="85" w:type="dxa"/>
              <w:left w:w="95" w:type="dxa"/>
              <w:right w:w="95" w:type="dxa"/>
            </w:tcMar>
            <w:shd w:fill="FFFFFF"/>
          </w:tcPr>
          <w:p>
            <w:pPr>
              <w:keepNext/>
              <w:spacing w:after="0" w:line="247" w:lineRule="auto"/>
              <w:jc w:val="center"/>
            </w:pPr>
            <w:r>
              <w:rPr>
                <w:b w:val="0"/>
                <w:sz w:val="20"/>
              </w:rPr>
              <w:t>Standard</w:t>
            </w:r>
          </w:p>
        </w:tc>
        <w:tc>
          <w:tcPr>
            <w:tcW w:type="dxa" w:w="1440"/>
            <w:vAlign w:val="center"/>
            <w:tcMar>
              <w:top w:w="85" w:type="dxa"/>
              <w:bottom w:w="85" w:type="dxa"/>
              <w:left w:w="95" w:type="dxa"/>
              <w:right w:w="95" w:type="dxa"/>
            </w:tcMar>
            <w:shd w:fill="FFFFFF"/>
          </w:tcPr>
          <w:p>
            <w:pPr>
              <w:keepNext/>
              <w:spacing w:after="0" w:line="247" w:lineRule="auto"/>
              <w:jc w:val="center"/>
            </w:pPr>
            <w:r>
              <w:rPr>
                <w:b w:val="0"/>
                <w:sz w:val="20"/>
              </w:rPr>
              <w:t>36 to 51</w:t>
            </w:r>
          </w:p>
        </w:tc>
        <w:tc>
          <w:tcPr>
            <w:tcW w:type="dxa" w:w="3960"/>
            <w:vAlign w:val="center"/>
            <w:tcMar>
              <w:top w:w="85" w:type="dxa"/>
              <w:bottom w:w="85" w:type="dxa"/>
              <w:left w:w="95" w:type="dxa"/>
              <w:right w:w="95" w:type="dxa"/>
            </w:tcMar>
            <w:shd w:fill="FFFFFF"/>
          </w:tcPr>
          <w:p>
            <w:pPr>
              <w:keepNext/>
              <w:spacing w:after="0" w:line="247" w:lineRule="auto"/>
            </w:pPr>
            <w:r>
              <w:rPr>
                <w:b w:val="0"/>
                <w:sz w:val="20"/>
              </w:rPr>
              <w:t>Ordinary substantive conversation</w:t>
            </w:r>
          </w:p>
        </w:tc>
        <w:tc>
          <w:tcPr>
            <w:tcW w:type="dxa" w:w="3456"/>
            <w:vAlign w:val="center"/>
            <w:tcMar>
              <w:top w:w="85" w:type="dxa"/>
              <w:bottom w:w="85" w:type="dxa"/>
              <w:left w:w="95" w:type="dxa"/>
              <w:right w:w="95" w:type="dxa"/>
            </w:tcMar>
            <w:shd w:fill="FFFFFF"/>
          </w:tcPr>
          <w:p>
            <w:pPr>
              <w:keepNext/>
              <w:spacing w:after="0" w:line="247" w:lineRule="auto"/>
            </w:pPr>
            <w:r>
              <w:rPr>
                <w:b w:val="0"/>
                <w:sz w:val="20"/>
              </w:rPr>
              <w:t>Configured Standard assignment</w:t>
            </w:r>
          </w:p>
        </w:tc>
      </w:tr>
      <w:tr>
        <w:trPr>
          <w:cantSplit/>
        </w:trPr>
        <w:tc>
          <w:tcPr>
            <w:tcW w:type="dxa" w:w="1224"/>
            <w:vAlign w:val="center"/>
            <w:tcMar>
              <w:top w:w="85" w:type="dxa"/>
              <w:bottom w:w="85" w:type="dxa"/>
              <w:left w:w="95" w:type="dxa"/>
              <w:right w:w="95" w:type="dxa"/>
            </w:tcMar>
            <w:shd w:fill="F2F5F8"/>
          </w:tcPr>
          <w:p>
            <w:pPr>
              <w:keepNext/>
              <w:spacing w:after="0" w:line="247" w:lineRule="auto"/>
              <w:jc w:val="center"/>
            </w:pPr>
            <w:r>
              <w:rPr>
                <w:b w:val="0"/>
                <w:sz w:val="20"/>
              </w:rPr>
              <w:t>Light</w:t>
            </w:r>
          </w:p>
        </w:tc>
        <w:tc>
          <w:tcPr>
            <w:tcW w:type="dxa" w:w="1440"/>
            <w:vAlign w:val="center"/>
            <w:tcMar>
              <w:top w:w="85" w:type="dxa"/>
              <w:bottom w:w="85" w:type="dxa"/>
              <w:left w:w="95" w:type="dxa"/>
              <w:right w:w="95" w:type="dxa"/>
            </w:tcMar>
            <w:shd w:fill="F2F5F8"/>
          </w:tcPr>
          <w:p>
            <w:pPr>
              <w:keepNext/>
              <w:spacing w:after="0" w:line="247" w:lineRule="auto"/>
              <w:jc w:val="center"/>
            </w:pPr>
            <w:r>
              <w:rPr>
                <w:b w:val="0"/>
                <w:sz w:val="20"/>
              </w:rPr>
              <w:t>12 to 35</w:t>
            </w:r>
          </w:p>
        </w:tc>
        <w:tc>
          <w:tcPr>
            <w:tcW w:type="dxa" w:w="3960"/>
            <w:vAlign w:val="center"/>
            <w:tcMar>
              <w:top w:w="85" w:type="dxa"/>
              <w:bottom w:w="85" w:type="dxa"/>
              <w:left w:w="95" w:type="dxa"/>
              <w:right w:w="95" w:type="dxa"/>
            </w:tcMar>
            <w:shd w:fill="F2F5F8"/>
          </w:tcPr>
          <w:p>
            <w:pPr>
              <w:keepNext/>
              <w:spacing w:after="0" w:line="247" w:lineRule="auto"/>
            </w:pPr>
            <w:r>
              <w:rPr>
                <w:b w:val="0"/>
                <w:sz w:val="20"/>
              </w:rPr>
              <w:t>Brief explanations or straightforward facts</w:t>
            </w:r>
          </w:p>
        </w:tc>
        <w:tc>
          <w:tcPr>
            <w:tcW w:type="dxa" w:w="3456"/>
            <w:vAlign w:val="center"/>
            <w:tcMar>
              <w:top w:w="85" w:type="dxa"/>
              <w:bottom w:w="85" w:type="dxa"/>
              <w:left w:w="95" w:type="dxa"/>
              <w:right w:w="95" w:type="dxa"/>
            </w:tcMar>
            <w:shd w:fill="F2F5F8"/>
          </w:tcPr>
          <w:p>
            <w:pPr>
              <w:keepNext/>
              <w:spacing w:after="0" w:line="247" w:lineRule="auto"/>
            </w:pPr>
            <w:r>
              <w:rPr>
                <w:b w:val="0"/>
                <w:sz w:val="20"/>
              </w:rPr>
              <w:t>Configured Light assignment</w:t>
            </w:r>
          </w:p>
        </w:tc>
      </w:tr>
      <w:tr>
        <w:trPr>
          <w:cantSplit/>
        </w:trPr>
        <w:tc>
          <w:tcPr>
            <w:tcW w:type="dxa" w:w="1224"/>
            <w:vAlign w:val="center"/>
            <w:tcMar>
              <w:top w:w="85" w:type="dxa"/>
              <w:bottom w:w="85" w:type="dxa"/>
              <w:left w:w="95" w:type="dxa"/>
              <w:right w:w="95" w:type="dxa"/>
            </w:tcMar>
            <w:shd w:fill="FFFFFF"/>
          </w:tcPr>
          <w:p>
            <w:pPr>
              <w:spacing w:after="0" w:line="247" w:lineRule="auto"/>
              <w:jc w:val="center"/>
            </w:pPr>
            <w:r>
              <w:rPr>
                <w:b w:val="0"/>
                <w:sz w:val="20"/>
              </w:rPr>
              <w:t>Micro</w:t>
            </w:r>
          </w:p>
        </w:tc>
        <w:tc>
          <w:tcPr>
            <w:tcW w:type="dxa" w:w="1440"/>
            <w:vAlign w:val="center"/>
            <w:tcMar>
              <w:top w:w="85" w:type="dxa"/>
              <w:bottom w:w="85" w:type="dxa"/>
              <w:left w:w="95" w:type="dxa"/>
              <w:right w:w="95" w:type="dxa"/>
            </w:tcMar>
            <w:shd w:fill="FFFFFF"/>
          </w:tcPr>
          <w:p>
            <w:pPr>
              <w:spacing w:after="0" w:line="247" w:lineRule="auto"/>
              <w:jc w:val="center"/>
            </w:pPr>
            <w:r>
              <w:rPr>
                <w:b w:val="0"/>
                <w:sz w:val="20"/>
              </w:rPr>
              <w:t>0 to 11</w:t>
            </w:r>
          </w:p>
        </w:tc>
        <w:tc>
          <w:tcPr>
            <w:tcW w:type="dxa" w:w="3960"/>
            <w:vAlign w:val="center"/>
            <w:tcMar>
              <w:top w:w="85" w:type="dxa"/>
              <w:bottom w:w="85" w:type="dxa"/>
              <w:left w:w="95" w:type="dxa"/>
              <w:right w:w="95" w:type="dxa"/>
            </w:tcMar>
            <w:shd w:fill="FFFFFF"/>
          </w:tcPr>
          <w:p>
            <w:pPr>
              <w:spacing w:after="0" w:line="247" w:lineRule="auto"/>
            </w:pPr>
            <w:r>
              <w:rPr>
                <w:b w:val="0"/>
                <w:sz w:val="20"/>
              </w:rPr>
              <w:t>Trivial exchanges, subject to the rules below</w:t>
            </w:r>
          </w:p>
        </w:tc>
        <w:tc>
          <w:tcPr>
            <w:tcW w:type="dxa" w:w="3456"/>
            <w:vAlign w:val="center"/>
            <w:tcMar>
              <w:top w:w="85" w:type="dxa"/>
              <w:bottom w:w="85" w:type="dxa"/>
              <w:left w:w="95" w:type="dxa"/>
              <w:right w:w="95" w:type="dxa"/>
            </w:tcMar>
            <w:shd w:fill="FFFFFF"/>
          </w:tcPr>
          <w:p>
            <w:pPr>
              <w:spacing w:after="0" w:line="247" w:lineRule="auto"/>
            </w:pPr>
            <w:r>
              <w:rPr>
                <w:b w:val="0"/>
                <w:sz w:val="20"/>
              </w:rPr>
              <w:t>Configured Micro assignment</w:t>
            </w:r>
          </w:p>
        </w:tc>
      </w:tr>
    </w:tbl>
    <w:p>
      <w:pPr>
        <w:spacing w:after="40" w:before="0" w:line="240" w:lineRule="auto"/>
      </w:pPr>
      <w:r>
        <w:rPr>
          <w:sz w:val="4"/>
        </w:rPr>
      </w:r>
    </w:p>
    <w:p>
      <w:pPr>
        <w:widowControl/>
      </w:pPr>
      <w:r>
        <w:t>These ranges are the score mapping, not the complete final decision. Trivial-message rules, thread inheritance, a quality floor, and turn-policy overrides can change the result. The detailed values below preserve the documented algorithm for code verification.</w:t>
      </w:r>
    </w:p>
    <w:p>
      <w:pPr>
        <w:pStyle w:val="Heading2"/>
      </w:pPr>
      <w:r>
        <w:t>Scoring inputs</w:t>
      </w:r>
    </w:p>
    <w:p>
      <w:pPr>
        <w:keepLines/>
        <w:widowControl/>
      </w:pPr>
      <w:r>
        <w:t>Character count is a rough signal about request size, not a measure of reasoning difficulty. The algorithm also looks for task language, code, and recent conversational context. A short proof can require more reasoning than a long passage of simple text.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6768"/>
      </w:tblGrid>
      <w:tr>
        <w:trPr>
          <w:cantSplit/>
          <w:tblHeader/>
        </w:trPr>
        <w:tc>
          <w:tcPr>
            <w:tcW w:type="dxa" w:w="3312"/>
            <w:vAlign w:val="center"/>
            <w:tcMar>
              <w:top w:w="85" w:type="dxa"/>
              <w:bottom w:w="85" w:type="dxa"/>
              <w:left w:w="95" w:type="dxa"/>
              <w:right w:w="95" w:type="dxa"/>
            </w:tcMar>
            <w:shd w:fill="24384B"/>
          </w:tcPr>
          <w:p>
            <w:pPr>
              <w:keepNext/>
              <w:spacing w:after="0" w:line="247" w:lineRule="auto"/>
            </w:pPr>
            <w:r>
              <w:rPr>
                <w:b/>
                <w:color w:val="FFFFFF"/>
                <w:sz w:val="20"/>
              </w:rPr>
              <w:t>Signal</w:t>
            </w:r>
          </w:p>
        </w:tc>
        <w:tc>
          <w:tcPr>
            <w:tcW w:type="dxa" w:w="6768"/>
            <w:vAlign w:val="center"/>
            <w:tcMar>
              <w:top w:w="85" w:type="dxa"/>
              <w:bottom w:w="85" w:type="dxa"/>
              <w:left w:w="95" w:type="dxa"/>
              <w:right w:w="95" w:type="dxa"/>
            </w:tcMar>
            <w:shd w:fill="24384B"/>
          </w:tcPr>
          <w:p>
            <w:pPr>
              <w:keepNext/>
              <w:spacing w:after="0" w:line="247" w:lineRule="auto"/>
            </w:pPr>
            <w:r>
              <w:rPr>
                <w:b/>
                <w:color w:val="FFFFFF"/>
                <w:sz w:val="20"/>
              </w:rPr>
              <w:t>Documented adjustment</w:t>
            </w:r>
          </w:p>
        </w:tc>
      </w:tr>
      <w:tr>
        <w:trPr>
          <w:cantSplit/>
        </w:trPr>
        <w:tc>
          <w:tcPr>
            <w:tcW w:type="dxa" w:w="3312"/>
            <w:vAlign w:val="center"/>
            <w:tcMar>
              <w:top w:w="85" w:type="dxa"/>
              <w:bottom w:w="85" w:type="dxa"/>
              <w:left w:w="95" w:type="dxa"/>
              <w:right w:w="95" w:type="dxa"/>
            </w:tcMar>
            <w:shd w:fill="FFFFFF"/>
          </w:tcPr>
          <w:p>
            <w:pPr>
              <w:spacing w:after="0" w:line="247" w:lineRule="auto"/>
            </w:pPr>
            <w:r>
              <w:rPr>
                <w:b w:val="0"/>
                <w:sz w:val="20"/>
              </w:rPr>
              <w:t>Up to 20 characters</w:t>
            </w:r>
          </w:p>
        </w:tc>
        <w:tc>
          <w:tcPr>
            <w:tcW w:type="dxa" w:w="6768"/>
            <w:vAlign w:val="center"/>
            <w:tcMar>
              <w:top w:w="85" w:type="dxa"/>
              <w:bottom w:w="85" w:type="dxa"/>
              <w:left w:w="95" w:type="dxa"/>
              <w:right w:w="95" w:type="dxa"/>
            </w:tcMar>
            <w:shd w:fill="FFFFFF"/>
          </w:tcPr>
          <w:p>
            <w:pPr>
              <w:spacing w:after="0" w:line="247" w:lineRule="auto"/>
            </w:pPr>
            <w:r>
              <w:rPr>
                <w:b w:val="0"/>
                <w:sz w:val="20"/>
              </w:rPr>
              <w:t>Subtract 18</w:t>
            </w:r>
          </w:p>
        </w:tc>
      </w:tr>
      <w:tr>
        <w:trPr>
          <w:cantSplit/>
        </w:trPr>
        <w:tc>
          <w:tcPr>
            <w:tcW w:type="dxa" w:w="3312"/>
            <w:vAlign w:val="center"/>
            <w:tcMar>
              <w:top w:w="85" w:type="dxa"/>
              <w:bottom w:w="85" w:type="dxa"/>
              <w:left w:w="95" w:type="dxa"/>
              <w:right w:w="95" w:type="dxa"/>
            </w:tcMar>
            <w:shd w:fill="F2F5F8"/>
          </w:tcPr>
          <w:p>
            <w:pPr>
              <w:spacing w:after="0" w:line="247" w:lineRule="auto"/>
            </w:pPr>
            <w:r>
              <w:rPr>
                <w:b w:val="0"/>
                <w:sz w:val="20"/>
              </w:rPr>
              <w:t>21 to 50 characters</w:t>
            </w:r>
          </w:p>
        </w:tc>
        <w:tc>
          <w:tcPr>
            <w:tcW w:type="dxa" w:w="6768"/>
            <w:vAlign w:val="center"/>
            <w:tcMar>
              <w:top w:w="85" w:type="dxa"/>
              <w:bottom w:w="85" w:type="dxa"/>
              <w:left w:w="95" w:type="dxa"/>
              <w:right w:w="95" w:type="dxa"/>
            </w:tcMar>
            <w:shd w:fill="F2F5F8"/>
          </w:tcPr>
          <w:p>
            <w:pPr>
              <w:spacing w:after="0" w:line="247" w:lineRule="auto"/>
            </w:pPr>
            <w:r>
              <w:rPr>
                <w:b w:val="0"/>
                <w:sz w:val="20"/>
              </w:rPr>
              <w:t>Subtract 8</w:t>
            </w:r>
          </w:p>
        </w:tc>
      </w:tr>
      <w:tr>
        <w:trPr>
          <w:cantSplit/>
        </w:trPr>
        <w:tc>
          <w:tcPr>
            <w:tcW w:type="dxa" w:w="3312"/>
            <w:vAlign w:val="center"/>
            <w:tcMar>
              <w:top w:w="85" w:type="dxa"/>
              <w:bottom w:w="85" w:type="dxa"/>
              <w:left w:w="95" w:type="dxa"/>
              <w:right w:w="95" w:type="dxa"/>
            </w:tcMar>
            <w:shd w:fill="FFFFFF"/>
          </w:tcPr>
          <w:p>
            <w:pPr>
              <w:spacing w:after="0" w:line="247" w:lineRule="auto"/>
            </w:pPr>
            <w:r>
              <w:rPr>
                <w:b w:val="0"/>
                <w:sz w:val="20"/>
              </w:rPr>
              <w:t>51 to 120 characters</w:t>
            </w:r>
          </w:p>
        </w:tc>
        <w:tc>
          <w:tcPr>
            <w:tcW w:type="dxa" w:w="6768"/>
            <w:vAlign w:val="center"/>
            <w:tcMar>
              <w:top w:w="85" w:type="dxa"/>
              <w:bottom w:w="85" w:type="dxa"/>
              <w:left w:w="95" w:type="dxa"/>
              <w:right w:w="95" w:type="dxa"/>
            </w:tcMar>
            <w:shd w:fill="FFFFFF"/>
          </w:tcPr>
          <w:p>
            <w:pPr>
              <w:spacing w:after="0" w:line="247" w:lineRule="auto"/>
            </w:pPr>
            <w:r>
              <w:rPr>
                <w:b w:val="0"/>
                <w:sz w:val="20"/>
              </w:rPr>
              <w:t>Subtract 2</w:t>
            </w:r>
          </w:p>
        </w:tc>
      </w:tr>
      <w:tr>
        <w:trPr>
          <w:cantSplit/>
        </w:trPr>
        <w:tc>
          <w:tcPr>
            <w:tcW w:type="dxa" w:w="3312"/>
            <w:vAlign w:val="center"/>
            <w:tcMar>
              <w:top w:w="85" w:type="dxa"/>
              <w:bottom w:w="85" w:type="dxa"/>
              <w:left w:w="95" w:type="dxa"/>
              <w:right w:w="95" w:type="dxa"/>
            </w:tcMar>
            <w:shd w:fill="F2F5F8"/>
          </w:tcPr>
          <w:p>
            <w:pPr>
              <w:spacing w:after="0" w:line="247" w:lineRule="auto"/>
            </w:pPr>
            <w:r>
              <w:rPr>
                <w:b w:val="0"/>
                <w:sz w:val="20"/>
              </w:rPr>
              <w:t>More than 280 characters</w:t>
            </w:r>
          </w:p>
        </w:tc>
        <w:tc>
          <w:tcPr>
            <w:tcW w:type="dxa" w:w="6768"/>
            <w:vAlign w:val="center"/>
            <w:tcMar>
              <w:top w:w="85" w:type="dxa"/>
              <w:bottom w:w="85" w:type="dxa"/>
              <w:left w:w="95" w:type="dxa"/>
              <w:right w:w="95" w:type="dxa"/>
            </w:tcMar>
            <w:shd w:fill="F2F5F8"/>
          </w:tcPr>
          <w:p>
            <w:pPr>
              <w:spacing w:after="0" w:line="247" w:lineRule="auto"/>
            </w:pPr>
            <w:r>
              <w:rPr>
                <w:b w:val="0"/>
                <w:sz w:val="20"/>
              </w:rPr>
              <w:t>Add 8</w:t>
            </w:r>
          </w:p>
        </w:tc>
      </w:tr>
      <w:tr>
        <w:trPr>
          <w:cantSplit/>
        </w:trPr>
        <w:tc>
          <w:tcPr>
            <w:tcW w:type="dxa" w:w="3312"/>
            <w:vAlign w:val="center"/>
            <w:tcMar>
              <w:top w:w="85" w:type="dxa"/>
              <w:bottom w:w="85" w:type="dxa"/>
              <w:left w:w="95" w:type="dxa"/>
              <w:right w:w="95" w:type="dxa"/>
            </w:tcMar>
            <w:shd w:fill="FFFFFF"/>
          </w:tcPr>
          <w:p>
            <w:pPr>
              <w:spacing w:after="0" w:line="247" w:lineRule="auto"/>
            </w:pPr>
            <w:r>
              <w:rPr>
                <w:b w:val="0"/>
                <w:sz w:val="20"/>
              </w:rPr>
              <w:t>Deep-analysis phrasing such as full design or formal proof</w:t>
            </w:r>
          </w:p>
        </w:tc>
        <w:tc>
          <w:tcPr>
            <w:tcW w:type="dxa" w:w="6768"/>
            <w:vAlign w:val="center"/>
            <w:tcMar>
              <w:top w:w="85" w:type="dxa"/>
              <w:bottom w:w="85" w:type="dxa"/>
              <w:left w:w="95" w:type="dxa"/>
              <w:right w:w="95" w:type="dxa"/>
            </w:tcMar>
            <w:shd w:fill="FFFFFF"/>
          </w:tcPr>
          <w:p>
            <w:pPr>
              <w:spacing w:after="0" w:line="247" w:lineRule="auto"/>
            </w:pPr>
            <w:r>
              <w:rPr>
                <w:b w:val="0"/>
                <w:sz w:val="20"/>
              </w:rPr>
              <w:t>Add 45</w:t>
            </w:r>
          </w:p>
        </w:tc>
      </w:tr>
      <w:tr>
        <w:trPr>
          <w:cantSplit/>
        </w:trPr>
        <w:tc>
          <w:tcPr>
            <w:tcW w:type="dxa" w:w="3312"/>
            <w:vAlign w:val="center"/>
            <w:tcMar>
              <w:top w:w="85" w:type="dxa"/>
              <w:bottom w:w="85" w:type="dxa"/>
              <w:left w:w="95" w:type="dxa"/>
              <w:right w:w="95" w:type="dxa"/>
            </w:tcMar>
            <w:shd w:fill="F2F5F8"/>
          </w:tcPr>
          <w:p>
            <w:pPr>
              <w:spacing w:after="0" w:line="247" w:lineRule="auto"/>
            </w:pPr>
            <w:r>
              <w:rPr>
                <w:b w:val="0"/>
                <w:sz w:val="20"/>
              </w:rPr>
              <w:t>Technical task longer than 40 characters</w:t>
            </w:r>
          </w:p>
        </w:tc>
        <w:tc>
          <w:tcPr>
            <w:tcW w:type="dxa" w:w="6768"/>
            <w:vAlign w:val="center"/>
            <w:tcMar>
              <w:top w:w="85" w:type="dxa"/>
              <w:bottom w:w="85" w:type="dxa"/>
              <w:left w:w="95" w:type="dxa"/>
              <w:right w:w="95" w:type="dxa"/>
            </w:tcMar>
            <w:shd w:fill="F2F5F8"/>
          </w:tcPr>
          <w:p>
            <w:pPr>
              <w:spacing w:after="0" w:line="247" w:lineRule="auto"/>
            </w:pPr>
            <w:r>
              <w:rPr>
                <w:b w:val="0"/>
                <w:sz w:val="20"/>
              </w:rPr>
              <w:t>Add 28</w:t>
            </w:r>
          </w:p>
        </w:tc>
      </w:tr>
      <w:tr>
        <w:trPr>
          <w:cantSplit/>
        </w:trPr>
        <w:tc>
          <w:tcPr>
            <w:tcW w:type="dxa" w:w="3312"/>
            <w:vAlign w:val="center"/>
            <w:tcMar>
              <w:top w:w="85" w:type="dxa"/>
              <w:bottom w:w="85" w:type="dxa"/>
              <w:left w:w="95" w:type="dxa"/>
              <w:right w:w="95" w:type="dxa"/>
            </w:tcMar>
            <w:shd w:fill="FFFFFF"/>
          </w:tcPr>
          <w:p>
            <w:pPr>
              <w:spacing w:after="0" w:line="247" w:lineRule="auto"/>
            </w:pPr>
            <w:r>
              <w:rPr>
                <w:b w:val="0"/>
                <w:sz w:val="20"/>
              </w:rPr>
              <w:t>Code present in a message longer than 30 characters</w:t>
            </w:r>
          </w:p>
        </w:tc>
        <w:tc>
          <w:tcPr>
            <w:tcW w:type="dxa" w:w="6768"/>
            <w:vAlign w:val="center"/>
            <w:tcMar>
              <w:top w:w="85" w:type="dxa"/>
              <w:bottom w:w="85" w:type="dxa"/>
              <w:left w:w="95" w:type="dxa"/>
              <w:right w:w="95" w:type="dxa"/>
            </w:tcMar>
            <w:shd w:fill="FFFFFF"/>
          </w:tcPr>
          <w:p>
            <w:pPr>
              <w:spacing w:after="0" w:line="247" w:lineRule="auto"/>
            </w:pPr>
            <w:r>
              <w:rPr>
                <w:b w:val="0"/>
                <w:sz w:val="20"/>
              </w:rPr>
              <w:t>Add 32</w:t>
            </w:r>
          </w:p>
        </w:tc>
      </w:tr>
      <w:tr>
        <w:trPr>
          <w:cantSplit/>
        </w:trPr>
        <w:tc>
          <w:tcPr>
            <w:tcW w:type="dxa" w:w="3312"/>
            <w:vAlign w:val="center"/>
            <w:tcMar>
              <w:top w:w="85" w:type="dxa"/>
              <w:bottom w:w="85" w:type="dxa"/>
              <w:left w:w="95" w:type="dxa"/>
              <w:right w:w="95" w:type="dxa"/>
            </w:tcMar>
            <w:shd w:fill="F2F5F8"/>
          </w:tcPr>
          <w:p>
            <w:pPr>
              <w:spacing w:after="0" w:line="247" w:lineRule="auto"/>
            </w:pPr>
            <w:r>
              <w:rPr>
                <w:b w:val="0"/>
                <w:sz w:val="20"/>
              </w:rPr>
              <w:t>Short follow-up after recent technical messages</w:t>
            </w:r>
          </w:p>
        </w:tc>
        <w:tc>
          <w:tcPr>
            <w:tcW w:type="dxa" w:w="6768"/>
            <w:vAlign w:val="center"/>
            <w:tcMar>
              <w:top w:w="85" w:type="dxa"/>
              <w:bottom w:w="85" w:type="dxa"/>
              <w:left w:w="95" w:type="dxa"/>
              <w:right w:w="95" w:type="dxa"/>
            </w:tcMar>
            <w:shd w:fill="F2F5F8"/>
          </w:tcPr>
          <w:p>
            <w:pPr>
              <w:spacing w:after="0" w:line="247" w:lineRule="auto"/>
            </w:pPr>
            <w:r>
              <w:rPr>
                <w:b w:val="0"/>
                <w:sz w:val="20"/>
              </w:rPr>
              <w:t>Add 22</w:t>
            </w:r>
          </w:p>
        </w:tc>
      </w:tr>
      <w:tr>
        <w:trPr>
          <w:cantSplit/>
        </w:trPr>
        <w:tc>
          <w:tcPr>
            <w:tcW w:type="dxa" w:w="3312"/>
            <w:vAlign w:val="center"/>
            <w:tcMar>
              <w:top w:w="85" w:type="dxa"/>
              <w:bottom w:w="85" w:type="dxa"/>
              <w:left w:w="95" w:type="dxa"/>
              <w:right w:w="95" w:type="dxa"/>
            </w:tcMar>
            <w:shd w:fill="FFFFFF"/>
          </w:tcPr>
          <w:p>
            <w:pPr>
              <w:spacing w:after="0" w:line="247" w:lineRule="auto"/>
            </w:pPr>
            <w:r>
              <w:rPr>
                <w:b w:val="0"/>
                <w:sz w:val="20"/>
              </w:rPr>
              <w:t>Planning language</w:t>
            </w:r>
          </w:p>
        </w:tc>
        <w:tc>
          <w:tcPr>
            <w:tcW w:type="dxa" w:w="6768"/>
            <w:vAlign w:val="center"/>
            <w:tcMar>
              <w:top w:w="85" w:type="dxa"/>
              <w:bottom w:w="85" w:type="dxa"/>
              <w:left w:w="95" w:type="dxa"/>
              <w:right w:w="95" w:type="dxa"/>
            </w:tcMar>
            <w:shd w:fill="FFFFFF"/>
          </w:tcPr>
          <w:p>
            <w:pPr>
              <w:spacing w:after="0" w:line="247" w:lineRule="auto"/>
            </w:pPr>
            <w:r>
              <w:rPr>
                <w:b w:val="0"/>
                <w:sz w:val="20"/>
              </w:rPr>
              <w:t>Add 20, with smaller comparison or advice adjustments</w:t>
            </w:r>
          </w:p>
        </w:tc>
      </w:tr>
      <w:tr>
        <w:trPr>
          <w:cantSplit/>
        </w:trPr>
        <w:tc>
          <w:tcPr>
            <w:tcW w:type="dxa" w:w="3312"/>
            <w:vAlign w:val="center"/>
            <w:tcMar>
              <w:top w:w="85" w:type="dxa"/>
              <w:bottom w:w="85" w:type="dxa"/>
              <w:left w:w="95" w:type="dxa"/>
              <w:right w:w="95" w:type="dxa"/>
            </w:tcMar>
            <w:shd w:fill="F2F5F8"/>
          </w:tcPr>
          <w:p>
            <w:pPr>
              <w:spacing w:after="0" w:line="247" w:lineRule="auto"/>
            </w:pPr>
            <w:r>
              <w:rPr>
                <w:b w:val="0"/>
                <w:sz w:val="20"/>
              </w:rPr>
              <w:t>Short follow-up after recent planning messages</w:t>
            </w:r>
          </w:p>
        </w:tc>
        <w:tc>
          <w:tcPr>
            <w:tcW w:type="dxa" w:w="6768"/>
            <w:vAlign w:val="center"/>
            <w:tcMar>
              <w:top w:w="85" w:type="dxa"/>
              <w:bottom w:w="85" w:type="dxa"/>
              <w:left w:w="95" w:type="dxa"/>
              <w:right w:w="95" w:type="dxa"/>
            </w:tcMar>
            <w:shd w:fill="F2F5F8"/>
          </w:tcPr>
          <w:p>
            <w:pPr>
              <w:spacing w:after="0" w:line="247" w:lineRule="auto"/>
            </w:pPr>
            <w:r>
              <w:rPr>
                <w:b w:val="0"/>
                <w:sz w:val="20"/>
              </w:rPr>
              <w:t>Add 12</w:t>
            </w:r>
          </w:p>
        </w:tc>
      </w:tr>
      <w:tr>
        <w:trPr>
          <w:cantSplit/>
        </w:trPr>
        <w:tc>
          <w:tcPr>
            <w:tcW w:type="dxa" w:w="3312"/>
            <w:vAlign w:val="center"/>
            <w:tcMar>
              <w:top w:w="85" w:type="dxa"/>
              <w:bottom w:w="85" w:type="dxa"/>
              <w:left w:w="95" w:type="dxa"/>
              <w:right w:w="95" w:type="dxa"/>
            </w:tcMar>
            <w:shd w:fill="FFFFFF"/>
          </w:tcPr>
          <w:p>
            <w:pPr>
              <w:spacing w:after="0" w:line="247" w:lineRule="auto"/>
            </w:pPr>
            <w:r>
              <w:rPr>
                <w:b w:val="0"/>
                <w:sz w:val="20"/>
              </w:rPr>
              <w:t>How-to or explanation request of 45 to 319 characters</w:t>
            </w:r>
          </w:p>
        </w:tc>
        <w:tc>
          <w:tcPr>
            <w:tcW w:type="dxa" w:w="6768"/>
            <w:vAlign w:val="center"/>
            <w:tcMar>
              <w:top w:w="85" w:type="dxa"/>
              <w:bottom w:w="85" w:type="dxa"/>
              <w:left w:w="95" w:type="dxa"/>
              <w:right w:w="95" w:type="dxa"/>
            </w:tcMar>
            <w:shd w:fill="FFFFFF"/>
          </w:tcPr>
          <w:p>
            <w:pPr>
              <w:spacing w:after="0" w:line="247" w:lineRule="auto"/>
            </w:pPr>
            <w:r>
              <w:rPr>
                <w:b w:val="0"/>
                <w:sz w:val="20"/>
              </w:rPr>
              <w:t>Cap score at 28</w:t>
            </w:r>
          </w:p>
        </w:tc>
      </w:tr>
      <w:tr>
        <w:trPr>
          <w:cantSplit/>
        </w:trPr>
        <w:tc>
          <w:tcPr>
            <w:tcW w:type="dxa" w:w="3312"/>
            <w:vAlign w:val="center"/>
            <w:tcMar>
              <w:top w:w="85" w:type="dxa"/>
              <w:bottom w:w="85" w:type="dxa"/>
              <w:left w:w="95" w:type="dxa"/>
              <w:right w:w="95" w:type="dxa"/>
            </w:tcMar>
            <w:shd w:fill="F2F5F8"/>
          </w:tcPr>
          <w:p>
            <w:pPr>
              <w:keepNext/>
              <w:spacing w:after="0" w:line="247" w:lineRule="auto"/>
            </w:pPr>
            <w:r>
              <w:rPr>
                <w:b w:val="0"/>
                <w:sz w:val="20"/>
              </w:rPr>
              <w:t>Quick factual question under 120 characters</w:t>
            </w:r>
          </w:p>
        </w:tc>
        <w:tc>
          <w:tcPr>
            <w:tcW w:type="dxa" w:w="6768"/>
            <w:vAlign w:val="center"/>
            <w:tcMar>
              <w:top w:w="85" w:type="dxa"/>
              <w:bottom w:w="85" w:type="dxa"/>
              <w:left w:w="95" w:type="dxa"/>
              <w:right w:w="95" w:type="dxa"/>
            </w:tcMar>
            <w:shd w:fill="F2F5F8"/>
          </w:tcPr>
          <w:p>
            <w:pPr>
              <w:keepNext/>
              <w:spacing w:after="0" w:line="247" w:lineRule="auto"/>
            </w:pPr>
            <w:r>
              <w:rPr>
                <w:b w:val="0"/>
                <w:sz w:val="20"/>
              </w:rPr>
              <w:t>Subtract 22, then cap at 18</w:t>
            </w:r>
          </w:p>
        </w:tc>
      </w:tr>
      <w:tr>
        <w:trPr>
          <w:cantSplit/>
        </w:trPr>
        <w:tc>
          <w:tcPr>
            <w:tcW w:type="dxa" w:w="3312"/>
            <w:vAlign w:val="center"/>
            <w:tcMar>
              <w:top w:w="85" w:type="dxa"/>
              <w:bottom w:w="85" w:type="dxa"/>
              <w:left w:w="95" w:type="dxa"/>
              <w:right w:w="95" w:type="dxa"/>
            </w:tcMar>
            <w:shd w:fill="FFFFFF"/>
          </w:tcPr>
          <w:p>
            <w:pPr>
              <w:keepNext/>
              <w:spacing w:after="0" w:line="247" w:lineRule="auto"/>
            </w:pPr>
            <w:r>
              <w:rPr>
                <w:b w:val="0"/>
                <w:sz w:val="20"/>
              </w:rPr>
              <w:t>Casual or emotional language</w:t>
            </w:r>
          </w:p>
        </w:tc>
        <w:tc>
          <w:tcPr>
            <w:tcW w:type="dxa" w:w="6768"/>
            <w:vAlign w:val="center"/>
            <w:tcMar>
              <w:top w:w="85" w:type="dxa"/>
              <w:bottom w:w="85" w:type="dxa"/>
              <w:left w:w="95" w:type="dxa"/>
              <w:right w:w="95" w:type="dxa"/>
            </w:tcMar>
            <w:shd w:fill="FFFFFF"/>
          </w:tcPr>
          <w:p>
            <w:pPr>
              <w:keepNext/>
              <w:spacing w:after="0" w:line="247" w:lineRule="auto"/>
            </w:pPr>
            <w:r>
              <w:rPr>
                <w:b w:val="0"/>
                <w:sz w:val="20"/>
              </w:rPr>
              <w:t>Add 4 for emotional language and 8 for casual chat. Both can apply, for 12.</w:t>
            </w:r>
          </w:p>
        </w:tc>
      </w:tr>
      <w:tr>
        <w:trPr>
          <w:cantSplit/>
        </w:trPr>
        <w:tc>
          <w:tcPr>
            <w:tcW w:type="dxa" w:w="3312"/>
            <w:vAlign w:val="center"/>
            <w:tcMar>
              <w:top w:w="85" w:type="dxa"/>
              <w:bottom w:w="85" w:type="dxa"/>
              <w:left w:w="95" w:type="dxa"/>
              <w:right w:w="95" w:type="dxa"/>
            </w:tcMar>
            <w:shd w:fill="F2F5F8"/>
          </w:tcPr>
          <w:p>
            <w:pPr>
              <w:spacing w:after="0" w:line="247" w:lineRule="auto"/>
            </w:pPr>
            <w:r>
              <w:rPr>
                <w:b w:val="0"/>
                <w:sz w:val="20"/>
              </w:rPr>
              <w:t>Creative writing request longer than 50 characters</w:t>
            </w:r>
          </w:p>
        </w:tc>
        <w:tc>
          <w:tcPr>
            <w:tcW w:type="dxa" w:w="6768"/>
            <w:vAlign w:val="center"/>
            <w:tcMar>
              <w:top w:w="85" w:type="dxa"/>
              <w:bottom w:w="85" w:type="dxa"/>
              <w:left w:w="95" w:type="dxa"/>
              <w:right w:w="95" w:type="dxa"/>
            </w:tcMar>
            <w:shd w:fill="F2F5F8"/>
          </w:tcPr>
          <w:p>
            <w:pPr>
              <w:spacing w:after="0" w:line="247" w:lineRule="auto"/>
            </w:pPr>
            <w:r>
              <w:rPr>
                <w:b w:val="0"/>
                <w:sz w:val="20"/>
              </w:rPr>
              <w:t>Add 10</w:t>
            </w:r>
          </w:p>
        </w:tc>
      </w:tr>
    </w:tbl>
    <w:p>
      <w:pPr>
        <w:spacing w:after="40" w:before="0" w:line="240" w:lineRule="auto"/>
      </w:pPr>
      <w:r>
        <w:rPr>
          <w:sz w:val="4"/>
        </w:rPr>
      </w:r>
    </w:p>
    <w:p>
      <w:pPr>
        <w:widowControl/>
      </w:pPr>
      <w:r>
        <w:t>The order of these rules matters, especially where caps interact with additions. The scorer also contains a larger adjustment for messages over 450 characters. That adjustment never runs, because the over-280 rule matches first.</w:t>
      </w:r>
    </w:p>
    <w:p>
      <w:pPr>
        <w:pStyle w:val="Heading2"/>
      </w:pPr>
      <w:r>
        <w:t>Routing passes and thread stickiness</w:t>
      </w:r>
    </w:p>
    <w:p>
      <w:pPr>
        <w:keepLines/>
        <w:widowControl/>
      </w:pPr>
      <w:r>
        <w:t>First, a trivial acknowledgement or short greeting can go directly to Micro. The documented limit for a short greeting is 48 characters. An image is not treated as a trivial message.</w:t>
      </w:r>
    </w:p>
    <w:p>
      <w:pPr>
        <w:widowControl/>
      </w:pPr>
      <w:r>
        <w:t>Second, substantive messages receive the score above. Routing uses the current message, up to four recent messages, the previous assistant tier, and image presence.</w:t>
      </w:r>
    </w:p>
    <w:p>
      <w:pPr>
        <w:widowControl/>
      </w:pPr>
      <w:r>
        <w:t>Third, a follow-up under 160 characters can inherit a deeper tier. For example, “And the timeout?” after a debugging discussion refers to the same technical problem. Here, “timeout” is part of the example question; it does not describe an expiry period for stickiness.</w:t>
      </w:r>
    </w:p>
    <w:p>
      <w:pPr>
        <w:widowControl/>
      </w:pPr>
      <w:r>
        <w:t>The inheritance keeps at least the previous Plus or Max tier, promotes a short follow-up in recent technical context to Max, and promotes planning context to at least Plus. It does not apply to messages already identified as casual, emotional, greetings, quick facts, or how-to requests. There is no time limit. The technical and planning boosts inside the score look at the last two messages. Stickiness and the classifier look at up to four.</w:t>
      </w:r>
    </w:p>
    <w:p>
      <w:pPr>
        <w:widowControl/>
      </w:pPr>
      <w:r>
        <w:t>Fourth, a quality floor prevents a non-trivial request from remaining on Micro solely because of its score. Quick facts and how-to requests rise to Light; other non-trivial Micro results rise to Standard. Turn policy can subsequently force Micro for its own categories.</w:t>
      </w:r>
    </w:p>
    <w:p>
      <w:pPr>
        <w:pStyle w:val="Heading2"/>
      </w:pPr>
      <w:r>
        <w:t>Optional model classification</w:t>
      </w:r>
    </w:p>
    <w:p>
      <w:pPr>
        <w:keepLines/>
        <w:widowControl/>
      </w:pPr>
      <w:r>
        <w:t>Scores from 34 through 46 are a tie-break only when no clear-intent signal fired. The tie-break calls the Groq model llama-3.1-8b-instant at temperature 0, with at most ten output tokens, and up to four truncated recent lines. If Groq is not configured or the call fails, the score stands. The classifier does not switch to another vendor.</w:t>
      </w:r>
    </w:p>
    <w:p>
      <w:pPr>
        <w:widowControl/>
      </w:pPr>
      <w:r>
        <w:t>The classifier maps the old names High and Fast to Max and Light, reapplies stickiness, and raises a non-trivial Micro result to Standard. That call is not stored as its own inference event and does not enter the monthly cap. When Groq is absent, routing stays on the deterministic score.</w:t>
      </w:r>
    </w:p>
    <w:p>
      <w:pPr>
        <w:pStyle w:val="Heading2"/>
      </w:pPr>
      <w:r>
        <w:t>Fixed models and capability requirements</w:t>
      </w:r>
    </w:p>
    <w:p>
      <w:pPr>
        <w:keepLines/>
        <w:widowControl/>
      </w:pPr>
      <w:r>
        <w:t>A fixed-model choice sends one selected model for every tier on that request. The tier is still calculated so Insights can count the reply. The saved per-tier assignments are left in place. Turning tier mode back on uses those saved assignments. The server still rejects a model that is not on the allowlist.</w:t>
      </w:r>
    </w:p>
    <w:p>
      <w:pPr>
        <w:widowControl/>
      </w:pPr>
      <w:r>
        <w:t>An image sent in chat does not use the tier assignment. It is sent to the Groq model meta-llama/llama-4-scout-17b-16e-instruct. Knowledge extraction chooses a vision backend separately. A local installation uses Groq when a key exists, otherwise Bedrock Nova Lite when Bedrock is allowed. A hosted installation tries Bedrock first, then Groq. The default Bedrock vision model is amazon.nova-lite-v1:0. If neither backend is available, extraction fails and the image is not indexed. The raw image is sent to the vision provider before the resulting text is scrubbed.</w:t>
      </w:r>
    </w:p>
    <w:p>
      <w:pPr>
        <w:pStyle w:val="Heading1"/>
      </w:pPr>
      <w:r>
        <w:t>7 Providers and credentials</w:t>
      </w:r>
    </w:p>
    <w:p>
      <w:pPr>
        <w:keepLines/>
        <w:widowControl/>
      </w:pPr>
      <w:r>
        <w:t>Provider connections are supplied by the installation's administrator. No cloud deployment should require a product-owned key or assume that another user's Groq configuration is present. Groq is the provider named in the existing implementation description; Grok is a different model name associated with xAI.</w:t>
      </w:r>
    </w:p>
    <w:p>
      <w:pPr>
        <w:widowControl/>
      </w:pPr>
      <w:r>
        <w:t>Ollama is the documented local fallback. Docker's first boot is described as pulling llama3.2:3b for chat and nomic-embed-text for embeddings. A chat request does not itself download missing model weights. These are local defaults, not cloud defaults.</w:t>
      </w:r>
    </w:p>
    <w:p>
      <w:pPr>
        <w:widowControl/>
      </w:pPr>
      <w:r>
        <w:t>On a hosted installation, chat returns HTTP 503 and points to Settings when no model is assigned and neither Groq nor Bedrock can run. An invalid client model id is ignored, and the built-in model for the tier remains. A local installation can fall back to an installed Ollama chat model. A chat request does not download model weights.</w:t>
      </w:r>
    </w:p>
    <w:p>
      <w:pPr>
        <w:pStyle w:val="Heading2"/>
      </w:pPr>
      <w:r>
        <w:t>Separate model responsibilities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6768"/>
      </w:tblGrid>
      <w:tr>
        <w:trPr>
          <w:cantSplit/>
          <w:tblHeader/>
        </w:trPr>
        <w:tc>
          <w:tcPr>
            <w:tcW w:type="dxa" w:w="3312"/>
            <w:vAlign w:val="center"/>
            <w:tcMar>
              <w:top w:w="85" w:type="dxa"/>
              <w:bottom w:w="85" w:type="dxa"/>
              <w:left w:w="95" w:type="dxa"/>
              <w:right w:w="95" w:type="dxa"/>
            </w:tcMar>
            <w:shd w:fill="24384B"/>
          </w:tcPr>
          <w:p>
            <w:pPr>
              <w:keepNext/>
              <w:spacing w:after="0" w:line="247" w:lineRule="auto"/>
            </w:pPr>
            <w:r>
              <w:rPr>
                <w:b/>
                <w:color w:val="FFFFFF"/>
                <w:sz w:val="20"/>
              </w:rPr>
              <w:t>Responsibility</w:t>
            </w:r>
          </w:p>
        </w:tc>
        <w:tc>
          <w:tcPr>
            <w:tcW w:type="dxa" w:w="6768"/>
            <w:vAlign w:val="center"/>
            <w:tcMar>
              <w:top w:w="85" w:type="dxa"/>
              <w:bottom w:w="85" w:type="dxa"/>
              <w:left w:w="95" w:type="dxa"/>
              <w:right w:w="95" w:type="dxa"/>
            </w:tcMar>
            <w:shd w:fill="24384B"/>
          </w:tcPr>
          <w:p>
            <w:pPr>
              <w:keepNext/>
              <w:spacing w:after="0" w:line="247" w:lineRule="auto"/>
            </w:pPr>
            <w:r>
              <w:rPr>
                <w:b/>
                <w:color w:val="FFFFFF"/>
                <w:sz w:val="20"/>
              </w:rPr>
              <w:t>Configuration requirement</w:t>
            </w:r>
          </w:p>
        </w:tc>
      </w:tr>
      <w:tr>
        <w:trPr>
          <w:cantSplit/>
        </w:trPr>
        <w:tc>
          <w:tcPr>
            <w:tcW w:type="dxa" w:w="3312"/>
            <w:vAlign w:val="center"/>
            <w:tcMar>
              <w:top w:w="85" w:type="dxa"/>
              <w:bottom w:w="85" w:type="dxa"/>
              <w:left w:w="95" w:type="dxa"/>
              <w:right w:w="95" w:type="dxa"/>
            </w:tcMar>
            <w:shd w:fill="FFFFFF"/>
          </w:tcPr>
          <w:p>
            <w:pPr>
              <w:spacing w:after="0" w:line="247" w:lineRule="auto"/>
            </w:pPr>
            <w:r>
              <w:rPr>
                <w:b w:val="0"/>
                <w:sz w:val="20"/>
              </w:rPr>
              <w:t>Chat generation</w:t>
            </w:r>
          </w:p>
        </w:tc>
        <w:tc>
          <w:tcPr>
            <w:tcW w:type="dxa" w:w="6768"/>
            <w:vAlign w:val="center"/>
            <w:tcMar>
              <w:top w:w="85" w:type="dxa"/>
              <w:bottom w:w="85" w:type="dxa"/>
              <w:left w:w="95" w:type="dxa"/>
              <w:right w:w="95" w:type="dxa"/>
            </w:tcMar>
            <w:shd w:fill="FFFFFF"/>
          </w:tcPr>
          <w:p>
            <w:pPr>
              <w:spacing w:after="0" w:line="247" w:lineRule="auto"/>
            </w:pPr>
            <w:r>
              <w:rPr>
                <w:b w:val="0"/>
                <w:sz w:val="20"/>
              </w:rPr>
              <w:t>Assigned tier model or fixed model</w:t>
            </w:r>
          </w:p>
        </w:tc>
      </w:tr>
      <w:tr>
        <w:trPr>
          <w:cantSplit/>
        </w:trPr>
        <w:tc>
          <w:tcPr>
            <w:tcW w:type="dxa" w:w="3312"/>
            <w:vAlign w:val="center"/>
            <w:tcMar>
              <w:top w:w="85" w:type="dxa"/>
              <w:bottom w:w="85" w:type="dxa"/>
              <w:left w:w="95" w:type="dxa"/>
              <w:right w:w="95" w:type="dxa"/>
            </w:tcMar>
            <w:shd w:fill="F2F5F8"/>
          </w:tcPr>
          <w:p>
            <w:pPr>
              <w:spacing w:after="0" w:line="247" w:lineRule="auto"/>
            </w:pPr>
            <w:r>
              <w:rPr>
                <w:b w:val="0"/>
                <w:sz w:val="20"/>
              </w:rPr>
              <w:t>Optional complexity tie-break</w:t>
            </w:r>
          </w:p>
        </w:tc>
        <w:tc>
          <w:tcPr>
            <w:tcW w:type="dxa" w:w="6768"/>
            <w:vAlign w:val="center"/>
            <w:tcMar>
              <w:top w:w="85" w:type="dxa"/>
              <w:bottom w:w="85" w:type="dxa"/>
              <w:left w:w="95" w:type="dxa"/>
              <w:right w:w="95" w:type="dxa"/>
            </w:tcMar>
            <w:shd w:fill="F2F5F8"/>
          </w:tcPr>
          <w:p>
            <w:pPr>
              <w:spacing w:after="0" w:line="247" w:lineRule="auto"/>
            </w:pPr>
            <w:r>
              <w:rPr>
                <w:b w:val="0"/>
                <w:sz w:val="20"/>
              </w:rPr>
              <w:t>Configured classifier or deterministic fallback</w:t>
            </w:r>
          </w:p>
        </w:tc>
      </w:tr>
      <w:tr>
        <w:trPr>
          <w:cantSplit/>
        </w:trPr>
        <w:tc>
          <w:tcPr>
            <w:tcW w:type="dxa" w:w="3312"/>
            <w:vAlign w:val="center"/>
            <w:tcMar>
              <w:top w:w="85" w:type="dxa"/>
              <w:bottom w:w="85" w:type="dxa"/>
              <w:left w:w="95" w:type="dxa"/>
              <w:right w:w="95" w:type="dxa"/>
            </w:tcMar>
            <w:shd w:fill="FFFFFF"/>
          </w:tcPr>
          <w:p>
            <w:pPr>
              <w:spacing w:after="0" w:line="247" w:lineRule="auto"/>
            </w:pPr>
            <w:r>
              <w:rPr>
                <w:b w:val="0"/>
                <w:sz w:val="20"/>
              </w:rPr>
              <w:t>Conversation summaries and fact extraction</w:t>
            </w:r>
          </w:p>
        </w:tc>
        <w:tc>
          <w:tcPr>
            <w:tcW w:type="dxa" w:w="6768"/>
            <w:vAlign w:val="center"/>
            <w:tcMar>
              <w:top w:w="85" w:type="dxa"/>
              <w:bottom w:w="85" w:type="dxa"/>
              <w:left w:w="95" w:type="dxa"/>
              <w:right w:w="95" w:type="dxa"/>
            </w:tcMar>
            <w:shd w:fill="FFFFFF"/>
          </w:tcPr>
          <w:p>
            <w:pPr>
              <w:spacing w:after="0" w:line="247" w:lineRule="auto"/>
            </w:pPr>
            <w:r>
              <w:rPr>
                <w:b w:val="0"/>
                <w:sz w:val="20"/>
              </w:rPr>
              <w:t>Explicit background-model selection</w:t>
            </w:r>
          </w:p>
        </w:tc>
      </w:tr>
      <w:tr>
        <w:trPr>
          <w:cantSplit/>
        </w:trPr>
        <w:tc>
          <w:tcPr>
            <w:tcW w:type="dxa" w:w="3312"/>
            <w:vAlign w:val="center"/>
            <w:tcMar>
              <w:top w:w="85" w:type="dxa"/>
              <w:bottom w:w="85" w:type="dxa"/>
              <w:left w:w="95" w:type="dxa"/>
              <w:right w:w="95" w:type="dxa"/>
            </w:tcMar>
            <w:shd w:fill="F2F5F8"/>
          </w:tcPr>
          <w:p>
            <w:pPr>
              <w:keepNext/>
              <w:spacing w:after="0" w:line="247" w:lineRule="auto"/>
            </w:pPr>
            <w:r>
              <w:rPr>
                <w:b w:val="0"/>
                <w:sz w:val="20"/>
              </w:rPr>
              <w:t>Document embeddings</w:t>
            </w:r>
          </w:p>
        </w:tc>
        <w:tc>
          <w:tcPr>
            <w:tcW w:type="dxa" w:w="6768"/>
            <w:vAlign w:val="center"/>
            <w:tcMar>
              <w:top w:w="85" w:type="dxa"/>
              <w:bottom w:w="85" w:type="dxa"/>
              <w:left w:w="95" w:type="dxa"/>
              <w:right w:w="95" w:type="dxa"/>
            </w:tcMar>
            <w:shd w:fill="F2F5F8"/>
          </w:tcPr>
          <w:p>
            <w:pPr>
              <w:keepNext/>
              <w:spacing w:after="0" w:line="247" w:lineRule="auto"/>
            </w:pPr>
            <w:r>
              <w:rPr>
                <w:b w:val="0"/>
                <w:sz w:val="20"/>
              </w:rPr>
              <w:t>Compatible embedding model and index dimensions</w:t>
            </w:r>
          </w:p>
        </w:tc>
      </w:tr>
      <w:tr>
        <w:trPr>
          <w:cantSplit/>
        </w:trPr>
        <w:tc>
          <w:tcPr>
            <w:tcW w:type="dxa" w:w="3312"/>
            <w:vAlign w:val="center"/>
            <w:tcMar>
              <w:top w:w="85" w:type="dxa"/>
              <w:bottom w:w="85" w:type="dxa"/>
              <w:left w:w="95" w:type="dxa"/>
              <w:right w:w="95" w:type="dxa"/>
            </w:tcMar>
            <w:shd w:fill="FFFFFF"/>
          </w:tcPr>
          <w:p>
            <w:pPr>
              <w:keepNext/>
              <w:spacing w:after="0" w:line="247" w:lineRule="auto"/>
            </w:pPr>
            <w:r>
              <w:rPr>
                <w:b w:val="0"/>
                <w:sz w:val="20"/>
              </w:rPr>
              <w:t>Image interpretation</w:t>
            </w:r>
          </w:p>
        </w:tc>
        <w:tc>
          <w:tcPr>
            <w:tcW w:type="dxa" w:w="6768"/>
            <w:vAlign w:val="center"/>
            <w:tcMar>
              <w:top w:w="85" w:type="dxa"/>
              <w:bottom w:w="85" w:type="dxa"/>
              <w:left w:w="95" w:type="dxa"/>
              <w:right w:w="95" w:type="dxa"/>
            </w:tcMar>
            <w:shd w:fill="FFFFFF"/>
          </w:tcPr>
          <w:p>
            <w:pPr>
              <w:keepNext/>
              <w:spacing w:after="0" w:line="247" w:lineRule="auto"/>
            </w:pPr>
            <w:r>
              <w:rPr>
                <w:b w:val="0"/>
                <w:sz w:val="20"/>
              </w:rPr>
              <w:t>Configured vision-capable model</w:t>
            </w:r>
          </w:p>
        </w:tc>
      </w:tr>
      <w:tr>
        <w:trPr>
          <w:cantSplit/>
        </w:trPr>
        <w:tc>
          <w:tcPr>
            <w:tcW w:type="dxa" w:w="3312"/>
            <w:vAlign w:val="center"/>
            <w:tcMar>
              <w:top w:w="85" w:type="dxa"/>
              <w:bottom w:w="85" w:type="dxa"/>
              <w:left w:w="95" w:type="dxa"/>
              <w:right w:w="95" w:type="dxa"/>
            </w:tcMar>
            <w:shd w:fill="F2F5F8"/>
          </w:tcPr>
          <w:p>
            <w:pPr>
              <w:spacing w:after="0" w:line="247" w:lineRule="auto"/>
            </w:pPr>
            <w:r>
              <w:rPr>
                <w:b w:val="0"/>
                <w:sz w:val="20"/>
              </w:rPr>
              <w:t>Speech transcription</w:t>
            </w:r>
          </w:p>
        </w:tc>
        <w:tc>
          <w:tcPr>
            <w:tcW w:type="dxa" w:w="6768"/>
            <w:vAlign w:val="center"/>
            <w:tcMar>
              <w:top w:w="85" w:type="dxa"/>
              <w:bottom w:w="85" w:type="dxa"/>
              <w:left w:w="95" w:type="dxa"/>
              <w:right w:w="95" w:type="dxa"/>
            </w:tcMar>
            <w:shd w:fill="F2F5F8"/>
          </w:tcPr>
          <w:p>
            <w:pPr>
              <w:spacing w:after="0" w:line="247" w:lineRule="auto"/>
            </w:pPr>
            <w:r>
              <w:rPr>
                <w:b w:val="0"/>
                <w:sz w:val="20"/>
              </w:rPr>
              <w:t>Enabled transcription backend</w:t>
            </w:r>
          </w:p>
        </w:tc>
      </w:tr>
    </w:tbl>
    <w:p>
      <w:pPr>
        <w:spacing w:after="40" w:before="0" w:line="240" w:lineRule="auto"/>
      </w:pPr>
      <w:r>
        <w:rPr>
          <w:sz w:val="4"/>
        </w:rPr>
      </w:r>
    </w:p>
    <w:p>
      <w:pPr>
        <w:keepLines/>
        <w:widowControl/>
      </w:pPr>
      <w:r>
        <w:t>Summaries and fact extraction use llama-3.1-8b-instant, or GROQ_FAST_MODEL when that variable is set. They are not chosen by comparing prices. Those calls, and embedding calls, are not written as inference events and do not count toward the monthly cap.</w:t>
      </w:r>
    </w:p>
    <w:p>
      <w:pPr>
        <w:pStyle w:val="Heading2"/>
      </w:pPr>
      <w:r>
        <w:t>Credential storage</w:t>
      </w:r>
    </w:p>
    <w:p>
      <w:pPr>
        <w:keepLines/>
        <w:widowControl/>
      </w:pPr>
      <w:r>
        <w:t>Administrators enter vendor API keys through provider settings. Locally those values are encrypted with AES-256-GCM and stored with the prefix smenc:v1:. The key is INSTANCE_ENCRYPTION_KEY, or a file at .data/instance.key when that variable is unset. A 64-character hex value is used as the raw key. Any other passphrase is hashed with SHA-256. API responses return a masked last-four hint.</w:t>
      </w:r>
    </w:p>
    <w:p>
      <w:pPr>
        <w:widowControl/>
      </w:pPr>
      <w:r>
        <w:t>On a hosted installation, keys an administrator pastes are stored in Secrets Manager under the vendor-keys secret. Instance configuration does not hold those secrets. A separate optional secret can hold a bootstrap Groq key, and another secret holds the DynamoDB table name. AWS access keys are not stored in either place.</w:t>
      </w:r>
    </w:p>
    <w:p>
      <w:pPr>
        <w:pStyle w:val="Heading2"/>
      </w:pPr>
      <w:r>
        <w:t>AWS authentication and local endpoints</w:t>
      </w:r>
    </w:p>
    <w:p>
      <w:pPr>
        <w:keepLines/>
        <w:widowControl/>
      </w:pPr>
      <w:r>
        <w:t>The documented settings route rejects pasted AWS access keys with HTTP 422, including a second check when configuration is saved. This is a settings restriction, separate from sensitive-data detection in the chat composer.</w:t>
      </w:r>
    </w:p>
    <w:p>
      <w:pPr>
        <w:widowControl/>
      </w:pPr>
      <w:r>
        <w:t>Bedrock obtains AWS credentials through the SDK credential chain, such as a local profile or SSO session, environment credentials, or a runtime role. The awsProfile setting names a profile; it does not contain the credentials. ALLOW_REAL_AWS=false is described as a hard stop for real AWS calls, with canUseBedrock() enforcing the gate.</w:t>
      </w:r>
    </w:p>
    <w:p>
      <w:pPr>
        <w:widowControl/>
      </w:pPr>
      <w:r>
        <w:t>Local authentication emulation can set an endpoint that would send AWS clients to the local service. withRealAwsEndpoints() hides that endpoint for the duration of a real AWS call. Bedrock, hosted embeddings, the hosted vendor-key client, and Amazon Transcribe use that wrapper. Cognito keeps its own explicit endpoint. ALLOW_REAL_AWS=false blocks billable AWS calls, including Bedrock and Transcribe. canUseBedrock() is the Bedrock gate.</w:t>
      </w:r>
    </w:p>
    <w:p>
      <w:pPr>
        <w:pStyle w:val="Heading2"/>
      </w:pPr>
      <w:r>
        <w:t>Model availability controls</w:t>
      </w:r>
    </w:p>
    <w:p>
      <w:pPr>
        <w:keepLines/>
        <w:widowControl/>
      </w:pPr>
      <w:r>
        <w:t>Enable is the first successful access check. It stores a verification for seven days and moves the model into the chat list. Test repeats that check for a model already in the list. Check access runs it across the models for one provider connection. Hide removes a model from the chat menu. A hidden model can still be the model a tier runs.</w:t>
      </w:r>
    </w:p>
    <w:p>
      <w:pPr>
        <w:pStyle w:val="Heading1"/>
      </w:pPr>
      <w:r>
        <w:t>8 Prompt construction and citations</w:t>
      </w:r>
    </w:p>
    <w:p>
      <w:pPr>
        <w:keepLines/>
        <w:widowControl/>
      </w:pPr>
      <w:r>
        <w:t>Every turn receives conversational instructions intended to produce a natural, concise reply. Operational instructions and workspace context are added only when the turn needs them. Recent history and a summary can maintain continuity without making every exchange sound like a document search.</w:t>
      </w:r>
    </w:p>
    <w:p>
      <w:pPr>
        <w:widowControl/>
      </w:pPr>
      <w:r>
        <w:t>Retrieved passages are evidence. They may contain useful facts, but they can also contain text such as “Ignore previous instructions.” That sentence must remain content from the file rather than becoming an instruction to the assistant.</w:t>
      </w:r>
    </w:p>
    <w:p>
      <w:pPr>
        <w:widowControl/>
      </w:pPr>
      <w:r>
        <w:t>The documented prompt guard filters injection patterns and delimits retrieved text. These are safeguards against document content influencing the instruction hierarchy; they do not guarantee that prompt injection is impossible.</w:t>
      </w:r>
    </w:p>
    <w:p>
      <w:pPr>
        <w:pStyle w:val="Heading2"/>
      </w:pPr>
      <w:r>
        <w:t>Evidence supplied for a response</w:t>
      </w:r>
    </w:p>
    <w:p>
      <w:pPr>
        <w:keepLines/>
        <w:widowControl/>
      </w:pPr>
      <w:r>
        <w:t>“Packed sources” means the selected passages included in the model's input for that turn. The answer can cite those passages with numbered markers. Conversation history and the model's general knowledge are not automatically documentary sources.</w:t>
      </w:r>
    </w:p>
    <w:p>
      <w:pPr>
        <w:widowControl/>
      </w:pPr>
      <w:r>
        <w:t>The intended Sources display shows passages both supplied to the model and cited in the response. Providing a passage does not mean the model used it, and a valid reference does not establish that the passage supports every nearby claim.</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6768"/>
      </w:tblGrid>
      <w:tr>
        <w:trPr>
          <w:cantSplit/>
          <w:tblHeader/>
        </w:trPr>
        <w:tc>
          <w:tcPr>
            <w:tcW w:type="dxa" w:w="3312"/>
            <w:vAlign w:val="center"/>
            <w:tcMar>
              <w:top w:w="85" w:type="dxa"/>
              <w:bottom w:w="85" w:type="dxa"/>
              <w:left w:w="95" w:type="dxa"/>
              <w:right w:w="95" w:type="dxa"/>
            </w:tcMar>
            <w:shd w:fill="24384B"/>
          </w:tcPr>
          <w:p>
            <w:pPr>
              <w:keepNext/>
              <w:spacing w:after="0" w:line="247" w:lineRule="auto"/>
            </w:pPr>
            <w:r>
              <w:rPr>
                <w:b/>
                <w:color w:val="FFFFFF"/>
                <w:sz w:val="20"/>
              </w:rPr>
              <w:t>Citation outcome</w:t>
            </w:r>
          </w:p>
        </w:tc>
        <w:tc>
          <w:tcPr>
            <w:tcW w:type="dxa" w:w="6768"/>
            <w:vAlign w:val="center"/>
            <w:tcMar>
              <w:top w:w="85" w:type="dxa"/>
              <w:bottom w:w="85" w:type="dxa"/>
              <w:left w:w="95" w:type="dxa"/>
              <w:right w:w="95" w:type="dxa"/>
            </w:tcMar>
            <w:shd w:fill="24384B"/>
          </w:tcPr>
          <w:p>
            <w:pPr>
              <w:keepNext/>
              <w:spacing w:after="0" w:line="247" w:lineRule="auto"/>
            </w:pPr>
            <w:r>
              <w:rPr>
                <w:b/>
                <w:color w:val="FFFFFF"/>
                <w:sz w:val="20"/>
              </w:rPr>
              <w:t>Meaning</w:t>
            </w:r>
          </w:p>
        </w:tc>
      </w:tr>
      <w:tr>
        <w:trPr>
          <w:cantSplit/>
        </w:trPr>
        <w:tc>
          <w:tcPr>
            <w:tcW w:type="dxa" w:w="3312"/>
            <w:vAlign w:val="center"/>
            <w:tcMar>
              <w:top w:w="85" w:type="dxa"/>
              <w:bottom w:w="85" w:type="dxa"/>
              <w:left w:w="95" w:type="dxa"/>
              <w:right w:w="95" w:type="dxa"/>
            </w:tcMar>
            <w:shd w:fill="FFFFFF"/>
          </w:tcPr>
          <w:p>
            <w:pPr>
              <w:spacing w:after="0" w:line="247" w:lineRule="auto"/>
            </w:pPr>
            <w:r>
              <w:rPr>
                <w:b w:val="0"/>
                <w:sz w:val="20"/>
              </w:rPr>
              <w:t>Valid reference</w:t>
            </w:r>
          </w:p>
        </w:tc>
        <w:tc>
          <w:tcPr>
            <w:tcW w:type="dxa" w:w="6768"/>
            <w:vAlign w:val="center"/>
            <w:tcMar>
              <w:top w:w="85" w:type="dxa"/>
              <w:bottom w:w="85" w:type="dxa"/>
              <w:left w:w="95" w:type="dxa"/>
              <w:right w:w="95" w:type="dxa"/>
            </w:tcMar>
            <w:shd w:fill="FFFFFF"/>
          </w:tcPr>
          <w:p>
            <w:pPr>
              <w:spacing w:after="0" w:line="247" w:lineRule="auto"/>
            </w:pPr>
            <w:r>
              <w:rPr>
                <w:b w:val="0"/>
                <w:sz w:val="20"/>
              </w:rPr>
              <w:t>The marker matches a supplied passage index</w:t>
            </w:r>
          </w:p>
        </w:tc>
      </w:tr>
      <w:tr>
        <w:trPr>
          <w:cantSplit/>
        </w:trPr>
        <w:tc>
          <w:tcPr>
            <w:tcW w:type="dxa" w:w="3312"/>
            <w:vAlign w:val="center"/>
            <w:tcMar>
              <w:top w:w="85" w:type="dxa"/>
              <w:bottom w:w="85" w:type="dxa"/>
              <w:left w:w="95" w:type="dxa"/>
              <w:right w:w="95" w:type="dxa"/>
            </w:tcMar>
            <w:shd w:fill="F2F5F8"/>
          </w:tcPr>
          <w:p>
            <w:pPr>
              <w:keepNext/>
              <w:spacing w:after="0" w:line="247" w:lineRule="auto"/>
            </w:pPr>
            <w:r>
              <w:rPr>
                <w:b w:val="0"/>
                <w:sz w:val="20"/>
              </w:rPr>
              <w:t>Invalid reference</w:t>
            </w:r>
          </w:p>
        </w:tc>
        <w:tc>
          <w:tcPr>
            <w:tcW w:type="dxa" w:w="6768"/>
            <w:vAlign w:val="center"/>
            <w:tcMar>
              <w:top w:w="85" w:type="dxa"/>
              <w:bottom w:w="85" w:type="dxa"/>
              <w:left w:w="95" w:type="dxa"/>
              <w:right w:w="95" w:type="dxa"/>
            </w:tcMar>
            <w:shd w:fill="F2F5F8"/>
          </w:tcPr>
          <w:p>
            <w:pPr>
              <w:keepNext/>
              <w:spacing w:after="0" w:line="247" w:lineRule="auto"/>
            </w:pPr>
            <w:r>
              <w:rPr>
                <w:b w:val="0"/>
                <w:sz w:val="20"/>
              </w:rPr>
              <w:t>The marker refers to no supplied passage index</w:t>
            </w:r>
          </w:p>
        </w:tc>
      </w:tr>
      <w:tr>
        <w:trPr>
          <w:cantSplit/>
        </w:trPr>
        <w:tc>
          <w:tcPr>
            <w:tcW w:type="dxa" w:w="3312"/>
            <w:vAlign w:val="center"/>
            <w:tcMar>
              <w:top w:w="85" w:type="dxa"/>
              <w:bottom w:w="85" w:type="dxa"/>
              <w:left w:w="95" w:type="dxa"/>
              <w:right w:w="95" w:type="dxa"/>
            </w:tcMar>
            <w:shd w:fill="FFFFFF"/>
          </w:tcPr>
          <w:p>
            <w:pPr>
              <w:keepNext/>
              <w:spacing w:after="0" w:line="247" w:lineRule="auto"/>
            </w:pPr>
            <w:r>
              <w:rPr>
                <w:b w:val="0"/>
                <w:sz w:val="20"/>
              </w:rPr>
              <w:t>Unused passage</w:t>
            </w:r>
          </w:p>
        </w:tc>
        <w:tc>
          <w:tcPr>
            <w:tcW w:type="dxa" w:w="6768"/>
            <w:vAlign w:val="center"/>
            <w:tcMar>
              <w:top w:w="85" w:type="dxa"/>
              <w:bottom w:w="85" w:type="dxa"/>
              <w:left w:w="95" w:type="dxa"/>
              <w:right w:w="95" w:type="dxa"/>
            </w:tcMar>
            <w:shd w:fill="FFFFFF"/>
          </w:tcPr>
          <w:p>
            <w:pPr>
              <w:keepNext/>
              <w:spacing w:after="0" w:line="247" w:lineRule="auto"/>
            </w:pPr>
            <w:r>
              <w:rPr>
                <w:b w:val="0"/>
                <w:sz w:val="20"/>
              </w:rPr>
              <w:t>A supplied passage was not cited</w:t>
            </w:r>
          </w:p>
        </w:tc>
      </w:tr>
      <w:tr>
        <w:trPr>
          <w:cantSplit/>
        </w:trPr>
        <w:tc>
          <w:tcPr>
            <w:tcW w:type="dxa" w:w="3312"/>
            <w:vAlign w:val="center"/>
            <w:tcMar>
              <w:top w:w="85" w:type="dxa"/>
              <w:bottom w:w="85" w:type="dxa"/>
              <w:left w:w="95" w:type="dxa"/>
              <w:right w:w="95" w:type="dxa"/>
            </w:tcMar>
            <w:shd w:fill="F2F5F8"/>
          </w:tcPr>
          <w:p>
            <w:pPr>
              <w:spacing w:after="0" w:line="247" w:lineRule="auto"/>
            </w:pPr>
            <w:r>
              <w:rPr>
                <w:b w:val="0"/>
                <w:sz w:val="20"/>
              </w:rPr>
              <w:t>Declined for lack of evidence</w:t>
            </w:r>
          </w:p>
        </w:tc>
        <w:tc>
          <w:tcPr>
            <w:tcW w:type="dxa" w:w="6768"/>
            <w:vAlign w:val="center"/>
            <w:tcMar>
              <w:top w:w="85" w:type="dxa"/>
              <w:bottom w:w="85" w:type="dxa"/>
              <w:left w:w="95" w:type="dxa"/>
              <w:right w:w="95" w:type="dxa"/>
            </w:tcMar>
            <w:shd w:fill="F2F5F8"/>
          </w:tcPr>
          <w:p>
            <w:pPr>
              <w:spacing w:after="0" w:line="247" w:lineRule="auto"/>
            </w:pPr>
            <w:r>
              <w:rPr>
                <w:b w:val="0"/>
                <w:sz w:val="20"/>
              </w:rPr>
              <w:t>The reply acknowledges insufficient evidence and cites nothing</w:t>
            </w:r>
          </w:p>
        </w:tc>
      </w:tr>
    </w:tbl>
    <w:p>
      <w:pPr>
        <w:spacing w:after="40" w:before="0" w:line="240" w:lineRule="auto"/>
      </w:pPr>
      <w:r>
        <w:rPr>
          <w:sz w:val="4"/>
        </w:rPr>
      </w:r>
    </w:p>
    <w:p>
      <w:pPr>
        <w:widowControl/>
      </w:pPr>
      <w:r>
        <w:t>The audit runs after the answer has streamed. It does not call a second model, and it does not remove text the user has already seen. The Sources list sent afterward contains only supplied passages the answer cited. An answer that admits it lacks evidence and cites nothing is recorded as declined.</w:t>
      </w:r>
    </w:p>
    <w:p>
      <w:pPr>
        <w:pStyle w:val="Heading2"/>
      </w:pPr>
      <w:r>
        <w:t>Similarity and source eligibility</w:t>
      </w:r>
    </w:p>
    <w:p>
      <w:pPr>
        <w:keepLines/>
        <w:widowControl/>
      </w:pPr>
      <w:r>
        <w:t>Embeddings are numerical vectors. Retrieval compares the query vector with document vectors. PostgreSQL orders by pgvector cosine distance and reports similarity as one minus that distance. DynamoDB SearchVectors uses a cosine score where 0 is identical and 2 is opposite. The application converts that score the same way. In both stores a result is kept when similarity is at least 0.5. The search asks for 10 candidates and then applies that floor.</w:t>
      </w:r>
    </w:p>
    <w:p>
      <w:pPr>
        <w:widowControl/>
      </w:pPr>
      <w:r>
        <w:t>Document chunks form the citation index. Facts are a separate store. They are ranked into the prompt by word overlap, and they are not vectors.</w:t>
      </w:r>
    </w:p>
    <w:p>
      <w:pPr>
        <w:pStyle w:val="Heading1"/>
      </w:pPr>
      <w:r>
        <w:t>9 Knowledge ingestion and retrieval</w:t>
      </w:r>
    </w:p>
    <w:p>
      <w:pPr>
        <w:keepLines/>
        <w:widowControl/>
      </w:pPr>
      <w:r>
        <w:t>Retrieval-augmented generation, or RAG, supplies relevant document passages to a model while it creates an answer. SecureMind's knowledge path first prepares documents for search, then retrieves a limited set of passages for each relevant request.</w:t>
      </w:r>
    </w:p>
    <w:p>
      <w:pPr>
        <w:widowControl/>
      </w:pPr>
      <w:r>
        <w:t>1. Associate the upload with its user and workspace.</w:t>
      </w:r>
    </w:p>
    <w:p>
      <w:pPr>
        <w:widowControl/>
      </w:pPr>
      <w:r>
        <w:t>2. Extract usable text from the file, including any supported image or spreadsheet processing.</w:t>
      </w:r>
    </w:p>
    <w:p>
      <w:pPr>
        <w:widowControl/>
      </w:pPr>
      <w:r>
        <w:t>3. Scrub extracted text using the administrator's detection policy.</w:t>
      </w:r>
    </w:p>
    <w:p>
      <w:pPr>
        <w:widowControl/>
      </w:pPr>
      <w:r>
        <w:t>4. Divide the scrubbed text into overlapping chunks.</w:t>
      </w:r>
    </w:p>
    <w:p>
      <w:pPr>
        <w:widowControl/>
      </w:pPr>
      <w:r>
        <w:t>5. Generate an embedding for each chunk and store its text, vector, and ownership metadata.</w:t>
      </w:r>
    </w:p>
    <w:p>
      <w:pPr>
        <w:widowControl/>
      </w:pPr>
      <w:r>
        <w:t>6. At query time, embed the query, search authorized workspace chunks, and supply qualifying passages to the chat model.</w:t>
      </w:r>
    </w:p>
    <w:p>
      <w:pPr>
        <w:pStyle w:val="Heading2"/>
      </w:pPr>
      <w:r>
        <w:t>Files and vectors serve different purposes</w:t>
      </w:r>
    </w:p>
    <w:p>
      <w:pPr>
        <w:keepLines/>
        <w:widowControl/>
      </w:pPr>
      <w:r>
        <w:t>The original file preserves the upload. Extracted text makes its contents usable. Chunks provide searchable passages, and embeddings help find related passages. A vector does not replace the file or preserve a readable copy of it.</w:t>
      </w:r>
    </w:p>
    <w:p>
      <w:pPr>
        <w:widowControl/>
      </w:pPr>
      <w:r>
        <w:t>A local installation keeps originals on disk and holds scrubbed text, metadata, and 768-dimension pgvector embeddings in PostgreSQL. Scrubbing extracted text does not change the original file. The hosted path does not write that local original. Reprocess on the local path reads the stored original. The hosted path does not have that file.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3816"/>
        <w:gridCol w:w="3888"/>
      </w:tblGrid>
      <w:tr>
        <w:trPr>
          <w:cantSplit/>
          <w:tblHeader/>
        </w:trPr>
        <w:tc>
          <w:tcPr>
            <w:tcW w:type="dxa" w:w="2376"/>
            <w:vAlign w:val="center"/>
            <w:tcMar>
              <w:top w:w="85" w:type="dxa"/>
              <w:bottom w:w="85" w:type="dxa"/>
              <w:left w:w="95" w:type="dxa"/>
              <w:right w:w="95" w:type="dxa"/>
            </w:tcMar>
            <w:shd w:fill="24384B"/>
          </w:tcPr>
          <w:p>
            <w:pPr>
              <w:keepNext/>
              <w:spacing w:after="0" w:line="247" w:lineRule="auto"/>
            </w:pPr>
            <w:r>
              <w:rPr>
                <w:b/>
                <w:color w:val="FFFFFF"/>
                <w:sz w:val="20"/>
              </w:rPr>
              <w:t>Setting</w:t>
            </w:r>
          </w:p>
        </w:tc>
        <w:tc>
          <w:tcPr>
            <w:tcW w:type="dxa" w:w="3816"/>
            <w:vAlign w:val="center"/>
            <w:tcMar>
              <w:top w:w="85" w:type="dxa"/>
              <w:bottom w:w="85" w:type="dxa"/>
              <w:left w:w="95" w:type="dxa"/>
              <w:right w:w="95" w:type="dxa"/>
            </w:tcMar>
            <w:shd w:fill="24384B"/>
          </w:tcPr>
          <w:p>
            <w:pPr>
              <w:keepNext/>
              <w:spacing w:after="0" w:line="247" w:lineRule="auto"/>
            </w:pPr>
            <w:r>
              <w:rPr>
                <w:b/>
                <w:color w:val="FFFFFF"/>
                <w:sz w:val="20"/>
              </w:rPr>
              <w:t>Documented value</w:t>
            </w:r>
          </w:p>
        </w:tc>
        <w:tc>
          <w:tcPr>
            <w:tcW w:type="dxa" w:w="3888"/>
            <w:vAlign w:val="center"/>
            <w:tcMar>
              <w:top w:w="85" w:type="dxa"/>
              <w:bottom w:w="85" w:type="dxa"/>
              <w:left w:w="95" w:type="dxa"/>
              <w:right w:w="95" w:type="dxa"/>
            </w:tcMar>
            <w:shd w:fill="24384B"/>
          </w:tcPr>
          <w:p>
            <w:pPr>
              <w:keepNext/>
              <w:spacing w:after="0" w:line="247" w:lineRule="auto"/>
            </w:pPr>
            <w:r>
              <w:rPr>
                <w:b/>
                <w:color w:val="FFFFFF"/>
                <w:sz w:val="20"/>
              </w:rPr>
              <w:t>Purpose</w:t>
            </w:r>
          </w:p>
        </w:tc>
      </w:tr>
      <w:tr>
        <w:trPr>
          <w:cantSplit/>
        </w:trPr>
        <w:tc>
          <w:tcPr>
            <w:tcW w:type="dxa" w:w="2376"/>
            <w:vAlign w:val="center"/>
            <w:tcMar>
              <w:top w:w="85" w:type="dxa"/>
              <w:bottom w:w="85" w:type="dxa"/>
              <w:left w:w="95" w:type="dxa"/>
              <w:right w:w="95" w:type="dxa"/>
            </w:tcMar>
            <w:shd w:fill="FFFFFF"/>
          </w:tcPr>
          <w:p>
            <w:pPr>
              <w:spacing w:after="0" w:line="247" w:lineRule="auto"/>
            </w:pPr>
            <w:r>
              <w:rPr>
                <w:b w:val="0"/>
                <w:sz w:val="20"/>
              </w:rPr>
              <w:t>Target chunk length</w:t>
            </w:r>
          </w:p>
        </w:tc>
        <w:tc>
          <w:tcPr>
            <w:tcW w:type="dxa" w:w="3816"/>
            <w:vAlign w:val="center"/>
            <w:tcMar>
              <w:top w:w="85" w:type="dxa"/>
              <w:bottom w:w="85" w:type="dxa"/>
              <w:left w:w="95" w:type="dxa"/>
              <w:right w:w="95" w:type="dxa"/>
            </w:tcMar>
            <w:shd w:fill="FFFFFF"/>
          </w:tcPr>
          <w:p>
            <w:pPr>
              <w:spacing w:after="0" w:line="247" w:lineRule="auto"/>
            </w:pPr>
            <w:r>
              <w:rPr>
                <w:b w:val="0"/>
                <w:sz w:val="20"/>
              </w:rPr>
              <w:t>About 1,500 characters</w:t>
            </w:r>
          </w:p>
        </w:tc>
        <w:tc>
          <w:tcPr>
            <w:tcW w:type="dxa" w:w="3888"/>
            <w:vAlign w:val="center"/>
            <w:tcMar>
              <w:top w:w="85" w:type="dxa"/>
              <w:bottom w:w="85" w:type="dxa"/>
              <w:left w:w="95" w:type="dxa"/>
              <w:right w:w="95" w:type="dxa"/>
            </w:tcMar>
            <w:shd w:fill="FFFFFF"/>
          </w:tcPr>
          <w:p>
            <w:pPr>
              <w:spacing w:after="0" w:line="247" w:lineRule="auto"/>
            </w:pPr>
            <w:r>
              <w:rPr>
                <w:b w:val="0"/>
                <w:sz w:val="20"/>
              </w:rPr>
              <w:t>Keeps passages manageable</w:t>
            </w:r>
          </w:p>
        </w:tc>
      </w:tr>
      <w:tr>
        <w:trPr>
          <w:cantSplit/>
        </w:trPr>
        <w:tc>
          <w:tcPr>
            <w:tcW w:type="dxa" w:w="2376"/>
            <w:vAlign w:val="center"/>
            <w:tcMar>
              <w:top w:w="85" w:type="dxa"/>
              <w:bottom w:w="85" w:type="dxa"/>
              <w:left w:w="95" w:type="dxa"/>
              <w:right w:w="95" w:type="dxa"/>
            </w:tcMar>
            <w:shd w:fill="F2F5F8"/>
          </w:tcPr>
          <w:p>
            <w:pPr>
              <w:spacing w:after="0" w:line="247" w:lineRule="auto"/>
            </w:pPr>
            <w:r>
              <w:rPr>
                <w:b w:val="0"/>
                <w:sz w:val="20"/>
              </w:rPr>
              <w:t>Chunk overlap</w:t>
            </w:r>
          </w:p>
        </w:tc>
        <w:tc>
          <w:tcPr>
            <w:tcW w:type="dxa" w:w="3816"/>
            <w:vAlign w:val="center"/>
            <w:tcMar>
              <w:top w:w="85" w:type="dxa"/>
              <w:bottom w:w="85" w:type="dxa"/>
              <w:left w:w="95" w:type="dxa"/>
              <w:right w:w="95" w:type="dxa"/>
            </w:tcMar>
            <w:shd w:fill="F2F5F8"/>
          </w:tcPr>
          <w:p>
            <w:pPr>
              <w:spacing w:after="0" w:line="247" w:lineRule="auto"/>
            </w:pPr>
            <w:r>
              <w:rPr>
                <w:b w:val="0"/>
                <w:sz w:val="20"/>
              </w:rPr>
              <w:t>About 200 characters</w:t>
            </w:r>
          </w:p>
        </w:tc>
        <w:tc>
          <w:tcPr>
            <w:tcW w:type="dxa" w:w="3888"/>
            <w:vAlign w:val="center"/>
            <w:tcMar>
              <w:top w:w="85" w:type="dxa"/>
              <w:bottom w:w="85" w:type="dxa"/>
              <w:left w:w="95" w:type="dxa"/>
              <w:right w:w="95" w:type="dxa"/>
            </w:tcMar>
            <w:shd w:fill="F2F5F8"/>
          </w:tcPr>
          <w:p>
            <w:pPr>
              <w:spacing w:after="0" w:line="247" w:lineRule="auto"/>
            </w:pPr>
            <w:r>
              <w:rPr>
                <w:b w:val="0"/>
                <w:sz w:val="20"/>
              </w:rPr>
              <w:t>Preserves context across boundaries</w:t>
            </w:r>
          </w:p>
        </w:tc>
      </w:tr>
      <w:tr>
        <w:trPr>
          <w:cantSplit/>
        </w:trPr>
        <w:tc>
          <w:tcPr>
            <w:tcW w:type="dxa" w:w="2376"/>
            <w:vAlign w:val="center"/>
            <w:tcMar>
              <w:top w:w="85" w:type="dxa"/>
              <w:bottom w:w="85" w:type="dxa"/>
              <w:left w:w="95" w:type="dxa"/>
              <w:right w:w="95" w:type="dxa"/>
            </w:tcMar>
            <w:shd w:fill="FFFFFF"/>
          </w:tcPr>
          <w:p>
            <w:pPr>
              <w:spacing w:after="0" w:line="247" w:lineRule="auto"/>
            </w:pPr>
            <w:r>
              <w:rPr>
                <w:b w:val="0"/>
                <w:sz w:val="20"/>
              </w:rPr>
              <w:t>Minimum piece length</w:t>
            </w:r>
          </w:p>
        </w:tc>
        <w:tc>
          <w:tcPr>
            <w:tcW w:type="dxa" w:w="3816"/>
            <w:vAlign w:val="center"/>
            <w:tcMar>
              <w:top w:w="85" w:type="dxa"/>
              <w:bottom w:w="85" w:type="dxa"/>
              <w:left w:w="95" w:type="dxa"/>
              <w:right w:w="95" w:type="dxa"/>
            </w:tcMar>
            <w:shd w:fill="FFFFFF"/>
          </w:tcPr>
          <w:p>
            <w:pPr>
              <w:spacing w:after="0" w:line="247" w:lineRule="auto"/>
            </w:pPr>
            <w:r>
              <w:rPr>
                <w:b w:val="0"/>
                <w:sz w:val="20"/>
              </w:rPr>
              <w:t>80 characters</w:t>
            </w:r>
          </w:p>
        </w:tc>
        <w:tc>
          <w:tcPr>
            <w:tcW w:type="dxa" w:w="3888"/>
            <w:vAlign w:val="center"/>
            <w:tcMar>
              <w:top w:w="85" w:type="dxa"/>
              <w:bottom w:w="85" w:type="dxa"/>
              <w:left w:w="95" w:type="dxa"/>
              <w:right w:w="95" w:type="dxa"/>
            </w:tcMar>
            <w:shd w:fill="FFFFFF"/>
          </w:tcPr>
          <w:p>
            <w:pPr>
              <w:spacing w:after="0" w:line="247" w:lineRule="auto"/>
            </w:pPr>
            <w:r>
              <w:rPr>
                <w:b w:val="0"/>
                <w:sz w:val="20"/>
              </w:rPr>
              <w:t>Drops very short pieces</w:t>
            </w:r>
          </w:p>
        </w:tc>
      </w:tr>
      <w:tr>
        <w:trPr>
          <w:cantSplit/>
        </w:trPr>
        <w:tc>
          <w:tcPr>
            <w:tcW w:type="dxa" w:w="2376"/>
            <w:vAlign w:val="center"/>
            <w:tcMar>
              <w:top w:w="85" w:type="dxa"/>
              <w:bottom w:w="85" w:type="dxa"/>
              <w:left w:w="95" w:type="dxa"/>
              <w:right w:w="95" w:type="dxa"/>
            </w:tcMar>
            <w:shd w:fill="F2F5F8"/>
          </w:tcPr>
          <w:p>
            <w:pPr>
              <w:spacing w:after="0" w:line="247" w:lineRule="auto"/>
            </w:pPr>
            <w:r>
              <w:rPr>
                <w:b w:val="0"/>
                <w:sz w:val="20"/>
              </w:rPr>
              <w:t>Preferred boundaries</w:t>
            </w:r>
          </w:p>
        </w:tc>
        <w:tc>
          <w:tcPr>
            <w:tcW w:type="dxa" w:w="3816"/>
            <w:vAlign w:val="center"/>
            <w:tcMar>
              <w:top w:w="85" w:type="dxa"/>
              <w:bottom w:w="85" w:type="dxa"/>
              <w:left w:w="95" w:type="dxa"/>
              <w:right w:w="95" w:type="dxa"/>
            </w:tcMar>
            <w:shd w:fill="F2F5F8"/>
          </w:tcPr>
          <w:p>
            <w:pPr>
              <w:spacing w:after="0" w:line="247" w:lineRule="auto"/>
            </w:pPr>
            <w:r>
              <w:rPr>
                <w:b w:val="0"/>
                <w:sz w:val="20"/>
              </w:rPr>
              <w:t>Paragraphs or sentences</w:t>
            </w:r>
          </w:p>
        </w:tc>
        <w:tc>
          <w:tcPr>
            <w:tcW w:type="dxa" w:w="3888"/>
            <w:vAlign w:val="center"/>
            <w:tcMar>
              <w:top w:w="85" w:type="dxa"/>
              <w:bottom w:w="85" w:type="dxa"/>
              <w:left w:w="95" w:type="dxa"/>
              <w:right w:w="95" w:type="dxa"/>
            </w:tcMar>
            <w:shd w:fill="F2F5F8"/>
          </w:tcPr>
          <w:p>
            <w:pPr>
              <w:spacing w:after="0" w:line="247" w:lineRule="auto"/>
            </w:pPr>
            <w:r>
              <w:rPr>
                <w:b w:val="0"/>
                <w:sz w:val="20"/>
              </w:rPr>
              <w:t>Avoids unnecessary splits</w:t>
            </w:r>
          </w:p>
        </w:tc>
      </w:tr>
      <w:tr>
        <w:trPr>
          <w:cantSplit/>
        </w:trPr>
        <w:tc>
          <w:tcPr>
            <w:tcW w:type="dxa" w:w="2376"/>
            <w:vAlign w:val="center"/>
            <w:tcMar>
              <w:top w:w="85" w:type="dxa"/>
              <w:bottom w:w="85" w:type="dxa"/>
              <w:left w:w="95" w:type="dxa"/>
              <w:right w:w="95" w:type="dxa"/>
            </w:tcMar>
            <w:shd w:fill="FFFFFF"/>
          </w:tcPr>
          <w:p>
            <w:pPr>
              <w:spacing w:after="0" w:line="247" w:lineRule="auto"/>
            </w:pPr>
            <w:r>
              <w:rPr>
                <w:b w:val="0"/>
                <w:sz w:val="20"/>
              </w:rPr>
              <w:t>Local embedding model</w:t>
            </w:r>
          </w:p>
        </w:tc>
        <w:tc>
          <w:tcPr>
            <w:tcW w:type="dxa" w:w="3816"/>
            <w:vAlign w:val="center"/>
            <w:tcMar>
              <w:top w:w="85" w:type="dxa"/>
              <w:bottom w:w="85" w:type="dxa"/>
              <w:left w:w="95" w:type="dxa"/>
              <w:right w:w="95" w:type="dxa"/>
            </w:tcMar>
            <w:shd w:fill="FFFFFF"/>
          </w:tcPr>
          <w:p>
            <w:pPr>
              <w:spacing w:after="0" w:line="247" w:lineRule="auto"/>
            </w:pPr>
            <w:r>
              <w:rPr>
                <w:b w:val="0"/>
                <w:sz w:val="20"/>
              </w:rPr>
              <w:t>nomic-embed-text through Ollama</w:t>
            </w:r>
          </w:p>
        </w:tc>
        <w:tc>
          <w:tcPr>
            <w:tcW w:type="dxa" w:w="3888"/>
            <w:vAlign w:val="center"/>
            <w:tcMar>
              <w:top w:w="85" w:type="dxa"/>
              <w:bottom w:w="85" w:type="dxa"/>
              <w:left w:w="95" w:type="dxa"/>
              <w:right w:w="95" w:type="dxa"/>
            </w:tcMar>
            <w:shd w:fill="FFFFFF"/>
          </w:tcPr>
          <w:p>
            <w:pPr>
              <w:spacing w:after="0" w:line="247" w:lineRule="auto"/>
            </w:pPr>
            <w:r>
              <w:rPr>
                <w:b w:val="0"/>
                <w:sz w:val="20"/>
              </w:rPr>
              <w:t>Creates document and query vectors</w:t>
            </w:r>
          </w:p>
        </w:tc>
      </w:tr>
      <w:tr>
        <w:trPr>
          <w:cantSplit/>
        </w:trPr>
        <w:tc>
          <w:tcPr>
            <w:tcW w:type="dxa" w:w="2376"/>
            <w:vAlign w:val="center"/>
            <w:tcMar>
              <w:top w:w="85" w:type="dxa"/>
              <w:bottom w:w="85" w:type="dxa"/>
              <w:left w:w="95" w:type="dxa"/>
              <w:right w:w="95" w:type="dxa"/>
            </w:tcMar>
            <w:shd w:fill="F2F5F8"/>
          </w:tcPr>
          <w:p>
            <w:pPr>
              <w:keepNext/>
              <w:spacing w:after="0" w:line="247" w:lineRule="auto"/>
            </w:pPr>
            <w:r>
              <w:rPr>
                <w:b w:val="0"/>
                <w:sz w:val="20"/>
              </w:rPr>
              <w:t>Local dimensions</w:t>
            </w:r>
          </w:p>
        </w:tc>
        <w:tc>
          <w:tcPr>
            <w:tcW w:type="dxa" w:w="3816"/>
            <w:vAlign w:val="center"/>
            <w:tcMar>
              <w:top w:w="85" w:type="dxa"/>
              <w:bottom w:w="85" w:type="dxa"/>
              <w:left w:w="95" w:type="dxa"/>
              <w:right w:w="95" w:type="dxa"/>
            </w:tcMar>
            <w:shd w:fill="F2F5F8"/>
          </w:tcPr>
          <w:p>
            <w:pPr>
              <w:keepNext/>
              <w:spacing w:after="0" w:line="247" w:lineRule="auto"/>
            </w:pPr>
            <w:r>
              <w:rPr>
                <w:b w:val="0"/>
                <w:sz w:val="20"/>
              </w:rPr>
              <w:t>768</w:t>
            </w:r>
          </w:p>
        </w:tc>
        <w:tc>
          <w:tcPr>
            <w:tcW w:type="dxa" w:w="3888"/>
            <w:vAlign w:val="center"/>
            <w:tcMar>
              <w:top w:w="85" w:type="dxa"/>
              <w:bottom w:w="85" w:type="dxa"/>
              <w:left w:w="95" w:type="dxa"/>
              <w:right w:w="95" w:type="dxa"/>
            </w:tcMar>
            <w:shd w:fill="F2F5F8"/>
          </w:tcPr>
          <w:p>
            <w:pPr>
              <w:keepNext/>
              <w:spacing w:after="0" w:line="247" w:lineRule="auto"/>
            </w:pPr>
            <w:r>
              <w:rPr>
                <w:b w:val="0"/>
                <w:sz w:val="20"/>
              </w:rPr>
              <w:t>Must match the local index</w:t>
            </w:r>
          </w:p>
        </w:tc>
      </w:tr>
      <w:tr>
        <w:trPr>
          <w:cantSplit/>
        </w:trPr>
        <w:tc>
          <w:tcPr>
            <w:tcW w:type="dxa" w:w="2376"/>
            <w:vAlign w:val="center"/>
            <w:tcMar>
              <w:top w:w="85" w:type="dxa"/>
              <w:bottom w:w="85" w:type="dxa"/>
              <w:left w:w="95" w:type="dxa"/>
              <w:right w:w="95" w:type="dxa"/>
            </w:tcMar>
            <w:shd w:fill="FFFFFF"/>
          </w:tcPr>
          <w:p>
            <w:pPr>
              <w:keepNext/>
              <w:spacing w:after="0" w:line="247" w:lineRule="auto"/>
            </w:pPr>
            <w:r>
              <w:rPr>
                <w:b w:val="0"/>
                <w:sz w:val="20"/>
              </w:rPr>
              <w:t>AWS embedding target</w:t>
            </w:r>
          </w:p>
        </w:tc>
        <w:tc>
          <w:tcPr>
            <w:tcW w:type="dxa" w:w="3816"/>
            <w:vAlign w:val="center"/>
            <w:tcMar>
              <w:top w:w="85" w:type="dxa"/>
              <w:bottom w:w="85" w:type="dxa"/>
              <w:left w:w="95" w:type="dxa"/>
              <w:right w:w="95" w:type="dxa"/>
            </w:tcMar>
            <w:shd w:fill="FFFFFF"/>
          </w:tcPr>
          <w:p>
            <w:pPr>
              <w:keepNext/>
              <w:spacing w:after="0" w:line="247" w:lineRule="auto"/>
            </w:pPr>
            <w:r>
              <w:rPr>
                <w:b w:val="0"/>
                <w:sz w:val="20"/>
              </w:rPr>
              <w:t>Amazon Titan Text Embeddings v2</w:t>
            </w:r>
          </w:p>
        </w:tc>
        <w:tc>
          <w:tcPr>
            <w:tcW w:type="dxa" w:w="3888"/>
            <w:vAlign w:val="center"/>
            <w:tcMar>
              <w:top w:w="85" w:type="dxa"/>
              <w:bottom w:w="85" w:type="dxa"/>
              <w:left w:w="95" w:type="dxa"/>
              <w:right w:w="95" w:type="dxa"/>
            </w:tcMar>
            <w:shd w:fill="FFFFFF"/>
          </w:tcPr>
          <w:p>
            <w:pPr>
              <w:keepNext/>
              <w:spacing w:after="0" w:line="247" w:lineRule="auto"/>
            </w:pPr>
            <w:r>
              <w:rPr>
                <w:b w:val="0"/>
                <w:sz w:val="20"/>
              </w:rPr>
              <w:t>Creates text embeddings in AWS</w:t>
            </w:r>
          </w:p>
        </w:tc>
      </w:tr>
      <w:tr>
        <w:trPr>
          <w:cantSplit/>
        </w:trPr>
        <w:tc>
          <w:tcPr>
            <w:tcW w:type="dxa" w:w="2376"/>
            <w:vAlign w:val="center"/>
            <w:tcMar>
              <w:top w:w="85" w:type="dxa"/>
              <w:bottom w:w="85" w:type="dxa"/>
              <w:left w:w="95" w:type="dxa"/>
              <w:right w:w="95" w:type="dxa"/>
            </w:tcMar>
            <w:shd w:fill="F2F5F8"/>
          </w:tcPr>
          <w:p>
            <w:pPr>
              <w:spacing w:after="0" w:line="247" w:lineRule="auto"/>
            </w:pPr>
            <w:r>
              <w:rPr>
                <w:b w:val="0"/>
                <w:sz w:val="20"/>
              </w:rPr>
              <w:t>AWS dimensions</w:t>
            </w:r>
          </w:p>
        </w:tc>
        <w:tc>
          <w:tcPr>
            <w:tcW w:type="dxa" w:w="3816"/>
            <w:vAlign w:val="center"/>
            <w:tcMar>
              <w:top w:w="85" w:type="dxa"/>
              <w:bottom w:w="85" w:type="dxa"/>
              <w:left w:w="95" w:type="dxa"/>
              <w:right w:w="95" w:type="dxa"/>
            </w:tcMar>
            <w:shd w:fill="F2F5F8"/>
          </w:tcPr>
          <w:p>
            <w:pPr>
              <w:spacing w:after="0" w:line="247" w:lineRule="auto"/>
            </w:pPr>
            <w:r>
              <w:rPr>
                <w:b w:val="0"/>
                <w:sz w:val="20"/>
              </w:rPr>
              <w:t>Must match the DynamoDB index. Default 1,024 for Titan Text Embeddings v2.</w:t>
            </w:r>
          </w:p>
        </w:tc>
        <w:tc>
          <w:tcPr>
            <w:tcW w:type="dxa" w:w="3888"/>
            <w:vAlign w:val="center"/>
            <w:tcMar>
              <w:top w:w="85" w:type="dxa"/>
              <w:bottom w:w="85" w:type="dxa"/>
              <w:left w:w="95" w:type="dxa"/>
              <w:right w:w="95" w:type="dxa"/>
            </w:tcMar>
            <w:shd w:fill="F2F5F8"/>
          </w:tcPr>
          <w:p>
            <w:pPr>
              <w:spacing w:after="0" w:line="247" w:lineRule="auto"/>
            </w:pPr>
            <w:r>
              <w:rPr>
                <w:b w:val="0"/>
                <w:sz w:val="20"/>
              </w:rPr>
              <w:t>Confirm model request and index configuration</w:t>
            </w:r>
          </w:p>
        </w:tc>
      </w:tr>
    </w:tbl>
    <w:p>
      <w:pPr>
        <w:spacing w:after="40" w:before="0" w:line="240" w:lineRule="auto"/>
      </w:pPr>
      <w:r>
        <w:rPr>
          <w:sz w:val="4"/>
        </w:rPr>
      </w:r>
    </w:p>
    <w:p>
      <w:pPr>
        <w:widowControl/>
      </w:pPr>
      <w:r>
        <w:t>Pieces under 80 characters are dropped. The AWS index is a DynamoDB vector index named workspace-vectors, 1,024 dimensions by default for Amazon Titan Text Embeddings v2. SearchVectors runs when the table and SDK support it. Otherwise the engine queries the items and ranks them with local cosine. User and workspace filters apply on both paths.</w:t>
      </w:r>
    </w:p>
    <w:p>
      <w:pPr>
        <w:pStyle w:val="Heading2"/>
      </w:pPr>
      <w:r>
        <w:t>Spreadsheets and images</w:t>
      </w:r>
    </w:p>
    <w:p>
      <w:pPr>
        <w:keepLines/>
        <w:widowControl/>
      </w:pPr>
      <w:r>
        <w:t>Spreadsheet analysis does not send the grid to a model. The stored grid is scrubbed first, then limited to 2,000 rows and 40 columns. The operations are count, distinct, sum, average, minimum, and maximum, on one column, with an optional exact-value filter. Distinct returns at most 50 values.</w:t>
      </w:r>
    </w:p>
    <w:p>
      <w:pPr>
        <w:widowControl/>
      </w:pPr>
      <w:r>
        <w:t>Image interpretation and text embedding are separate steps. A vision model produces text, which is then scrubbed and embedded by the text embedding model. The raw image is sent to the vision provider before that scrub.</w:t>
      </w:r>
    </w:p>
    <w:p>
      <w:pPr>
        <w:widowControl/>
      </w:pPr>
      <w:r>
        <w:t>In chat, an image is forced to the Groq model meta-llama/llama-4-scout-17b-16e-instruct. During Knowledge ingest, a local installation uses Groq when a key exists, otherwise Bedrock Nova Lite when Bedrock is allowed. A hosted installation tries Bedrock first, then Groq. If neither is available, extraction fails and the image is not stored as a searchable stub.</w:t>
      </w:r>
    </w:p>
    <w:p>
      <w:pPr>
        <w:pStyle w:val="Heading1"/>
      </w:pPr>
      <w:r>
        <w:t>10 Memory and configurable AI settings</w:t>
      </w:r>
    </w:p>
    <w:p>
      <w:pPr>
        <w:keepLines/>
        <w:widowControl/>
      </w:pPr>
      <w:r>
        <w:t>Working context combines recent messages with a summary of earlier conversation. This lets the model continue a discussion without receiving every previous message in full. The summary is supplied as text; it need not be stored as an embedding.</w:t>
      </w:r>
    </w:p>
    <w:p>
      <w:pPr>
        <w:widowControl/>
      </w:pPr>
      <w:r>
        <w:t>A session summary is stored on the session and updated by the summarize route. Working context sent with a chat turn is recent messages plus that summary. The summary is text. It is not an embedding. Long-term facts are extracted from what the user wrote through that same route. Assistant replies are not stored as facts.</w:t>
      </w:r>
    </w:p>
    <w:p>
      <w:pPr>
        <w:widowControl/>
      </w:pPr>
      <w:r>
        <w:t>Long-term facts are described as being extracted from user-written content through the summarize route. Assistant replies are not described as durable facts. Facts remain separate from the document citation index.</w:t>
      </w:r>
    </w:p>
    <w:p>
      <w:pPr>
        <w:pStyle w:val="Heading2"/>
      </w:pPr>
      <w:r>
        <w:t>Memory controls and saved items</w:t>
      </w:r>
    </w:p>
    <w:p>
      <w:pPr>
        <w:keepLines/>
        <w:widowControl/>
      </w:pPr>
      <w:r>
        <w:t>The Memory screen can correct, pin, unpin, forget, restore, and delete a fact. Forget keeps the row and hides it from later chat. Restore clears that flag. Delete removes the row.</w:t>
      </w:r>
    </w:p>
    <w:p>
      <w:pPr>
        <w:widowControl/>
      </w:pPr>
      <w:r>
        <w:t>Saved items are conversation bookmarks. Selecting one scrolls to and highlights the message; removing one deletes the bookmark. A bookmark does not create a knowledge document or a long-term fact.</w:t>
      </w:r>
    </w:p>
    <w:p>
      <w:pPr>
        <w:pStyle w:val="Heading2"/>
      </w:pPr>
      <w:r>
        <w:t>Different settings control different stages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3816"/>
        <w:gridCol w:w="3888"/>
      </w:tblGrid>
      <w:tr>
        <w:trPr>
          <w:cantSplit/>
          <w:tblHeader/>
        </w:trPr>
        <w:tc>
          <w:tcPr>
            <w:tcW w:type="dxa" w:w="2376"/>
            <w:vAlign w:val="center"/>
            <w:tcMar>
              <w:top w:w="85" w:type="dxa"/>
              <w:bottom w:w="85" w:type="dxa"/>
              <w:left w:w="95" w:type="dxa"/>
              <w:right w:w="95" w:type="dxa"/>
            </w:tcMar>
            <w:shd w:fill="24384B"/>
          </w:tcPr>
          <w:p>
            <w:pPr>
              <w:keepNext/>
              <w:spacing w:after="0" w:line="247" w:lineRule="auto"/>
            </w:pPr>
            <w:r>
              <w:rPr>
                <w:b/>
                <w:color w:val="FFFFFF"/>
                <w:sz w:val="20"/>
              </w:rPr>
              <w:t>Setting</w:t>
            </w:r>
          </w:p>
        </w:tc>
        <w:tc>
          <w:tcPr>
            <w:tcW w:type="dxa" w:w="3816"/>
            <w:vAlign w:val="center"/>
            <w:tcMar>
              <w:top w:w="85" w:type="dxa"/>
              <w:bottom w:w="85" w:type="dxa"/>
              <w:left w:w="95" w:type="dxa"/>
              <w:right w:w="95" w:type="dxa"/>
            </w:tcMar>
            <w:shd w:fill="24384B"/>
          </w:tcPr>
          <w:p>
            <w:pPr>
              <w:keepNext/>
              <w:spacing w:after="0" w:line="247" w:lineRule="auto"/>
            </w:pPr>
            <w:r>
              <w:rPr>
                <w:b/>
                <w:color w:val="FFFFFF"/>
                <w:sz w:val="20"/>
              </w:rPr>
              <w:t>What it controls</w:t>
            </w:r>
          </w:p>
        </w:tc>
        <w:tc>
          <w:tcPr>
            <w:tcW w:type="dxa" w:w="3888"/>
            <w:vAlign w:val="center"/>
            <w:tcMar>
              <w:top w:w="85" w:type="dxa"/>
              <w:bottom w:w="85" w:type="dxa"/>
              <w:left w:w="95" w:type="dxa"/>
              <w:right w:w="95" w:type="dxa"/>
            </w:tcMar>
            <w:shd w:fill="24384B"/>
          </w:tcPr>
          <w:p>
            <w:pPr>
              <w:keepNext/>
              <w:spacing w:after="0" w:line="247" w:lineRule="auto"/>
            </w:pPr>
            <w:r>
              <w:rPr>
                <w:b/>
                <w:color w:val="FFFFFF"/>
                <w:sz w:val="20"/>
              </w:rPr>
              <w:t>Current status</w:t>
            </w:r>
          </w:p>
        </w:tc>
      </w:tr>
      <w:tr>
        <w:trPr>
          <w:cantSplit/>
        </w:trPr>
        <w:tc>
          <w:tcPr>
            <w:tcW w:type="dxa" w:w="2376"/>
            <w:vAlign w:val="center"/>
            <w:tcMar>
              <w:top w:w="85" w:type="dxa"/>
              <w:bottom w:w="85" w:type="dxa"/>
              <w:left w:w="95" w:type="dxa"/>
              <w:right w:w="95" w:type="dxa"/>
            </w:tcMar>
            <w:shd w:fill="FFFFFF"/>
          </w:tcPr>
          <w:p>
            <w:pPr>
              <w:spacing w:after="0" w:line="247" w:lineRule="auto"/>
            </w:pPr>
            <w:r>
              <w:rPr>
                <w:b w:val="0"/>
                <w:sz w:val="20"/>
              </w:rPr>
              <w:t>Complexity score</w:t>
            </w:r>
          </w:p>
        </w:tc>
        <w:tc>
          <w:tcPr>
            <w:tcW w:type="dxa" w:w="3816"/>
            <w:vAlign w:val="center"/>
            <w:tcMar>
              <w:top w:w="85" w:type="dxa"/>
              <w:bottom w:w="85" w:type="dxa"/>
              <w:left w:w="95" w:type="dxa"/>
              <w:right w:w="95" w:type="dxa"/>
            </w:tcMar>
            <w:shd w:fill="FFFFFF"/>
          </w:tcPr>
          <w:p>
            <w:pPr>
              <w:spacing w:after="0" w:line="247" w:lineRule="auto"/>
            </w:pPr>
            <w:r>
              <w:rPr>
                <w:b w:val="0"/>
                <w:sz w:val="20"/>
              </w:rPr>
              <w:t>Selection of a routing tier</w:t>
            </w:r>
          </w:p>
        </w:tc>
        <w:tc>
          <w:tcPr>
            <w:tcW w:type="dxa" w:w="3888"/>
            <w:vAlign w:val="center"/>
            <w:tcMar>
              <w:top w:w="85" w:type="dxa"/>
              <w:bottom w:w="85" w:type="dxa"/>
              <w:left w:w="95" w:type="dxa"/>
              <w:right w:w="95" w:type="dxa"/>
            </w:tcMar>
            <w:shd w:fill="FFFFFF"/>
          </w:tcPr>
          <w:p>
            <w:pPr>
              <w:spacing w:after="0" w:line="247" w:lineRule="auto"/>
            </w:pPr>
            <w:r>
              <w:rPr>
                <w:b w:val="0"/>
                <w:sz w:val="20"/>
              </w:rPr>
              <w:t>Documented in section 6</w:t>
            </w:r>
          </w:p>
        </w:tc>
      </w:tr>
      <w:tr>
        <w:trPr>
          <w:cantSplit/>
        </w:trPr>
        <w:tc>
          <w:tcPr>
            <w:tcW w:type="dxa" w:w="2376"/>
            <w:vAlign w:val="center"/>
            <w:tcMar>
              <w:top w:w="85" w:type="dxa"/>
              <w:bottom w:w="85" w:type="dxa"/>
              <w:left w:w="95" w:type="dxa"/>
              <w:right w:w="95" w:type="dxa"/>
            </w:tcMar>
            <w:shd w:fill="F2F5F8"/>
          </w:tcPr>
          <w:p>
            <w:pPr>
              <w:spacing w:after="0" w:line="247" w:lineRule="auto"/>
            </w:pPr>
            <w:r>
              <w:rPr>
                <w:b w:val="0"/>
                <w:sz w:val="20"/>
              </w:rPr>
              <w:t>Retrieval top-k</w:t>
            </w:r>
          </w:p>
        </w:tc>
        <w:tc>
          <w:tcPr>
            <w:tcW w:type="dxa" w:w="3816"/>
            <w:vAlign w:val="center"/>
            <w:tcMar>
              <w:top w:w="85" w:type="dxa"/>
              <w:bottom w:w="85" w:type="dxa"/>
              <w:left w:w="95" w:type="dxa"/>
              <w:right w:w="95" w:type="dxa"/>
            </w:tcMar>
            <w:shd w:fill="F2F5F8"/>
          </w:tcPr>
          <w:p>
            <w:pPr>
              <w:spacing w:after="0" w:line="247" w:lineRule="auto"/>
            </w:pPr>
            <w:r>
              <w:rPr>
                <w:b w:val="0"/>
                <w:sz w:val="20"/>
              </w:rPr>
              <w:t>Number of passages requested from search</w:t>
            </w:r>
          </w:p>
        </w:tc>
        <w:tc>
          <w:tcPr>
            <w:tcW w:type="dxa" w:w="3888"/>
            <w:vAlign w:val="center"/>
            <w:tcMar>
              <w:top w:w="85" w:type="dxa"/>
              <w:bottom w:w="85" w:type="dxa"/>
              <w:left w:w="95" w:type="dxa"/>
              <w:right w:w="95" w:type="dxa"/>
            </w:tcMar>
            <w:shd w:fill="F2F5F8"/>
          </w:tcPr>
          <w:p>
            <w:pPr>
              <w:spacing w:after="0" w:line="247" w:lineRule="auto"/>
            </w:pPr>
            <w:r>
              <w:rPr>
                <w:b w:val="0"/>
                <w:sz w:val="20"/>
              </w:rPr>
              <w:t>10 candidates, then the 0.5 similarity floor.</w:t>
            </w:r>
          </w:p>
        </w:tc>
      </w:tr>
      <w:tr>
        <w:trPr>
          <w:cantSplit/>
        </w:trPr>
        <w:tc>
          <w:tcPr>
            <w:tcW w:type="dxa" w:w="2376"/>
            <w:vAlign w:val="center"/>
            <w:tcMar>
              <w:top w:w="85" w:type="dxa"/>
              <w:bottom w:w="85" w:type="dxa"/>
              <w:left w:w="95" w:type="dxa"/>
              <w:right w:w="95" w:type="dxa"/>
            </w:tcMar>
            <w:shd w:fill="FFFFFF"/>
          </w:tcPr>
          <w:p>
            <w:pPr>
              <w:spacing w:after="0" w:line="247" w:lineRule="auto"/>
            </w:pPr>
            <w:r>
              <w:rPr>
                <w:b w:val="0"/>
                <w:sz w:val="20"/>
              </w:rPr>
              <w:t>Similarity threshold</w:t>
            </w:r>
          </w:p>
        </w:tc>
        <w:tc>
          <w:tcPr>
            <w:tcW w:type="dxa" w:w="3816"/>
            <w:vAlign w:val="center"/>
            <w:tcMar>
              <w:top w:w="85" w:type="dxa"/>
              <w:bottom w:w="85" w:type="dxa"/>
              <w:left w:w="95" w:type="dxa"/>
              <w:right w:w="95" w:type="dxa"/>
            </w:tcMar>
            <w:shd w:fill="FFFFFF"/>
          </w:tcPr>
          <w:p>
            <w:pPr>
              <w:spacing w:after="0" w:line="247" w:lineRule="auto"/>
            </w:pPr>
            <w:r>
              <w:rPr>
                <w:b w:val="0"/>
                <w:sz w:val="20"/>
              </w:rPr>
              <w:t>Relevance required for evidence</w:t>
            </w:r>
          </w:p>
        </w:tc>
        <w:tc>
          <w:tcPr>
            <w:tcW w:type="dxa" w:w="3888"/>
            <w:vAlign w:val="center"/>
            <w:tcMar>
              <w:top w:w="85" w:type="dxa"/>
              <w:bottom w:w="85" w:type="dxa"/>
              <w:left w:w="95" w:type="dxa"/>
              <w:right w:w="95" w:type="dxa"/>
            </w:tcMar>
            <w:shd w:fill="FFFFFF"/>
          </w:tcPr>
          <w:p>
            <w:pPr>
              <w:spacing w:after="0" w:line="247" w:lineRule="auto"/>
            </w:pPr>
            <w:r>
              <w:rPr>
                <w:b w:val="0"/>
                <w:sz w:val="20"/>
              </w:rPr>
              <w:t>0.5 similarity. Cosine distance is converted with one minus the distance.</w:t>
            </w:r>
          </w:p>
        </w:tc>
      </w:tr>
      <w:tr>
        <w:trPr>
          <w:cantSplit/>
        </w:trPr>
        <w:tc>
          <w:tcPr>
            <w:tcW w:type="dxa" w:w="2376"/>
            <w:vAlign w:val="center"/>
            <w:tcMar>
              <w:top w:w="85" w:type="dxa"/>
              <w:bottom w:w="85" w:type="dxa"/>
              <w:left w:w="95" w:type="dxa"/>
              <w:right w:w="95" w:type="dxa"/>
            </w:tcMar>
            <w:shd w:fill="F2F5F8"/>
          </w:tcPr>
          <w:p>
            <w:pPr>
              <w:spacing w:after="0" w:line="247" w:lineRule="auto"/>
            </w:pPr>
            <w:r>
              <w:rPr>
                <w:b w:val="0"/>
                <w:sz w:val="20"/>
              </w:rPr>
              <w:t>Chunk size and overlap</w:t>
            </w:r>
          </w:p>
        </w:tc>
        <w:tc>
          <w:tcPr>
            <w:tcW w:type="dxa" w:w="3816"/>
            <w:vAlign w:val="center"/>
            <w:tcMar>
              <w:top w:w="85" w:type="dxa"/>
              <w:bottom w:w="85" w:type="dxa"/>
              <w:left w:w="95" w:type="dxa"/>
              <w:right w:w="95" w:type="dxa"/>
            </w:tcMar>
            <w:shd w:fill="F2F5F8"/>
          </w:tcPr>
          <w:p>
            <w:pPr>
              <w:spacing w:after="0" w:line="247" w:lineRule="auto"/>
            </w:pPr>
            <w:r>
              <w:rPr>
                <w:b w:val="0"/>
                <w:sz w:val="20"/>
              </w:rPr>
              <w:t>How documents are split before embedding</w:t>
            </w:r>
          </w:p>
        </w:tc>
        <w:tc>
          <w:tcPr>
            <w:tcW w:type="dxa" w:w="3888"/>
            <w:vAlign w:val="center"/>
            <w:tcMar>
              <w:top w:w="85" w:type="dxa"/>
              <w:bottom w:w="85" w:type="dxa"/>
              <w:left w:w="95" w:type="dxa"/>
              <w:right w:w="95" w:type="dxa"/>
            </w:tcMar>
            <w:shd w:fill="F2F5F8"/>
          </w:tcPr>
          <w:p>
            <w:pPr>
              <w:spacing w:after="0" w:line="247" w:lineRule="auto"/>
            </w:pPr>
            <w:r>
              <w:rPr>
                <w:b w:val="0"/>
                <w:sz w:val="20"/>
              </w:rPr>
              <w:t>Documented in section 9</w:t>
            </w:r>
          </w:p>
        </w:tc>
      </w:tr>
      <w:tr>
        <w:trPr>
          <w:cantSplit/>
        </w:trPr>
        <w:tc>
          <w:tcPr>
            <w:tcW w:type="dxa" w:w="2376"/>
            <w:vAlign w:val="center"/>
            <w:tcMar>
              <w:top w:w="85" w:type="dxa"/>
              <w:bottom w:w="85" w:type="dxa"/>
              <w:left w:w="95" w:type="dxa"/>
              <w:right w:w="95" w:type="dxa"/>
            </w:tcMar>
            <w:shd w:fill="FFFFFF"/>
          </w:tcPr>
          <w:p>
            <w:pPr>
              <w:spacing w:after="0" w:line="247" w:lineRule="auto"/>
            </w:pPr>
            <w:r>
              <w:rPr>
                <w:b w:val="0"/>
                <w:sz w:val="20"/>
              </w:rPr>
              <w:t>Temperature</w:t>
            </w:r>
          </w:p>
        </w:tc>
        <w:tc>
          <w:tcPr>
            <w:tcW w:type="dxa" w:w="3816"/>
            <w:vAlign w:val="center"/>
            <w:tcMar>
              <w:top w:w="85" w:type="dxa"/>
              <w:bottom w:w="85" w:type="dxa"/>
              <w:left w:w="95" w:type="dxa"/>
              <w:right w:w="95" w:type="dxa"/>
            </w:tcMar>
            <w:shd w:fill="FFFFFF"/>
          </w:tcPr>
          <w:p>
            <w:pPr>
              <w:spacing w:after="0" w:line="247" w:lineRule="auto"/>
            </w:pPr>
            <w:r>
              <w:rPr>
                <w:b w:val="0"/>
                <w:sz w:val="20"/>
              </w:rPr>
              <w:t>Variation in generation</w:t>
            </w:r>
          </w:p>
        </w:tc>
        <w:tc>
          <w:tcPr>
            <w:tcW w:type="dxa" w:w="3888"/>
            <w:vAlign w:val="center"/>
            <w:tcMar>
              <w:top w:w="85" w:type="dxa"/>
              <w:bottom w:w="85" w:type="dxa"/>
              <w:left w:w="95" w:type="dxa"/>
              <w:right w:w="95" w:type="dxa"/>
            </w:tcMar>
            <w:shd w:fill="FFFFFF"/>
          </w:tcPr>
          <w:p>
            <w:pPr>
              <w:spacing w:after="0" w:line="247" w:lineRule="auto"/>
            </w:pPr>
            <w:r>
              <w:rPr>
                <w:b w:val="0"/>
                <w:sz w:val="20"/>
              </w:rPr>
              <w:t>Code constants. Chat on Groq, OpenAI, and xAI uses 0.8. The tie-break uses 0. Vision extraction uses 0.1.</w:t>
            </w:r>
          </w:p>
        </w:tc>
      </w:tr>
      <w:tr>
        <w:trPr>
          <w:cantSplit/>
        </w:trPr>
        <w:tc>
          <w:tcPr>
            <w:tcW w:type="dxa" w:w="2376"/>
            <w:vAlign w:val="center"/>
            <w:tcMar>
              <w:top w:w="85" w:type="dxa"/>
              <w:bottom w:w="85" w:type="dxa"/>
              <w:left w:w="95" w:type="dxa"/>
              <w:right w:w="95" w:type="dxa"/>
            </w:tcMar>
            <w:shd w:fill="F2F5F8"/>
          </w:tcPr>
          <w:p>
            <w:pPr>
              <w:keepNext/>
              <w:spacing w:after="0" w:line="247" w:lineRule="auto"/>
            </w:pPr>
            <w:r>
              <w:rPr>
                <w:b w:val="0"/>
                <w:sz w:val="20"/>
              </w:rPr>
              <w:t>Generation top-p</w:t>
            </w:r>
          </w:p>
        </w:tc>
        <w:tc>
          <w:tcPr>
            <w:tcW w:type="dxa" w:w="3816"/>
            <w:vAlign w:val="center"/>
            <w:tcMar>
              <w:top w:w="85" w:type="dxa"/>
              <w:bottom w:w="85" w:type="dxa"/>
              <w:left w:w="95" w:type="dxa"/>
              <w:right w:w="95" w:type="dxa"/>
            </w:tcMar>
            <w:shd w:fill="F2F5F8"/>
          </w:tcPr>
          <w:p>
            <w:pPr>
              <w:keepNext/>
              <w:spacing w:after="0" w:line="247" w:lineRule="auto"/>
            </w:pPr>
            <w:r>
              <w:rPr>
                <w:b w:val="0"/>
                <w:sz w:val="20"/>
              </w:rPr>
              <w:t>Probability mass considered during token selection</w:t>
            </w:r>
          </w:p>
        </w:tc>
        <w:tc>
          <w:tcPr>
            <w:tcW w:type="dxa" w:w="3888"/>
            <w:vAlign w:val="center"/>
            <w:tcMar>
              <w:top w:w="85" w:type="dxa"/>
              <w:bottom w:w="85" w:type="dxa"/>
              <w:left w:w="95" w:type="dxa"/>
              <w:right w:w="95" w:type="dxa"/>
            </w:tcMar>
            <w:shd w:fill="F2F5F8"/>
          </w:tcPr>
          <w:p>
            <w:pPr>
              <w:keepNext/>
              <w:spacing w:after="0" w:line="247" w:lineRule="auto"/>
            </w:pPr>
            <w:r>
              <w:rPr>
                <w:b w:val="0"/>
                <w:sz w:val="20"/>
              </w:rPr>
              <w:t>Not set on the chat providers.</w:t>
            </w:r>
          </w:p>
        </w:tc>
      </w:tr>
      <w:tr>
        <w:trPr>
          <w:cantSplit/>
        </w:trPr>
        <w:tc>
          <w:tcPr>
            <w:tcW w:type="dxa" w:w="2376"/>
            <w:vAlign w:val="center"/>
            <w:tcMar>
              <w:top w:w="85" w:type="dxa"/>
              <w:bottom w:w="85" w:type="dxa"/>
              <w:left w:w="95" w:type="dxa"/>
              <w:right w:w="95" w:type="dxa"/>
            </w:tcMar>
            <w:shd w:fill="FFFFFF"/>
          </w:tcPr>
          <w:p>
            <w:pPr>
              <w:keepNext/>
              <w:spacing w:after="0" w:line="247" w:lineRule="auto"/>
            </w:pPr>
            <w:r>
              <w:rPr>
                <w:b w:val="0"/>
                <w:sz w:val="20"/>
              </w:rPr>
              <w:t>Generation top-k</w:t>
            </w:r>
          </w:p>
        </w:tc>
        <w:tc>
          <w:tcPr>
            <w:tcW w:type="dxa" w:w="3816"/>
            <w:vAlign w:val="center"/>
            <w:tcMar>
              <w:top w:w="85" w:type="dxa"/>
              <w:bottom w:w="85" w:type="dxa"/>
              <w:left w:w="95" w:type="dxa"/>
              <w:right w:w="95" w:type="dxa"/>
            </w:tcMar>
            <w:shd w:fill="FFFFFF"/>
          </w:tcPr>
          <w:p>
            <w:pPr>
              <w:keepNext/>
              <w:spacing w:after="0" w:line="247" w:lineRule="auto"/>
            </w:pPr>
            <w:r>
              <w:rPr>
                <w:b w:val="0"/>
                <w:sz w:val="20"/>
              </w:rPr>
              <w:t>Candidate-token limit where supported</w:t>
            </w:r>
          </w:p>
        </w:tc>
        <w:tc>
          <w:tcPr>
            <w:tcW w:type="dxa" w:w="3888"/>
            <w:vAlign w:val="center"/>
            <w:tcMar>
              <w:top w:w="85" w:type="dxa"/>
              <w:bottom w:w="85" w:type="dxa"/>
              <w:left w:w="95" w:type="dxa"/>
              <w:right w:w="95" w:type="dxa"/>
            </w:tcMar>
            <w:shd w:fill="FFFFFF"/>
          </w:tcPr>
          <w:p>
            <w:pPr>
              <w:keepNext/>
              <w:spacing w:after="0" w:line="247" w:lineRule="auto"/>
            </w:pPr>
            <w:r>
              <w:rPr>
                <w:b w:val="0"/>
                <w:sz w:val="20"/>
              </w:rPr>
              <w:t>Not set. Retrieval uses a separate limit of 10 passages.</w:t>
            </w:r>
          </w:p>
        </w:tc>
      </w:tr>
      <w:tr>
        <w:trPr>
          <w:cantSplit/>
        </w:trPr>
        <w:tc>
          <w:tcPr>
            <w:tcW w:type="dxa" w:w="2376"/>
            <w:vAlign w:val="center"/>
            <w:tcMar>
              <w:top w:w="85" w:type="dxa"/>
              <w:bottom w:w="85" w:type="dxa"/>
              <w:left w:w="95" w:type="dxa"/>
              <w:right w:w="95" w:type="dxa"/>
            </w:tcMar>
            <w:shd w:fill="F2F5F8"/>
          </w:tcPr>
          <w:p>
            <w:pPr>
              <w:spacing w:after="0" w:line="247" w:lineRule="auto"/>
            </w:pPr>
            <w:r>
              <w:rPr>
                <w:b w:val="0"/>
                <w:sz w:val="20"/>
              </w:rPr>
              <w:t>Output token limit</w:t>
            </w:r>
          </w:p>
        </w:tc>
        <w:tc>
          <w:tcPr>
            <w:tcW w:type="dxa" w:w="3816"/>
            <w:vAlign w:val="center"/>
            <w:tcMar>
              <w:top w:w="85" w:type="dxa"/>
              <w:bottom w:w="85" w:type="dxa"/>
              <w:left w:w="95" w:type="dxa"/>
              <w:right w:w="95" w:type="dxa"/>
            </w:tcMar>
            <w:shd w:fill="F2F5F8"/>
          </w:tcPr>
          <w:p>
            <w:pPr>
              <w:spacing w:after="0" w:line="247" w:lineRule="auto"/>
            </w:pPr>
            <w:r>
              <w:rPr>
                <w:b w:val="0"/>
                <w:sz w:val="20"/>
              </w:rPr>
              <w:t>Maximum generated response length</w:t>
            </w:r>
          </w:p>
        </w:tc>
        <w:tc>
          <w:tcPr>
            <w:tcW w:type="dxa" w:w="3888"/>
            <w:vAlign w:val="center"/>
            <w:tcMar>
              <w:top w:w="85" w:type="dxa"/>
              <w:bottom w:w="85" w:type="dxa"/>
              <w:left w:w="95" w:type="dxa"/>
              <w:right w:w="95" w:type="dxa"/>
            </w:tcMar>
            <w:shd w:fill="F2F5F8"/>
          </w:tcPr>
          <w:p>
            <w:pPr>
              <w:spacing w:after="0" w:line="247" w:lineRule="auto"/>
            </w:pPr>
            <w:r>
              <w:rPr>
                <w:b w:val="0"/>
                <w:sz w:val="20"/>
              </w:rPr>
              <w:t>1,024 for Groq, OpenAI, xAI, and Ollama chat. 2,048 for vision extraction. 10 for the tie-break.</w:t>
            </w:r>
          </w:p>
        </w:tc>
      </w:tr>
    </w:tbl>
    <w:p>
      <w:pPr>
        <w:spacing w:after="40" w:before="0" w:line="240" w:lineRule="auto"/>
      </w:pPr>
      <w:r>
        <w:rPr>
          <w:sz w:val="4"/>
        </w:rPr>
      </w:r>
    </w:p>
    <w:p>
      <w:pPr>
        <w:keepLines/>
        <w:widowControl/>
      </w:pPr>
      <w:r>
        <w:t>The values in the table are constants in the application. They are not controls on the Settings screen. Chat on Groq, OpenAI, and xAI uses temperature 0.8 and a 1,024-token limit. Ollama chat uses a 1,024-token prediction limit. The tie-break uses temperature 0 and at most 10 tokens. Vision extraction uses temperature 0.1 and up to 2,048 tokens. No generation top-p or top-k is set. Changing chunk size or embedding dimensions would require reprocessing documents. The interface does not expose that change.</w:t>
      </w:r>
    </w:p>
    <w:p>
      <w:pPr>
        <w:widowControl/>
      </w:pPr>
      <w:r>
        <w:t>Workspace limits and a locally hosted Whisper are not part of the application. Voice uses Groq Whisper or Amazon Transcribe.</w:t>
      </w:r>
    </w:p>
    <w:p>
      <w:pPr>
        <w:pStyle w:val="Heading1"/>
      </w:pPr>
      <w:r>
        <w:t>11 Voice and transcription</w:t>
      </w:r>
    </w:p>
    <w:p>
      <w:pPr>
        <w:keepLines/>
        <w:widowControl/>
      </w:pPr>
      <w:r>
        <w:t>Voice remains disabled until the operator configures a backend. The existing guide identifies Groq-hosted Whisper and Amazon Transcribe. A self-hosted Whisper option is under consideration and should not be presented as already implemented.</w:t>
      </w:r>
    </w:p>
    <w:p>
      <w:pPr>
        <w:widowControl/>
      </w:pPr>
      <w:r>
        <w:t>The browser captures microphone audio. A hosted transcription service processes that audio and returns text for the composer. Detection then reviews the transcript when it is sent, as it would typed text. Because audio reaches the transcription service first, text redaction does not protect the original audio before that transfer.</w:t>
      </w:r>
    </w:p>
    <w:p>
      <w:pPr>
        <w:widowControl/>
      </w:pPr>
      <w:r>
        <w:t>Groq Whisper is described as receiving audio uploads, including chunks used for a growing preview. Amazon Transcribe is described as providing a streaming path. Live text and a final transcription can differ.</w:t>
      </w:r>
    </w:p>
    <w:p>
      <w:pPr>
        <w:pStyle w:val="Heading2"/>
      </w:pPr>
      <w:r>
        <w:t>Browser connection and AWS processing</w:t>
      </w:r>
    </w:p>
    <w:p>
      <w:pPr>
        <w:keepLines/>
        <w:widowControl/>
      </w:pPr>
      <w:r>
        <w:t>A browser can stream audio directly to Transcribe over an authorized connection, or the application can relay it through a backend. In either case, AWS performs the transcription. “Streaming in the browser” does not mean the speech-recognition model runs on the user's device.</w:t>
      </w:r>
    </w:p>
    <w:p>
      <w:pPr>
        <w:widowControl/>
      </w:pPr>
      <w:r>
        <w:t>Amazon Transcribe runs in AWS. The application relays audio through the backend. It does not run a speech model on the user’s device. The call uses StartStreamTranscription, withRealAwsEndpoints(), and the same billable-AWS gate as Bedrock. The hosted role needs transcribe:StartStreamTranscription. Live preview text and the final transcript can differ.</w:t>
      </w:r>
    </w:p>
    <w:p>
      <w:pPr>
        <w:widowControl/>
      </w:pPr>
      <w:r>
        <w:t>Enabling Transcribe uses the operator’s AWS account and can incur charges. Those charges are not part of the inference estimate or the monthly cap. The waveform is not stored as the chat message. The transcript is inserted into the composer, and detection runs when that text is sent.</w:t>
      </w:r>
    </w:p>
    <w:p>
      <w:pPr>
        <w:pStyle w:val="Heading1"/>
      </w:pPr>
      <w:r>
        <w:t>12 Cost estimates and monthly limits</w:t>
      </w:r>
    </w:p>
    <w:p>
      <w:pPr>
        <w:keepLines/>
        <w:widowControl/>
      </w:pPr>
      <w:r>
        <w:t>Cost estimates translate recorded token usage into an approximate charge. They support comparisons, reporting, and application-level spending limits. They do not query the provider's invoice or include all infrastructure, local hardware, storage, or transcription costs.</w:t>
      </w:r>
    </w:p>
    <w:p>
      <w:pPr>
        <w:pStyle w:val="Heading2"/>
      </w:pPr>
      <w:r>
        <w:t>Calculation</w:t>
      </w:r>
    </w:p>
    <w:p>
      <w:pPr>
        <w:keepLines/>
        <w:widowControl/>
      </w:pPr>
      <w:r>
        <w:t>Rates are expressed in USD per million tokens. Multiply input tokens by the input rate, add output tokens multiplied by the output rate, and divide the total by 1,000,000. This produces the raw inference estimate.</w:t>
      </w:r>
    </w:p>
    <w:p>
      <w:pPr>
        <w:widowControl/>
      </w:pPr>
      <w:r>
        <w:t>The documented estimator first uses an administrator's model-rate override where available, otherwise a maintained provider table, otherwise a fallback rate. For non-local calls, it adds 10 percent and rounds upward to the next $0.0001. Rate overrides apply to new events; they do not rewrite stored history.</w:t>
      </w:r>
    </w:p>
    <w:p>
      <w:pPr>
        <w:widowControl/>
      </w:pPr>
      <w:r>
        <w:t>Ollama is recorded as $0 in provider inference cost. This represents no metered vendor charge in that estimate, not free hardware or electricity.</w:t>
      </w:r>
    </w:p>
    <w:p>
      <w:pPr>
        <w:widowControl/>
      </w:pPr>
      <w:r>
        <w:t>An unknown cloud model uses input and output rates of $0.59 and $0.79 per million tokens, the Max Groq list rate, and the event is stored as a normal priced estimate. There is no separate missing-rate flag. That fallback is not an upper bound. A model that costs more than those rates is underestimated.</w:t>
      </w:r>
    </w:p>
    <w:p>
      <w:pPr>
        <w:pStyle w:val="Heading2"/>
      </w:pPr>
      <w:r>
        <w:t>Worked example</w:t>
      </w:r>
    </w:p>
    <w:p>
      <w:pPr>
        <w:keepLines/>
        <w:widowControl/>
      </w:pPr>
      <w:r>
        <w:t>The example below uses illustrative rates to explain the arithmetic. It does not prescribe a provider, model assignment, or current vendor price. Both calculations use 1,000 input tokens and 500 output tokens.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464"/>
        <w:gridCol w:w="2808"/>
        <w:gridCol w:w="2808"/>
      </w:tblGrid>
      <w:tr>
        <w:trPr>
          <w:cantSplit/>
          <w:tblHeader/>
        </w:trPr>
        <w:tc>
          <w:tcPr>
            <w:tcW w:type="dxa" w:w="4464"/>
            <w:vAlign w:val="center"/>
            <w:tcMar>
              <w:top w:w="85" w:type="dxa"/>
              <w:bottom w:w="85" w:type="dxa"/>
              <w:left w:w="95" w:type="dxa"/>
              <w:right w:w="95" w:type="dxa"/>
            </w:tcMar>
            <w:shd w:fill="24384B"/>
          </w:tcPr>
          <w:p>
            <w:pPr>
              <w:keepNext/>
              <w:spacing w:after="0" w:line="247" w:lineRule="auto"/>
            </w:pPr>
            <w:r>
              <w:rPr>
                <w:b/>
                <w:color w:val="FFFFFF"/>
                <w:sz w:val="20"/>
              </w:rPr>
              <w:t>Calculation</w:t>
            </w:r>
          </w:p>
        </w:tc>
        <w:tc>
          <w:tcPr>
            <w:tcW w:type="dxa" w:w="2808"/>
            <w:vAlign w:val="center"/>
            <w:tcMar>
              <w:top w:w="85" w:type="dxa"/>
              <w:bottom w:w="85" w:type="dxa"/>
              <w:left w:w="95" w:type="dxa"/>
              <w:right w:w="95" w:type="dxa"/>
            </w:tcMar>
            <w:shd w:fill="24384B"/>
          </w:tcPr>
          <w:p>
            <w:pPr>
              <w:keepNext/>
              <w:spacing w:after="0" w:line="247" w:lineRule="auto"/>
            </w:pPr>
            <w:r>
              <w:rPr>
                <w:b/>
                <w:color w:val="FFFFFF"/>
                <w:sz w:val="20"/>
              </w:rPr>
              <w:t>Selected model</w:t>
            </w:r>
          </w:p>
        </w:tc>
        <w:tc>
          <w:tcPr>
            <w:tcW w:type="dxa" w:w="2808"/>
            <w:vAlign w:val="center"/>
            <w:tcMar>
              <w:top w:w="85" w:type="dxa"/>
              <w:bottom w:w="85" w:type="dxa"/>
              <w:left w:w="95" w:type="dxa"/>
              <w:right w:w="95" w:type="dxa"/>
            </w:tcMar>
            <w:shd w:fill="24384B"/>
          </w:tcPr>
          <w:p>
            <w:pPr>
              <w:keepNext/>
              <w:spacing w:after="0" w:line="247" w:lineRule="auto"/>
            </w:pPr>
            <w:r>
              <w:rPr>
                <w:b/>
                <w:color w:val="FFFFFF"/>
                <w:sz w:val="20"/>
              </w:rPr>
              <w:t>Comparison baseline</w:t>
            </w:r>
          </w:p>
        </w:tc>
      </w:tr>
      <w:tr>
        <w:trPr>
          <w:cantSplit/>
        </w:trPr>
        <w:tc>
          <w:tcPr>
            <w:tcW w:type="dxa" w:w="4464"/>
            <w:vAlign w:val="center"/>
            <w:tcMar>
              <w:top w:w="85" w:type="dxa"/>
              <w:bottom w:w="85" w:type="dxa"/>
              <w:left w:w="95" w:type="dxa"/>
              <w:right w:w="95" w:type="dxa"/>
            </w:tcMar>
            <w:shd w:fill="FFFFFF"/>
          </w:tcPr>
          <w:p>
            <w:pPr>
              <w:spacing w:after="0" w:line="247" w:lineRule="auto"/>
            </w:pPr>
            <w:r>
              <w:rPr>
                <w:b w:val="0"/>
                <w:sz w:val="20"/>
              </w:rPr>
              <w:t>Input rate per million tokens</w:t>
            </w:r>
          </w:p>
        </w:tc>
        <w:tc>
          <w:tcPr>
            <w:tcW w:type="dxa" w:w="2808"/>
            <w:vAlign w:val="center"/>
            <w:tcMar>
              <w:top w:w="85" w:type="dxa"/>
              <w:bottom w:w="85" w:type="dxa"/>
              <w:left w:w="95" w:type="dxa"/>
              <w:right w:w="95" w:type="dxa"/>
            </w:tcMar>
            <w:shd w:fill="FFFFFF"/>
          </w:tcPr>
          <w:p>
            <w:pPr>
              <w:spacing w:after="0" w:line="247" w:lineRule="auto"/>
            </w:pPr>
            <w:r>
              <w:rPr>
                <w:b w:val="0"/>
                <w:sz w:val="20"/>
              </w:rPr>
              <w:t>$0.15</w:t>
            </w:r>
          </w:p>
        </w:tc>
        <w:tc>
          <w:tcPr>
            <w:tcW w:type="dxa" w:w="2808"/>
            <w:vAlign w:val="center"/>
            <w:tcMar>
              <w:top w:w="85" w:type="dxa"/>
              <w:bottom w:w="85" w:type="dxa"/>
              <w:left w:w="95" w:type="dxa"/>
              <w:right w:w="95" w:type="dxa"/>
            </w:tcMar>
            <w:shd w:fill="FFFFFF"/>
          </w:tcPr>
          <w:p>
            <w:pPr>
              <w:spacing w:after="0" w:line="247" w:lineRule="auto"/>
            </w:pPr>
            <w:r>
              <w:rPr>
                <w:b w:val="0"/>
                <w:sz w:val="20"/>
              </w:rPr>
              <w:t>$0.59</w:t>
            </w:r>
          </w:p>
        </w:tc>
      </w:tr>
      <w:tr>
        <w:trPr>
          <w:cantSplit/>
        </w:trPr>
        <w:tc>
          <w:tcPr>
            <w:tcW w:type="dxa" w:w="4464"/>
            <w:vAlign w:val="center"/>
            <w:tcMar>
              <w:top w:w="85" w:type="dxa"/>
              <w:bottom w:w="85" w:type="dxa"/>
              <w:left w:w="95" w:type="dxa"/>
              <w:right w:w="95" w:type="dxa"/>
            </w:tcMar>
            <w:shd w:fill="F2F5F8"/>
          </w:tcPr>
          <w:p>
            <w:pPr>
              <w:spacing w:after="0" w:line="247" w:lineRule="auto"/>
            </w:pPr>
            <w:r>
              <w:rPr>
                <w:b w:val="0"/>
                <w:sz w:val="20"/>
              </w:rPr>
              <w:t>Output rate per million tokens</w:t>
            </w:r>
          </w:p>
        </w:tc>
        <w:tc>
          <w:tcPr>
            <w:tcW w:type="dxa" w:w="2808"/>
            <w:vAlign w:val="center"/>
            <w:tcMar>
              <w:top w:w="85" w:type="dxa"/>
              <w:bottom w:w="85" w:type="dxa"/>
              <w:left w:w="95" w:type="dxa"/>
              <w:right w:w="95" w:type="dxa"/>
            </w:tcMar>
            <w:shd w:fill="F2F5F8"/>
          </w:tcPr>
          <w:p>
            <w:pPr>
              <w:spacing w:after="0" w:line="247" w:lineRule="auto"/>
            </w:pPr>
            <w:r>
              <w:rPr>
                <w:b w:val="0"/>
                <w:sz w:val="20"/>
              </w:rPr>
              <w:t>$0.60</w:t>
            </w:r>
          </w:p>
        </w:tc>
        <w:tc>
          <w:tcPr>
            <w:tcW w:type="dxa" w:w="2808"/>
            <w:vAlign w:val="center"/>
            <w:tcMar>
              <w:top w:w="85" w:type="dxa"/>
              <w:bottom w:w="85" w:type="dxa"/>
              <w:left w:w="95" w:type="dxa"/>
              <w:right w:w="95" w:type="dxa"/>
            </w:tcMar>
            <w:shd w:fill="F2F5F8"/>
          </w:tcPr>
          <w:p>
            <w:pPr>
              <w:spacing w:after="0" w:line="247" w:lineRule="auto"/>
            </w:pPr>
            <w:r>
              <w:rPr>
                <w:b w:val="0"/>
                <w:sz w:val="20"/>
              </w:rPr>
              <w:t>$0.79</w:t>
            </w:r>
          </w:p>
        </w:tc>
      </w:tr>
      <w:tr>
        <w:trPr>
          <w:cantSplit/>
        </w:trPr>
        <w:tc>
          <w:tcPr>
            <w:tcW w:type="dxa" w:w="4464"/>
            <w:vAlign w:val="center"/>
            <w:tcMar>
              <w:top w:w="85" w:type="dxa"/>
              <w:bottom w:w="85" w:type="dxa"/>
              <w:left w:w="95" w:type="dxa"/>
              <w:right w:w="95" w:type="dxa"/>
            </w:tcMar>
            <w:shd w:fill="FFFFFF"/>
          </w:tcPr>
          <w:p>
            <w:pPr>
              <w:keepNext/>
              <w:spacing w:after="0" w:line="247" w:lineRule="auto"/>
            </w:pPr>
            <w:r>
              <w:rPr>
                <w:b w:val="0"/>
                <w:sz w:val="20"/>
              </w:rPr>
              <w:t>Raw cost</w:t>
            </w:r>
          </w:p>
        </w:tc>
        <w:tc>
          <w:tcPr>
            <w:tcW w:type="dxa" w:w="2808"/>
            <w:vAlign w:val="center"/>
            <w:tcMar>
              <w:top w:w="85" w:type="dxa"/>
              <w:bottom w:w="85" w:type="dxa"/>
              <w:left w:w="95" w:type="dxa"/>
              <w:right w:w="95" w:type="dxa"/>
            </w:tcMar>
            <w:shd w:fill="FFFFFF"/>
          </w:tcPr>
          <w:p>
            <w:pPr>
              <w:keepNext/>
              <w:spacing w:after="0" w:line="247" w:lineRule="auto"/>
            </w:pPr>
            <w:r>
              <w:rPr>
                <w:b w:val="0"/>
                <w:sz w:val="20"/>
              </w:rPr>
              <w:t>$0.000450</w:t>
            </w:r>
          </w:p>
        </w:tc>
        <w:tc>
          <w:tcPr>
            <w:tcW w:type="dxa" w:w="2808"/>
            <w:vAlign w:val="center"/>
            <w:tcMar>
              <w:top w:w="85" w:type="dxa"/>
              <w:bottom w:w="85" w:type="dxa"/>
              <w:left w:w="95" w:type="dxa"/>
              <w:right w:w="95" w:type="dxa"/>
            </w:tcMar>
            <w:shd w:fill="FFFFFF"/>
          </w:tcPr>
          <w:p>
            <w:pPr>
              <w:keepNext/>
              <w:spacing w:after="0" w:line="247" w:lineRule="auto"/>
            </w:pPr>
            <w:r>
              <w:rPr>
                <w:b w:val="0"/>
                <w:sz w:val="20"/>
              </w:rPr>
              <w:t>$0.000985</w:t>
            </w:r>
          </w:p>
        </w:tc>
      </w:tr>
      <w:tr>
        <w:trPr>
          <w:cantSplit/>
        </w:trPr>
        <w:tc>
          <w:tcPr>
            <w:tcW w:type="dxa" w:w="4464"/>
            <w:vAlign w:val="center"/>
            <w:tcMar>
              <w:top w:w="85" w:type="dxa"/>
              <w:bottom w:w="85" w:type="dxa"/>
              <w:left w:w="95" w:type="dxa"/>
              <w:right w:w="95" w:type="dxa"/>
            </w:tcMar>
            <w:shd w:fill="F2F5F8"/>
          </w:tcPr>
          <w:p>
            <w:pPr>
              <w:keepNext/>
              <w:spacing w:after="0" w:line="247" w:lineRule="auto"/>
            </w:pPr>
            <w:r>
              <w:rPr>
                <w:b w:val="0"/>
                <w:sz w:val="20"/>
              </w:rPr>
              <w:t>After 10 percent uplift</w:t>
            </w:r>
          </w:p>
        </w:tc>
        <w:tc>
          <w:tcPr>
            <w:tcW w:type="dxa" w:w="2808"/>
            <w:vAlign w:val="center"/>
            <w:tcMar>
              <w:top w:w="85" w:type="dxa"/>
              <w:bottom w:w="85" w:type="dxa"/>
              <w:left w:w="95" w:type="dxa"/>
              <w:right w:w="95" w:type="dxa"/>
            </w:tcMar>
            <w:shd w:fill="F2F5F8"/>
          </w:tcPr>
          <w:p>
            <w:pPr>
              <w:keepNext/>
              <w:spacing w:after="0" w:line="247" w:lineRule="auto"/>
            </w:pPr>
            <w:r>
              <w:rPr>
                <w:b w:val="0"/>
                <w:sz w:val="20"/>
              </w:rPr>
              <w:t>$0.000495</w:t>
            </w:r>
          </w:p>
        </w:tc>
        <w:tc>
          <w:tcPr>
            <w:tcW w:type="dxa" w:w="2808"/>
            <w:vAlign w:val="center"/>
            <w:tcMar>
              <w:top w:w="85" w:type="dxa"/>
              <w:bottom w:w="85" w:type="dxa"/>
              <w:left w:w="95" w:type="dxa"/>
              <w:right w:w="95" w:type="dxa"/>
            </w:tcMar>
            <w:shd w:fill="F2F5F8"/>
          </w:tcPr>
          <w:p>
            <w:pPr>
              <w:keepNext/>
              <w:spacing w:after="0" w:line="247" w:lineRule="auto"/>
            </w:pPr>
            <w:r>
              <w:rPr>
                <w:b w:val="0"/>
                <w:sz w:val="20"/>
              </w:rPr>
              <w:t>$0.0010835</w:t>
            </w:r>
          </w:p>
        </w:tc>
      </w:tr>
      <w:tr>
        <w:trPr>
          <w:cantSplit/>
        </w:trPr>
        <w:tc>
          <w:tcPr>
            <w:tcW w:type="dxa" w:w="4464"/>
            <w:vAlign w:val="center"/>
            <w:tcMar>
              <w:top w:w="85" w:type="dxa"/>
              <w:bottom w:w="85" w:type="dxa"/>
              <w:left w:w="95" w:type="dxa"/>
              <w:right w:w="95" w:type="dxa"/>
            </w:tcMar>
            <w:shd w:fill="FFFFFF"/>
          </w:tcPr>
          <w:p>
            <w:pPr>
              <w:spacing w:after="0" w:line="247" w:lineRule="auto"/>
            </w:pPr>
            <w:r>
              <w:rPr>
                <w:b w:val="0"/>
                <w:sz w:val="20"/>
              </w:rPr>
              <w:t>After rounding upward</w:t>
            </w:r>
          </w:p>
        </w:tc>
        <w:tc>
          <w:tcPr>
            <w:tcW w:type="dxa" w:w="2808"/>
            <w:vAlign w:val="center"/>
            <w:tcMar>
              <w:top w:w="85" w:type="dxa"/>
              <w:bottom w:w="85" w:type="dxa"/>
              <w:left w:w="95" w:type="dxa"/>
              <w:right w:w="95" w:type="dxa"/>
            </w:tcMar>
            <w:shd w:fill="FFFFFF"/>
          </w:tcPr>
          <w:p>
            <w:pPr>
              <w:spacing w:after="0" w:line="247" w:lineRule="auto"/>
            </w:pPr>
            <w:r>
              <w:rPr>
                <w:b w:val="0"/>
                <w:sz w:val="20"/>
              </w:rPr>
              <w:t>$0.0005</w:t>
            </w:r>
          </w:p>
        </w:tc>
        <w:tc>
          <w:tcPr>
            <w:tcW w:type="dxa" w:w="2808"/>
            <w:vAlign w:val="center"/>
            <w:tcMar>
              <w:top w:w="85" w:type="dxa"/>
              <w:bottom w:w="85" w:type="dxa"/>
              <w:left w:w="95" w:type="dxa"/>
              <w:right w:w="95" w:type="dxa"/>
            </w:tcMar>
            <w:shd w:fill="FFFFFF"/>
          </w:tcPr>
          <w:p>
            <w:pPr>
              <w:spacing w:after="0" w:line="247" w:lineRule="auto"/>
            </w:pPr>
            <w:r>
              <w:rPr>
                <w:b w:val="0"/>
                <w:sz w:val="20"/>
              </w:rPr>
              <w:t>$0.0011</w:t>
            </w:r>
          </w:p>
        </w:tc>
      </w:tr>
    </w:tbl>
    <w:p>
      <w:pPr>
        <w:spacing w:after="40" w:before="0" w:line="240" w:lineRule="auto"/>
      </w:pPr>
      <w:r>
        <w:rPr>
          <w:sz w:val="4"/>
        </w:rPr>
      </w:r>
    </w:p>
    <w:p>
      <w:pPr>
        <w:widowControl/>
      </w:pPr>
      <w:r>
        <w:t>The difference is $0.0006 for this example. A baseline is a comparison model, separate from the chat model and the fallback model. It estimates what those token counts would cost at the baseline's rates; it is not a measurement of an actual alternative response.</w:t>
      </w:r>
    </w:p>
    <w:p>
      <w:pPr>
        <w:widowControl/>
      </w:pPr>
      <w:r>
        <w:t>The comparison baseline is fixed as llama-3.3-70b-versatile. It does not follow a different model assigned to Max, and the interface does not offer a choice of baseline. Savings are the uplifted baseline minus the uplifted actual estimate, and the result is never below zero. Stored events are not recalculated when rates change.</w:t>
      </w:r>
    </w:p>
    <w:p>
      <w:pPr>
        <w:pStyle w:val="Heading2"/>
      </w:pPr>
      <w:r>
        <w:t>Monthly cap behaviour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6768"/>
      </w:tblGrid>
      <w:tr>
        <w:trPr>
          <w:cantSplit/>
          <w:tblHeader/>
        </w:trPr>
        <w:tc>
          <w:tcPr>
            <w:tcW w:type="dxa" w:w="3312"/>
            <w:vAlign w:val="center"/>
            <w:tcMar>
              <w:top w:w="85" w:type="dxa"/>
              <w:bottom w:w="85" w:type="dxa"/>
              <w:left w:w="95" w:type="dxa"/>
              <w:right w:w="95" w:type="dxa"/>
            </w:tcMar>
            <w:shd w:fill="24384B"/>
          </w:tcPr>
          <w:p>
            <w:pPr>
              <w:keepNext/>
              <w:spacing w:after="0" w:line="247" w:lineRule="auto"/>
            </w:pPr>
            <w:r>
              <w:rPr>
                <w:b/>
                <w:color w:val="FFFFFF"/>
                <w:sz w:val="20"/>
              </w:rPr>
              <w:t>Rule</w:t>
            </w:r>
          </w:p>
        </w:tc>
        <w:tc>
          <w:tcPr>
            <w:tcW w:type="dxa" w:w="6768"/>
            <w:vAlign w:val="center"/>
            <w:tcMar>
              <w:top w:w="85" w:type="dxa"/>
              <w:bottom w:w="85" w:type="dxa"/>
              <w:left w:w="95" w:type="dxa"/>
              <w:right w:w="95" w:type="dxa"/>
            </w:tcMar>
            <w:shd w:fill="24384B"/>
          </w:tcPr>
          <w:p>
            <w:pPr>
              <w:keepNext/>
              <w:spacing w:after="0" w:line="247" w:lineRule="auto"/>
            </w:pPr>
            <w:r>
              <w:rPr>
                <w:b/>
                <w:color w:val="FFFFFF"/>
                <w:sz w:val="20"/>
              </w:rPr>
              <w:t>Documented behaviour</w:t>
            </w:r>
          </w:p>
        </w:tc>
      </w:tr>
      <w:tr>
        <w:trPr>
          <w:cantSplit/>
        </w:trPr>
        <w:tc>
          <w:tcPr>
            <w:tcW w:type="dxa" w:w="3312"/>
            <w:vAlign w:val="center"/>
            <w:tcMar>
              <w:top w:w="85" w:type="dxa"/>
              <w:bottom w:w="85" w:type="dxa"/>
              <w:left w:w="95" w:type="dxa"/>
              <w:right w:w="95" w:type="dxa"/>
            </w:tcMar>
            <w:shd w:fill="FFFFFF"/>
          </w:tcPr>
          <w:p>
            <w:pPr>
              <w:spacing w:after="0" w:line="247" w:lineRule="auto"/>
            </w:pPr>
            <w:r>
              <w:rPr>
                <w:b w:val="0"/>
                <w:sz w:val="20"/>
              </w:rPr>
              <w:t>Scope</w:t>
            </w:r>
          </w:p>
        </w:tc>
        <w:tc>
          <w:tcPr>
            <w:tcW w:type="dxa" w:w="6768"/>
            <w:vAlign w:val="center"/>
            <w:tcMar>
              <w:top w:w="85" w:type="dxa"/>
              <w:bottom w:w="85" w:type="dxa"/>
              <w:left w:w="95" w:type="dxa"/>
              <w:right w:w="95" w:type="dxa"/>
            </w:tcMar>
            <w:shd w:fill="FFFFFF"/>
          </w:tcPr>
          <w:p>
            <w:pPr>
              <w:spacing w:after="0" w:line="247" w:lineRule="auto"/>
            </w:pPr>
            <w:r>
              <w:rPr>
                <w:b w:val="0"/>
                <w:sz w:val="20"/>
              </w:rPr>
              <w:t>Per user, summed from stored inference estimates</w:t>
            </w:r>
          </w:p>
        </w:tc>
      </w:tr>
      <w:tr>
        <w:trPr>
          <w:cantSplit/>
        </w:trPr>
        <w:tc>
          <w:tcPr>
            <w:tcW w:type="dxa" w:w="3312"/>
            <w:vAlign w:val="center"/>
            <w:tcMar>
              <w:top w:w="85" w:type="dxa"/>
              <w:bottom w:w="85" w:type="dxa"/>
              <w:left w:w="95" w:type="dxa"/>
              <w:right w:w="95" w:type="dxa"/>
            </w:tcMar>
            <w:shd w:fill="F2F5F8"/>
          </w:tcPr>
          <w:p>
            <w:pPr>
              <w:spacing w:after="0" w:line="247" w:lineRule="auto"/>
            </w:pPr>
            <w:r>
              <w:rPr>
                <w:b w:val="0"/>
                <w:sz w:val="20"/>
              </w:rPr>
              <w:t>Period</w:t>
            </w:r>
          </w:p>
        </w:tc>
        <w:tc>
          <w:tcPr>
            <w:tcW w:type="dxa" w:w="6768"/>
            <w:vAlign w:val="center"/>
            <w:tcMar>
              <w:top w:w="85" w:type="dxa"/>
              <w:bottom w:w="85" w:type="dxa"/>
              <w:left w:w="95" w:type="dxa"/>
              <w:right w:w="95" w:type="dxa"/>
            </w:tcMar>
            <w:shd w:fill="F2F5F8"/>
          </w:tcPr>
          <w:p>
            <w:pPr>
              <w:spacing w:after="0" w:line="247" w:lineRule="auto"/>
            </w:pPr>
            <w:r>
              <w:rPr>
                <w:b w:val="0"/>
                <w:sz w:val="20"/>
              </w:rPr>
              <w:t>Current UTC calendar month, starting at 00:00 UTC on day one</w:t>
            </w:r>
          </w:p>
        </w:tc>
      </w:tr>
      <w:tr>
        <w:trPr>
          <w:cantSplit/>
        </w:trPr>
        <w:tc>
          <w:tcPr>
            <w:tcW w:type="dxa" w:w="3312"/>
            <w:vAlign w:val="center"/>
            <w:tcMar>
              <w:top w:w="85" w:type="dxa"/>
              <w:bottom w:w="85" w:type="dxa"/>
              <w:left w:w="95" w:type="dxa"/>
              <w:right w:w="95" w:type="dxa"/>
            </w:tcMar>
            <w:shd w:fill="FFFFFF"/>
          </w:tcPr>
          <w:p>
            <w:pPr>
              <w:spacing w:after="0" w:line="247" w:lineRule="auto"/>
            </w:pPr>
            <w:r>
              <w:rPr>
                <w:b w:val="0"/>
                <w:sz w:val="20"/>
              </w:rPr>
              <w:t>Default</w:t>
            </w:r>
          </w:p>
        </w:tc>
        <w:tc>
          <w:tcPr>
            <w:tcW w:type="dxa" w:w="6768"/>
            <w:vAlign w:val="center"/>
            <w:tcMar>
              <w:top w:w="85" w:type="dxa"/>
              <w:bottom w:w="85" w:type="dxa"/>
              <w:left w:w="95" w:type="dxa"/>
              <w:right w:w="95" w:type="dxa"/>
            </w:tcMar>
            <w:shd w:fill="FFFFFF"/>
          </w:tcPr>
          <w:p>
            <w:pPr>
              <w:spacing w:after="0" w:line="247" w:lineRule="auto"/>
            </w:pPr>
            <w:r>
              <w:rPr>
                <w:b w:val="0"/>
                <w:sz w:val="20"/>
              </w:rPr>
              <w:t>$10, subject to profile and installation configuration</w:t>
            </w:r>
          </w:p>
        </w:tc>
      </w:tr>
      <w:tr>
        <w:trPr>
          <w:cantSplit/>
        </w:trPr>
        <w:tc>
          <w:tcPr>
            <w:tcW w:type="dxa" w:w="3312"/>
            <w:vAlign w:val="center"/>
            <w:tcMar>
              <w:top w:w="85" w:type="dxa"/>
              <w:bottom w:w="85" w:type="dxa"/>
              <w:left w:w="95" w:type="dxa"/>
              <w:right w:w="95" w:type="dxa"/>
            </w:tcMar>
            <w:shd w:fill="F2F5F8"/>
          </w:tcPr>
          <w:p>
            <w:pPr>
              <w:spacing w:after="0" w:line="247" w:lineRule="auto"/>
            </w:pPr>
            <w:r>
              <w:rPr>
                <w:b w:val="0"/>
                <w:sz w:val="20"/>
              </w:rPr>
              <w:t>Unlimited</w:t>
            </w:r>
          </w:p>
        </w:tc>
        <w:tc>
          <w:tcPr>
            <w:tcW w:type="dxa" w:w="6768"/>
            <w:vAlign w:val="center"/>
            <w:tcMar>
              <w:top w:w="85" w:type="dxa"/>
              <w:bottom w:w="85" w:type="dxa"/>
              <w:left w:w="95" w:type="dxa"/>
              <w:right w:w="95" w:type="dxa"/>
            </w:tcMar>
            <w:shd w:fill="F2F5F8"/>
          </w:tcPr>
          <w:p>
            <w:pPr>
              <w:spacing w:after="0" w:line="247" w:lineRule="auto"/>
            </w:pPr>
            <w:r>
              <w:rPr>
                <w:b w:val="0"/>
                <w:sz w:val="20"/>
              </w:rPr>
              <w:t>A null cap; separate from a numeric maximum</w:t>
            </w:r>
          </w:p>
        </w:tc>
      </w:tr>
      <w:tr>
        <w:trPr>
          <w:cantSplit/>
        </w:trPr>
        <w:tc>
          <w:tcPr>
            <w:tcW w:type="dxa" w:w="3312"/>
            <w:vAlign w:val="center"/>
            <w:tcMar>
              <w:top w:w="85" w:type="dxa"/>
              <w:bottom w:w="85" w:type="dxa"/>
              <w:left w:w="95" w:type="dxa"/>
              <w:right w:w="95" w:type="dxa"/>
            </w:tcMar>
            <w:shd w:fill="FFFFFF"/>
          </w:tcPr>
          <w:p>
            <w:pPr>
              <w:spacing w:after="0" w:line="247" w:lineRule="auto"/>
            </w:pPr>
            <w:r>
              <w:rPr>
                <w:b w:val="0"/>
                <w:sz w:val="20"/>
              </w:rPr>
              <w:t>Largest accepted numeric cap</w:t>
            </w:r>
          </w:p>
        </w:tc>
        <w:tc>
          <w:tcPr>
            <w:tcW w:type="dxa" w:w="6768"/>
            <w:vAlign w:val="center"/>
            <w:tcMar>
              <w:top w:w="85" w:type="dxa"/>
              <w:bottom w:w="85" w:type="dxa"/>
              <w:left w:w="95" w:type="dxa"/>
              <w:right w:w="95" w:type="dxa"/>
            </w:tcMar>
            <w:shd w:fill="FFFFFF"/>
          </w:tcPr>
          <w:p>
            <w:pPr>
              <w:spacing w:after="0" w:line="247" w:lineRule="auto"/>
            </w:pPr>
            <w:r>
              <w:rPr>
                <w:b w:val="0"/>
                <w:sz w:val="20"/>
              </w:rPr>
              <w:t>$100,000, with up to two decimal places</w:t>
            </w:r>
          </w:p>
        </w:tc>
      </w:tr>
      <w:tr>
        <w:trPr>
          <w:cantSplit/>
        </w:trPr>
        <w:tc>
          <w:tcPr>
            <w:tcW w:type="dxa" w:w="3312"/>
            <w:vAlign w:val="center"/>
            <w:tcMar>
              <w:top w:w="85" w:type="dxa"/>
              <w:bottom w:w="85" w:type="dxa"/>
              <w:left w:w="95" w:type="dxa"/>
              <w:right w:w="95" w:type="dxa"/>
            </w:tcMar>
            <w:shd w:fill="F2F5F8"/>
          </w:tcPr>
          <w:p>
            <w:pPr>
              <w:keepNext/>
              <w:spacing w:after="0" w:line="247" w:lineRule="auto"/>
            </w:pPr>
            <w:r>
              <w:rPr>
                <w:b w:val="0"/>
                <w:sz w:val="20"/>
              </w:rPr>
              <w:t>Warnings</w:t>
            </w:r>
          </w:p>
        </w:tc>
        <w:tc>
          <w:tcPr>
            <w:tcW w:type="dxa" w:w="6768"/>
            <w:vAlign w:val="center"/>
            <w:tcMar>
              <w:top w:w="85" w:type="dxa"/>
              <w:bottom w:w="85" w:type="dxa"/>
              <w:left w:w="95" w:type="dxa"/>
              <w:right w:w="95" w:type="dxa"/>
            </w:tcMar>
            <w:shd w:fill="F2F5F8"/>
          </w:tcPr>
          <w:p>
            <w:pPr>
              <w:keepNext/>
              <w:spacing w:after="0" w:line="247" w:lineRule="auto"/>
            </w:pPr>
            <w:r>
              <w:rPr>
                <w:b w:val="0"/>
                <w:sz w:val="20"/>
              </w:rPr>
              <w:t>At 50 percent and 80 percent of the cap</w:t>
            </w:r>
          </w:p>
        </w:tc>
      </w:tr>
      <w:tr>
        <w:trPr>
          <w:cantSplit/>
        </w:trPr>
        <w:tc>
          <w:tcPr>
            <w:tcW w:type="dxa" w:w="3312"/>
            <w:vAlign w:val="center"/>
            <w:tcMar>
              <w:top w:w="85" w:type="dxa"/>
              <w:bottom w:w="85" w:type="dxa"/>
              <w:left w:w="95" w:type="dxa"/>
              <w:right w:w="95" w:type="dxa"/>
            </w:tcMar>
            <w:shd w:fill="FFFFFF"/>
          </w:tcPr>
          <w:p>
            <w:pPr>
              <w:keepNext/>
              <w:spacing w:after="0" w:line="247" w:lineRule="auto"/>
            </w:pPr>
            <w:r>
              <w:rPr>
                <w:b w:val="0"/>
                <w:sz w:val="20"/>
              </w:rPr>
              <w:t>Blocking</w:t>
            </w:r>
          </w:p>
        </w:tc>
        <w:tc>
          <w:tcPr>
            <w:tcW w:type="dxa" w:w="6768"/>
            <w:vAlign w:val="center"/>
            <w:tcMar>
              <w:top w:w="85" w:type="dxa"/>
              <w:bottom w:w="85" w:type="dxa"/>
              <w:left w:w="95" w:type="dxa"/>
              <w:right w:w="95" w:type="dxa"/>
            </w:tcMar>
            <w:shd w:fill="FFFFFF"/>
          </w:tcPr>
          <w:p>
            <w:pPr>
              <w:keepNext/>
              <w:spacing w:after="0" w:line="247" w:lineRule="auto"/>
            </w:pPr>
            <w:r>
              <w:rPr>
                <w:b w:val="0"/>
                <w:sz w:val="20"/>
              </w:rPr>
              <w:t>HTTP 402 before a billable chat call when already at the cap</w:t>
            </w:r>
          </w:p>
        </w:tc>
      </w:tr>
      <w:tr>
        <w:trPr>
          <w:cantSplit/>
        </w:trPr>
        <w:tc>
          <w:tcPr>
            <w:tcW w:type="dxa" w:w="3312"/>
            <w:vAlign w:val="center"/>
            <w:tcMar>
              <w:top w:w="85" w:type="dxa"/>
              <w:bottom w:w="85" w:type="dxa"/>
              <w:left w:w="95" w:type="dxa"/>
              <w:right w:w="95" w:type="dxa"/>
            </w:tcMar>
            <w:shd w:fill="F2F5F8"/>
          </w:tcPr>
          <w:p>
            <w:pPr>
              <w:spacing w:after="0" w:line="247" w:lineRule="auto"/>
            </w:pPr>
            <w:r>
              <w:rPr>
                <w:b w:val="0"/>
                <w:sz w:val="20"/>
              </w:rPr>
              <w:t>Local Ollama</w:t>
            </w:r>
          </w:p>
        </w:tc>
        <w:tc>
          <w:tcPr>
            <w:tcW w:type="dxa" w:w="6768"/>
            <w:vAlign w:val="center"/>
            <w:tcMar>
              <w:top w:w="85" w:type="dxa"/>
              <w:bottom w:w="85" w:type="dxa"/>
              <w:left w:w="95" w:type="dxa"/>
              <w:right w:w="95" w:type="dxa"/>
            </w:tcMar>
            <w:shd w:fill="F2F5F8"/>
          </w:tcPr>
          <w:p>
            <w:pPr>
              <w:spacing w:after="0" w:line="247" w:lineRule="auto"/>
            </w:pPr>
            <w:r>
              <w:rPr>
                <w:b w:val="0"/>
                <w:sz w:val="20"/>
              </w:rPr>
              <w:t>Excluded from the billable-chat cap</w:t>
            </w:r>
          </w:p>
        </w:tc>
      </w:tr>
    </w:tbl>
    <w:p>
      <w:pPr>
        <w:spacing w:after="40" w:before="0" w:line="240" w:lineRule="auto"/>
      </w:pPr>
      <w:r>
        <w:rPr>
          <w:sz w:val="4"/>
        </w:rPr>
      </w:r>
    </w:p>
    <w:p>
      <w:pPr>
        <w:keepLines/>
        <w:widowControl/>
      </w:pPr>
      <w:r>
        <w:t>A local owner with no profile row is unlimited until a cap is set. Any other user without a profile receives the installation default. Administrators set caps.</w:t>
      </w:r>
    </w:p>
    <w:p>
      <w:pPr>
        <w:widowControl/>
      </w:pPr>
      <w:r>
        <w:t>The check happens before the call and does not reserve the spend. Two requests in flight can both pass, and the request that crosses the cap is not stopped mid-stream. The next billable chat call is the one that receives HTTP 402. Embeddings, transcription, summaries, and the tie-break are outside the cap. A chat image is treated as billable even before the provider is checked. The cap cannot make the provider invoice equal the estimate.</w:t>
      </w:r>
    </w:p>
    <w:p>
      <w:pPr>
        <w:pStyle w:val="Heading1"/>
      </w:pPr>
      <w:r>
        <w:t>13 Insights</w:t>
      </w:r>
    </w:p>
    <w:p>
      <w:pPr>
        <w:keepLines/>
        <w:widowControl/>
      </w:pPr>
      <w:r>
        <w:t>Insights presents Models, Cost, and Security alongside the conversation. The selected workspace and date range determine the view. The documented ranges are Today, Weekly, Monthly, and All time.</w:t>
      </w:r>
    </w:p>
    <w:p>
      <w:pPr>
        <w:widowControl/>
      </w:pPr>
      <w:r>
        <w:t>The blue number beside a tier is the count of replies assigned to that tier for the selected workspace and date range. It is not a count of calls to one model. Provider chips count how many models of that provider can be assigned. They are not call counts.</w:t>
      </w:r>
    </w:p>
    <w:p>
      <w:pPr>
        <w:widowControl/>
      </w:pPr>
      <w:r>
        <w:t>Usage records are the chat inference events: model, tier, token counts, grounding, and success or failure. The tie-break, embeddings, summaries, and transcription are not separate rows in that view. Cost views aggregate the stored estimates by time, model, workspace, and input versus output.</w:t>
      </w:r>
    </w:p>
    <w:p>
      <w:pPr>
        <w:widowControl/>
      </w:pPr>
      <w:r>
        <w:t>Security views group detection findings by category, source, and outcome. A coarse risk level reflects the detected category. These findings describe what detection flagged. They are not a vulnerability scan, and they do not include the raw prompt or the matched sensitive string.</w:t>
      </w:r>
    </w:p>
    <w:p>
      <w:pPr>
        <w:widowControl/>
      </w:pPr>
      <w:r>
        <w:t>Administrators can open installation totals and one member’s Usage, Cost, and Security from the directory. Those views use the same records as the member’s own Insights. They do not add the raw prompt or the matched sensitive string.</w:t>
      </w:r>
    </w:p>
    <w:p>
      <w:pPr>
        <w:pStyle w:val="Heading1"/>
      </w:pPr>
      <w:r>
        <w:t>14 People and personal settings</w:t>
      </w:r>
    </w:p>
    <w:p>
      <w:pPr>
        <w:keepLines/>
        <w:widowControl/>
      </w:pPr>
      <w:r>
        <w:t>The documented hosted roles are Owner, Admin, and Member. Initial setup claims the first account through the setup flow; administrators subsequently create accounts, assign roles, set passwords, and suspend access. Removing an account's ability to sign in is not the same as deleting its history, documents, or retained files.</w:t>
      </w:r>
    </w:p>
    <w:p>
      <w:pPr>
        <w:widowControl/>
      </w:pPr>
      <w:r>
        <w:t>My Profile contains a display name, description, and avatar. Password changes and password recovery use Cognito where it is the authentication service. Recovery responses should avoid revealing whether an email address exists.</w:t>
      </w:r>
    </w:p>
    <w:p>
      <w:pPr>
        <w:widowControl/>
      </w:pPr>
      <w:r>
        <w:t>Workspace emojis identify workspaces in the sidebar. Composer emojis are ordinary characters inserted into a draft. Profile avatars are a separate setting, using a preset glyph or a cropped JPEG or PNG. The documented avatar route serves private images to authenticated sessions; access scoping and storage require verification.</w:t>
      </w:r>
    </w:p>
    <w:p>
      <w:pPr>
        <w:widowControl/>
      </w:pPr>
      <w:r>
        <w:t>Light and dark themes are described as device settings, with Dark as the initial choice and sm_theme as the saved browser key. Collapsing the composer status indicators is also described as a device preference. Neither setting is described as synchronizing across browsers.</w:t>
      </w:r>
    </w:p>
    <w:p>
      <w:pPr>
        <w:widowControl/>
      </w:pPr>
      <w:r>
        <w:t>The administrator directory shows each user's email, role, sign-in status, and month-to-date estimate against the cap. Its centralized Insights view covers the installation; a drill-down scopes the same reporting categories to a member.</w:t>
      </w:r>
    </w:p>
    <w:p>
      <w:pPr>
        <w:pStyle w:val="Heading1"/>
      </w:pPr>
      <w:r>
        <w:t>15 Storage and security boundaries</w:t>
      </w:r>
    </w:p>
    <w:p>
      <w:pPr>
        <w:pStyle w:val="Heading2"/>
      </w:pPr>
      <w:r>
        <w:t>Data locations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3816"/>
        <w:gridCol w:w="3888"/>
      </w:tblGrid>
      <w:tr>
        <w:trPr>
          <w:cantSplit/>
          <w:tblHeader/>
        </w:trPr>
        <w:tc>
          <w:tcPr>
            <w:tcW w:type="dxa" w:w="2376"/>
            <w:vAlign w:val="center"/>
            <w:tcMar>
              <w:top w:w="85" w:type="dxa"/>
              <w:bottom w:w="85" w:type="dxa"/>
              <w:left w:w="95" w:type="dxa"/>
              <w:right w:w="95" w:type="dxa"/>
            </w:tcMar>
            <w:shd w:fill="24384B"/>
          </w:tcPr>
          <w:p>
            <w:pPr>
              <w:keepNext/>
              <w:spacing w:after="0" w:line="247" w:lineRule="auto"/>
            </w:pPr>
            <w:r>
              <w:rPr>
                <w:b/>
                <w:color w:val="FFFFFF"/>
                <w:sz w:val="20"/>
              </w:rPr>
              <w:t>Data</w:t>
            </w:r>
          </w:p>
        </w:tc>
        <w:tc>
          <w:tcPr>
            <w:tcW w:type="dxa" w:w="3816"/>
            <w:vAlign w:val="center"/>
            <w:tcMar>
              <w:top w:w="85" w:type="dxa"/>
              <w:bottom w:w="85" w:type="dxa"/>
              <w:left w:w="95" w:type="dxa"/>
              <w:right w:w="95" w:type="dxa"/>
            </w:tcMar>
            <w:shd w:fill="24384B"/>
          </w:tcPr>
          <w:p>
            <w:pPr>
              <w:keepNext/>
              <w:spacing w:after="0" w:line="247" w:lineRule="auto"/>
            </w:pPr>
            <w:r>
              <w:rPr>
                <w:b/>
                <w:color w:val="FFFFFF"/>
                <w:sz w:val="20"/>
              </w:rPr>
              <w:t>Documented local location</w:t>
            </w:r>
          </w:p>
        </w:tc>
        <w:tc>
          <w:tcPr>
            <w:tcW w:type="dxa" w:w="3888"/>
            <w:vAlign w:val="center"/>
            <w:tcMar>
              <w:top w:w="85" w:type="dxa"/>
              <w:bottom w:w="85" w:type="dxa"/>
              <w:left w:w="95" w:type="dxa"/>
              <w:right w:w="95" w:type="dxa"/>
            </w:tcMar>
            <w:shd w:fill="24384B"/>
          </w:tcPr>
          <w:p>
            <w:pPr>
              <w:keepNext/>
              <w:spacing w:after="0" w:line="247" w:lineRule="auto"/>
            </w:pPr>
            <w:r>
              <w:rPr>
                <w:b/>
                <w:color w:val="FFFFFF"/>
                <w:sz w:val="20"/>
              </w:rPr>
              <w:t>AWS location or open question</w:t>
            </w:r>
          </w:p>
        </w:tc>
      </w:tr>
      <w:tr>
        <w:trPr>
          <w:cantSplit/>
        </w:trPr>
        <w:tc>
          <w:tcPr>
            <w:tcW w:type="dxa" w:w="2376"/>
            <w:vAlign w:val="center"/>
            <w:tcMar>
              <w:top w:w="85" w:type="dxa"/>
              <w:bottom w:w="85" w:type="dxa"/>
              <w:left w:w="95" w:type="dxa"/>
              <w:right w:w="95" w:type="dxa"/>
            </w:tcMar>
            <w:shd w:fill="FFFFFF"/>
          </w:tcPr>
          <w:p>
            <w:pPr>
              <w:spacing w:after="0" w:line="247" w:lineRule="auto"/>
            </w:pPr>
            <w:r>
              <w:rPr>
                <w:b w:val="0"/>
                <w:sz w:val="20"/>
              </w:rPr>
              <w:t>Workspaces, sessions, messages and summaries</w:t>
            </w:r>
          </w:p>
        </w:tc>
        <w:tc>
          <w:tcPr>
            <w:tcW w:type="dxa" w:w="3816"/>
            <w:vAlign w:val="center"/>
            <w:tcMar>
              <w:top w:w="85" w:type="dxa"/>
              <w:bottom w:w="85" w:type="dxa"/>
              <w:left w:w="95" w:type="dxa"/>
              <w:right w:w="95" w:type="dxa"/>
            </w:tcMar>
            <w:shd w:fill="FFFFFF"/>
          </w:tcPr>
          <w:p>
            <w:pPr>
              <w:spacing w:after="0" w:line="247" w:lineRule="auto"/>
            </w:pPr>
            <w:r>
              <w:rPr>
                <w:b w:val="0"/>
                <w:sz w:val="20"/>
              </w:rPr>
              <w:t>PostgreSQL</w:t>
            </w:r>
          </w:p>
        </w:tc>
        <w:tc>
          <w:tcPr>
            <w:tcW w:type="dxa" w:w="3888"/>
            <w:vAlign w:val="center"/>
            <w:tcMar>
              <w:top w:w="85" w:type="dxa"/>
              <w:bottom w:w="85" w:type="dxa"/>
              <w:left w:w="95" w:type="dxa"/>
              <w:right w:w="95" w:type="dxa"/>
            </w:tcMar>
            <w:shd w:fill="FFFFFF"/>
          </w:tcPr>
          <w:p>
            <w:pPr>
              <w:spacing w:after="0" w:line="247" w:lineRule="auto"/>
            </w:pPr>
            <w:r>
              <w:rPr>
                <w:b w:val="0"/>
                <w:sz w:val="20"/>
              </w:rPr>
              <w:t>DynamoDB application records</w:t>
            </w:r>
          </w:p>
        </w:tc>
      </w:tr>
      <w:tr>
        <w:trPr>
          <w:cantSplit/>
        </w:trPr>
        <w:tc>
          <w:tcPr>
            <w:tcW w:type="dxa" w:w="2376"/>
            <w:vAlign w:val="center"/>
            <w:tcMar>
              <w:top w:w="85" w:type="dxa"/>
              <w:bottom w:w="85" w:type="dxa"/>
              <w:left w:w="95" w:type="dxa"/>
              <w:right w:w="95" w:type="dxa"/>
            </w:tcMar>
            <w:shd w:fill="F2F5F8"/>
          </w:tcPr>
          <w:p>
            <w:pPr>
              <w:spacing w:after="0" w:line="247" w:lineRule="auto"/>
            </w:pPr>
            <w:r>
              <w:rPr>
                <w:b w:val="0"/>
                <w:sz w:val="20"/>
              </w:rPr>
              <w:t>Documents, scrubbed chunks and metadata</w:t>
            </w:r>
          </w:p>
        </w:tc>
        <w:tc>
          <w:tcPr>
            <w:tcW w:type="dxa" w:w="3816"/>
            <w:vAlign w:val="center"/>
            <w:tcMar>
              <w:top w:w="85" w:type="dxa"/>
              <w:bottom w:w="85" w:type="dxa"/>
              <w:left w:w="95" w:type="dxa"/>
              <w:right w:w="95" w:type="dxa"/>
            </w:tcMar>
            <w:shd w:fill="F2F5F8"/>
          </w:tcPr>
          <w:p>
            <w:pPr>
              <w:spacing w:after="0" w:line="247" w:lineRule="auto"/>
            </w:pPr>
            <w:r>
              <w:rPr>
                <w:b w:val="0"/>
                <w:sz w:val="20"/>
              </w:rPr>
              <w:t>PostgreSQL</w:t>
            </w:r>
          </w:p>
        </w:tc>
        <w:tc>
          <w:tcPr>
            <w:tcW w:type="dxa" w:w="3888"/>
            <w:vAlign w:val="center"/>
            <w:tcMar>
              <w:top w:w="85" w:type="dxa"/>
              <w:bottom w:w="85" w:type="dxa"/>
              <w:left w:w="95" w:type="dxa"/>
              <w:right w:w="95" w:type="dxa"/>
            </w:tcMar>
            <w:shd w:fill="F2F5F8"/>
          </w:tcPr>
          <w:p>
            <w:pPr>
              <w:spacing w:after="0" w:line="247" w:lineRule="auto"/>
            </w:pPr>
            <w:r>
              <w:rPr>
                <w:b w:val="0"/>
                <w:sz w:val="20"/>
              </w:rPr>
              <w:t>DynamoDB fragment records with scrubbed text, ownership, and document metadata.</w:t>
            </w:r>
          </w:p>
        </w:tc>
      </w:tr>
      <w:tr>
        <w:trPr>
          <w:cantSplit/>
        </w:trPr>
        <w:tc>
          <w:tcPr>
            <w:tcW w:type="dxa" w:w="2376"/>
            <w:vAlign w:val="center"/>
            <w:tcMar>
              <w:top w:w="85" w:type="dxa"/>
              <w:bottom w:w="85" w:type="dxa"/>
              <w:left w:w="95" w:type="dxa"/>
              <w:right w:w="95" w:type="dxa"/>
            </w:tcMar>
            <w:shd w:fill="FFFFFF"/>
          </w:tcPr>
          <w:p>
            <w:pPr>
              <w:spacing w:after="0" w:line="247" w:lineRule="auto"/>
            </w:pPr>
            <w:r>
              <w:rPr>
                <w:b w:val="0"/>
                <w:sz w:val="20"/>
              </w:rPr>
              <w:t>Document embeddings</w:t>
            </w:r>
          </w:p>
        </w:tc>
        <w:tc>
          <w:tcPr>
            <w:tcW w:type="dxa" w:w="3816"/>
            <w:vAlign w:val="center"/>
            <w:tcMar>
              <w:top w:w="85" w:type="dxa"/>
              <w:bottom w:w="85" w:type="dxa"/>
              <w:left w:w="95" w:type="dxa"/>
              <w:right w:w="95" w:type="dxa"/>
            </w:tcMar>
            <w:shd w:fill="FFFFFF"/>
          </w:tcPr>
          <w:p>
            <w:pPr>
              <w:spacing w:after="0" w:line="247" w:lineRule="auto"/>
            </w:pPr>
            <w:r>
              <w:rPr>
                <w:b w:val="0"/>
                <w:sz w:val="20"/>
              </w:rPr>
              <w:t>pgvector, 768 dimensions</w:t>
            </w:r>
          </w:p>
        </w:tc>
        <w:tc>
          <w:tcPr>
            <w:tcW w:type="dxa" w:w="3888"/>
            <w:vAlign w:val="center"/>
            <w:tcMar>
              <w:top w:w="85" w:type="dxa"/>
              <w:bottom w:w="85" w:type="dxa"/>
              <w:left w:w="95" w:type="dxa"/>
              <w:right w:w="95" w:type="dxa"/>
            </w:tcMar>
            <w:shd w:fill="FFFFFF"/>
          </w:tcPr>
          <w:p>
            <w:pPr>
              <w:spacing w:after="0" w:line="247" w:lineRule="auto"/>
            </w:pPr>
            <w:r>
              <w:rPr>
                <w:b w:val="0"/>
                <w:sz w:val="20"/>
              </w:rPr>
              <w:t>DynamoDB index workspace-vectors. Default 1,024 dimensions. SearchVectors or a cosine fallback.</w:t>
            </w:r>
          </w:p>
        </w:tc>
      </w:tr>
      <w:tr>
        <w:trPr>
          <w:cantSplit/>
        </w:trPr>
        <w:tc>
          <w:tcPr>
            <w:tcW w:type="dxa" w:w="2376"/>
            <w:vAlign w:val="center"/>
            <w:tcMar>
              <w:top w:w="85" w:type="dxa"/>
              <w:bottom w:w="85" w:type="dxa"/>
              <w:left w:w="95" w:type="dxa"/>
              <w:right w:w="95" w:type="dxa"/>
            </w:tcMar>
            <w:shd w:fill="F2F5F8"/>
          </w:tcPr>
          <w:p>
            <w:pPr>
              <w:spacing w:after="0" w:line="247" w:lineRule="auto"/>
            </w:pPr>
            <w:r>
              <w:rPr>
                <w:b w:val="0"/>
                <w:sz w:val="20"/>
              </w:rPr>
              <w:t>Long-term facts and bookmarks</w:t>
            </w:r>
          </w:p>
        </w:tc>
        <w:tc>
          <w:tcPr>
            <w:tcW w:type="dxa" w:w="3816"/>
            <w:vAlign w:val="center"/>
            <w:tcMar>
              <w:top w:w="85" w:type="dxa"/>
              <w:bottom w:w="85" w:type="dxa"/>
              <w:left w:w="95" w:type="dxa"/>
              <w:right w:w="95" w:type="dxa"/>
            </w:tcMar>
            <w:shd w:fill="F2F5F8"/>
          </w:tcPr>
          <w:p>
            <w:pPr>
              <w:spacing w:after="0" w:line="247" w:lineRule="auto"/>
            </w:pPr>
            <w:r>
              <w:rPr>
                <w:b w:val="0"/>
                <w:sz w:val="20"/>
              </w:rPr>
              <w:t>PostgreSQL records</w:t>
            </w:r>
          </w:p>
        </w:tc>
        <w:tc>
          <w:tcPr>
            <w:tcW w:type="dxa" w:w="3888"/>
            <w:vAlign w:val="center"/>
            <w:tcMar>
              <w:top w:w="85" w:type="dxa"/>
              <w:bottom w:w="85" w:type="dxa"/>
              <w:left w:w="95" w:type="dxa"/>
              <w:right w:w="95" w:type="dxa"/>
            </w:tcMar>
            <w:shd w:fill="F2F5F8"/>
          </w:tcPr>
          <w:p>
            <w:pPr>
              <w:spacing w:after="0" w:line="247" w:lineRule="auto"/>
            </w:pPr>
            <w:r>
              <w:rPr>
                <w:b w:val="0"/>
                <w:sz w:val="20"/>
              </w:rPr>
              <w:t>DynamoDB records filtered by user and workspace.</w:t>
            </w:r>
          </w:p>
        </w:tc>
      </w:tr>
      <w:tr>
        <w:trPr>
          <w:cantSplit/>
        </w:trPr>
        <w:tc>
          <w:tcPr>
            <w:tcW w:type="dxa" w:w="2376"/>
            <w:vAlign w:val="center"/>
            <w:tcMar>
              <w:top w:w="85" w:type="dxa"/>
              <w:bottom w:w="85" w:type="dxa"/>
              <w:left w:w="95" w:type="dxa"/>
              <w:right w:w="95" w:type="dxa"/>
            </w:tcMar>
            <w:shd w:fill="FFFFFF"/>
          </w:tcPr>
          <w:p>
            <w:pPr>
              <w:spacing w:after="0" w:line="247" w:lineRule="auto"/>
            </w:pPr>
            <w:r>
              <w:rPr>
                <w:b w:val="0"/>
                <w:sz w:val="20"/>
              </w:rPr>
              <w:t>Original uploads</w:t>
            </w:r>
          </w:p>
        </w:tc>
        <w:tc>
          <w:tcPr>
            <w:tcW w:type="dxa" w:w="3816"/>
            <w:vAlign w:val="center"/>
            <w:tcMar>
              <w:top w:w="85" w:type="dxa"/>
              <w:bottom w:w="85" w:type="dxa"/>
              <w:left w:w="95" w:type="dxa"/>
              <w:right w:w="95" w:type="dxa"/>
            </w:tcMar>
            <w:shd w:fill="FFFFFF"/>
          </w:tcPr>
          <w:p>
            <w:pPr>
              <w:spacing w:after="0" w:line="247" w:lineRule="auto"/>
            </w:pPr>
            <w:r>
              <w:rPr>
                <w:b w:val="0"/>
                <w:sz w:val="20"/>
              </w:rPr>
              <w:t>Data directory on disk</w:t>
            </w:r>
          </w:p>
        </w:tc>
        <w:tc>
          <w:tcPr>
            <w:tcW w:type="dxa" w:w="3888"/>
            <w:vAlign w:val="center"/>
            <w:tcMar>
              <w:top w:w="85" w:type="dxa"/>
              <w:bottom w:w="85" w:type="dxa"/>
              <w:left w:w="95" w:type="dxa"/>
              <w:right w:w="95" w:type="dxa"/>
            </w:tcMar>
            <w:shd w:fill="FFFFFF"/>
          </w:tcPr>
          <w:p>
            <w:pPr>
              <w:spacing w:after="0" w:line="247" w:lineRule="auto"/>
            </w:pPr>
            <w:r>
              <w:rPr>
                <w:b w:val="0"/>
                <w:sz w:val="20"/>
              </w:rPr>
              <w:t>Not written on the hosted path. Local originals stay in the data directory.</w:t>
            </w:r>
          </w:p>
        </w:tc>
      </w:tr>
      <w:tr>
        <w:trPr>
          <w:cantSplit/>
        </w:trPr>
        <w:tc>
          <w:tcPr>
            <w:tcW w:type="dxa" w:w="2376"/>
            <w:vAlign w:val="center"/>
            <w:tcMar>
              <w:top w:w="85" w:type="dxa"/>
              <w:bottom w:w="85" w:type="dxa"/>
              <w:left w:w="95" w:type="dxa"/>
              <w:right w:w="95" w:type="dxa"/>
            </w:tcMar>
            <w:shd w:fill="F2F5F8"/>
          </w:tcPr>
          <w:p>
            <w:pPr>
              <w:spacing w:after="0" w:line="247" w:lineRule="auto"/>
            </w:pPr>
            <w:r>
              <w:rPr>
                <w:b w:val="0"/>
                <w:sz w:val="20"/>
              </w:rPr>
              <w:t>Profile images</w:t>
            </w:r>
          </w:p>
        </w:tc>
        <w:tc>
          <w:tcPr>
            <w:tcW w:type="dxa" w:w="3816"/>
            <w:vAlign w:val="center"/>
            <w:tcMar>
              <w:top w:w="85" w:type="dxa"/>
              <w:bottom w:w="85" w:type="dxa"/>
              <w:left w:w="95" w:type="dxa"/>
              <w:right w:w="95" w:type="dxa"/>
            </w:tcMar>
            <w:shd w:fill="F2F5F8"/>
          </w:tcPr>
          <w:p>
            <w:pPr>
              <w:spacing w:after="0" w:line="247" w:lineRule="auto"/>
            </w:pPr>
            <w:r>
              <w:rPr>
                <w:b w:val="0"/>
                <w:sz w:val="20"/>
              </w:rPr>
              <w:t>Local data directory</w:t>
            </w:r>
          </w:p>
        </w:tc>
        <w:tc>
          <w:tcPr>
            <w:tcW w:type="dxa" w:w="3888"/>
            <w:vAlign w:val="center"/>
            <w:tcMar>
              <w:top w:w="85" w:type="dxa"/>
              <w:bottom w:w="85" w:type="dxa"/>
              <w:left w:w="95" w:type="dxa"/>
              <w:right w:w="95" w:type="dxa"/>
            </w:tcMar>
            <w:shd w:fill="F2F5F8"/>
          </w:tcPr>
          <w:p>
            <w:pPr>
              <w:spacing w:after="0" w:line="247" w:lineRule="auto"/>
            </w:pPr>
            <w:r>
              <w:rPr>
                <w:b w:val="0"/>
                <w:sz w:val="20"/>
              </w:rPr>
              <w:t>Private object bucket and authenticated route</w:t>
            </w:r>
          </w:p>
        </w:tc>
      </w:tr>
      <w:tr>
        <w:trPr>
          <w:cantSplit/>
        </w:trPr>
        <w:tc>
          <w:tcPr>
            <w:tcW w:type="dxa" w:w="2376"/>
            <w:vAlign w:val="center"/>
            <w:tcMar>
              <w:top w:w="85" w:type="dxa"/>
              <w:bottom w:w="85" w:type="dxa"/>
              <w:left w:w="95" w:type="dxa"/>
              <w:right w:w="95" w:type="dxa"/>
            </w:tcMar>
            <w:shd w:fill="FFFFFF"/>
          </w:tcPr>
          <w:p>
            <w:pPr>
              <w:spacing w:after="0" w:line="247" w:lineRule="auto"/>
            </w:pPr>
            <w:r>
              <w:rPr>
                <w:b w:val="0"/>
                <w:sz w:val="20"/>
              </w:rPr>
              <w:t>Saved vendor credentials</w:t>
            </w:r>
          </w:p>
        </w:tc>
        <w:tc>
          <w:tcPr>
            <w:tcW w:type="dxa" w:w="3816"/>
            <w:vAlign w:val="center"/>
            <w:tcMar>
              <w:top w:w="85" w:type="dxa"/>
              <w:bottom w:w="85" w:type="dxa"/>
              <w:left w:w="95" w:type="dxa"/>
              <w:right w:w="95" w:type="dxa"/>
            </w:tcMar>
            <w:shd w:fill="FFFFFF"/>
          </w:tcPr>
          <w:p>
            <w:pPr>
              <w:spacing w:after="0" w:line="247" w:lineRule="auto"/>
            </w:pPr>
            <w:r>
              <w:rPr>
                <w:b w:val="0"/>
                <w:sz w:val="20"/>
              </w:rPr>
              <w:t>Encrypted instance configuration</w:t>
            </w:r>
          </w:p>
        </w:tc>
        <w:tc>
          <w:tcPr>
            <w:tcW w:type="dxa" w:w="3888"/>
            <w:vAlign w:val="center"/>
            <w:tcMar>
              <w:top w:w="85" w:type="dxa"/>
              <w:bottom w:w="85" w:type="dxa"/>
              <w:left w:w="95" w:type="dxa"/>
              <w:right w:w="95" w:type="dxa"/>
            </w:tcMar>
            <w:shd w:fill="FFFFFF"/>
          </w:tcPr>
          <w:p>
            <w:pPr>
              <w:spacing w:after="0" w:line="247" w:lineRule="auto"/>
            </w:pPr>
            <w:r>
              <w:rPr>
                <w:b w:val="0"/>
                <w:sz w:val="20"/>
              </w:rPr>
              <w:t>Encrypted instance configuration, per existing guide</w:t>
            </w:r>
          </w:p>
        </w:tc>
      </w:tr>
      <w:tr>
        <w:trPr>
          <w:cantSplit/>
        </w:trPr>
        <w:tc>
          <w:tcPr>
            <w:tcW w:type="dxa" w:w="2376"/>
            <w:vAlign w:val="center"/>
            <w:tcMar>
              <w:top w:w="85" w:type="dxa"/>
              <w:bottom w:w="85" w:type="dxa"/>
              <w:left w:w="95" w:type="dxa"/>
              <w:right w:w="95" w:type="dxa"/>
            </w:tcMar>
            <w:shd w:fill="F2F5F8"/>
          </w:tcPr>
          <w:p>
            <w:pPr>
              <w:spacing w:after="0" w:line="247" w:lineRule="auto"/>
            </w:pPr>
            <w:r>
              <w:rPr>
                <w:b w:val="0"/>
                <w:sz w:val="20"/>
              </w:rPr>
              <w:t>Encryption key material</w:t>
            </w:r>
          </w:p>
        </w:tc>
        <w:tc>
          <w:tcPr>
            <w:tcW w:type="dxa" w:w="3816"/>
            <w:vAlign w:val="center"/>
            <w:tcMar>
              <w:top w:w="85" w:type="dxa"/>
              <w:bottom w:w="85" w:type="dxa"/>
              <w:left w:w="95" w:type="dxa"/>
              <w:right w:w="95" w:type="dxa"/>
            </w:tcMar>
            <w:shd w:fill="F2F5F8"/>
          </w:tcPr>
          <w:p>
            <w:pPr>
              <w:spacing w:after="0" w:line="247" w:lineRule="auto"/>
            </w:pPr>
            <w:r>
              <w:rPr>
                <w:b w:val="0"/>
                <w:sz w:val="20"/>
              </w:rPr>
              <w:t>Environment or instance key file</w:t>
            </w:r>
          </w:p>
        </w:tc>
        <w:tc>
          <w:tcPr>
            <w:tcW w:type="dxa" w:w="3888"/>
            <w:vAlign w:val="center"/>
            <w:tcMar>
              <w:top w:w="85" w:type="dxa"/>
              <w:bottom w:w="85" w:type="dxa"/>
              <w:left w:w="95" w:type="dxa"/>
              <w:right w:w="95" w:type="dxa"/>
            </w:tcMar>
            <w:shd w:fill="F2F5F8"/>
          </w:tcPr>
          <w:p>
            <w:pPr>
              <w:spacing w:after="0" w:line="247" w:lineRule="auto"/>
            </w:pPr>
            <w:r>
              <w:rPr>
                <w:b w:val="0"/>
                <w:sz w:val="20"/>
              </w:rPr>
              <w:t>Hosted vendor keys are in Secrets Manager. Local keys use INSTANCE_ENCRYPTION_KEY or .data/instance.key.</w:t>
            </w:r>
          </w:p>
        </w:tc>
      </w:tr>
      <w:tr>
        <w:trPr>
          <w:cantSplit/>
        </w:trPr>
        <w:tc>
          <w:tcPr>
            <w:tcW w:type="dxa" w:w="2376"/>
            <w:vAlign w:val="center"/>
            <w:tcMar>
              <w:top w:w="85" w:type="dxa"/>
              <w:bottom w:w="85" w:type="dxa"/>
              <w:left w:w="95" w:type="dxa"/>
              <w:right w:w="95" w:type="dxa"/>
            </w:tcMar>
            <w:shd w:fill="FFFFFF"/>
          </w:tcPr>
          <w:p>
            <w:pPr>
              <w:keepNext/>
              <w:spacing w:after="0" w:line="247" w:lineRule="auto"/>
            </w:pPr>
            <w:r>
              <w:rPr>
                <w:b w:val="0"/>
                <w:sz w:val="20"/>
              </w:rPr>
              <w:t>Bootstrap configuration</w:t>
            </w:r>
          </w:p>
        </w:tc>
        <w:tc>
          <w:tcPr>
            <w:tcW w:type="dxa" w:w="3816"/>
            <w:vAlign w:val="center"/>
            <w:tcMar>
              <w:top w:w="85" w:type="dxa"/>
              <w:bottom w:w="85" w:type="dxa"/>
              <w:left w:w="95" w:type="dxa"/>
              <w:right w:w="95" w:type="dxa"/>
            </w:tcMar>
            <w:shd w:fill="FFFFFF"/>
          </w:tcPr>
          <w:p>
            <w:pPr>
              <w:keepNext/>
              <w:spacing w:after="0" w:line="247" w:lineRule="auto"/>
            </w:pPr>
            <w:r>
              <w:rPr>
                <w:b w:val="0"/>
                <w:sz w:val="20"/>
              </w:rPr>
              <w:t>Deployment configuration</w:t>
            </w:r>
          </w:p>
        </w:tc>
        <w:tc>
          <w:tcPr>
            <w:tcW w:type="dxa" w:w="3888"/>
            <w:vAlign w:val="center"/>
            <w:tcMar>
              <w:top w:w="85" w:type="dxa"/>
              <w:bottom w:w="85" w:type="dxa"/>
              <w:left w:w="95" w:type="dxa"/>
              <w:right w:w="95" w:type="dxa"/>
            </w:tcMar>
            <w:shd w:fill="FFFFFF"/>
          </w:tcPr>
          <w:p>
            <w:pPr>
              <w:keepNext/>
              <w:spacing w:after="0" w:line="247" w:lineRule="auto"/>
            </w:pPr>
            <w:r>
              <w:rPr>
                <w:b w:val="0"/>
                <w:sz w:val="20"/>
              </w:rPr>
              <w:t>Secrets Manager, as documented</w:t>
            </w:r>
          </w:p>
        </w:tc>
      </w:tr>
      <w:tr>
        <w:trPr>
          <w:cantSplit/>
        </w:trPr>
        <w:tc>
          <w:tcPr>
            <w:tcW w:type="dxa" w:w="2376"/>
            <w:vAlign w:val="center"/>
            <w:tcMar>
              <w:top w:w="85" w:type="dxa"/>
              <w:bottom w:w="85" w:type="dxa"/>
              <w:left w:w="95" w:type="dxa"/>
              <w:right w:w="95" w:type="dxa"/>
            </w:tcMar>
            <w:shd w:fill="F2F5F8"/>
          </w:tcPr>
          <w:p>
            <w:pPr>
              <w:keepNext/>
              <w:spacing w:after="0" w:line="247" w:lineRule="auto"/>
            </w:pPr>
            <w:r>
              <w:rPr>
                <w:b w:val="0"/>
                <w:sz w:val="20"/>
              </w:rPr>
              <w:t>Usage and detection events</w:t>
            </w:r>
          </w:p>
        </w:tc>
        <w:tc>
          <w:tcPr>
            <w:tcW w:type="dxa" w:w="3816"/>
            <w:vAlign w:val="center"/>
            <w:tcMar>
              <w:top w:w="85" w:type="dxa"/>
              <w:bottom w:w="85" w:type="dxa"/>
              <w:left w:w="95" w:type="dxa"/>
              <w:right w:w="95" w:type="dxa"/>
            </w:tcMar>
            <w:shd w:fill="F2F5F8"/>
          </w:tcPr>
          <w:p>
            <w:pPr>
              <w:keepNext/>
              <w:spacing w:after="0" w:line="247" w:lineRule="auto"/>
            </w:pPr>
            <w:r>
              <w:rPr>
                <w:b w:val="0"/>
                <w:sz w:val="20"/>
              </w:rPr>
              <w:t>PostgreSQL</w:t>
            </w:r>
          </w:p>
        </w:tc>
        <w:tc>
          <w:tcPr>
            <w:tcW w:type="dxa" w:w="3888"/>
            <w:vAlign w:val="center"/>
            <w:tcMar>
              <w:top w:w="85" w:type="dxa"/>
              <w:bottom w:w="85" w:type="dxa"/>
              <w:left w:w="95" w:type="dxa"/>
              <w:right w:w="95" w:type="dxa"/>
            </w:tcMar>
            <w:shd w:fill="F2F5F8"/>
          </w:tcPr>
          <w:p>
            <w:pPr>
              <w:keepNext/>
              <w:spacing w:after="0" w:line="247" w:lineRule="auto"/>
            </w:pPr>
            <w:r>
              <w:rPr>
                <w:b w:val="0"/>
                <w:sz w:val="20"/>
              </w:rPr>
              <w:t>DynamoDB, as documented</w:t>
            </w:r>
          </w:p>
        </w:tc>
      </w:tr>
      <w:tr>
        <w:trPr>
          <w:cantSplit/>
        </w:trPr>
        <w:tc>
          <w:tcPr>
            <w:tcW w:type="dxa" w:w="2376"/>
            <w:vAlign w:val="center"/>
            <w:tcMar>
              <w:top w:w="85" w:type="dxa"/>
              <w:bottom w:w="85" w:type="dxa"/>
              <w:left w:w="95" w:type="dxa"/>
              <w:right w:w="95" w:type="dxa"/>
            </w:tcMar>
            <w:shd w:fill="FFFFFF"/>
          </w:tcPr>
          <w:p>
            <w:pPr>
              <w:spacing w:after="0" w:line="247" w:lineRule="auto"/>
            </w:pPr>
            <w:r>
              <w:rPr>
                <w:b w:val="0"/>
                <w:sz w:val="20"/>
              </w:rPr>
              <w:t>Runtime logs</w:t>
            </w:r>
          </w:p>
        </w:tc>
        <w:tc>
          <w:tcPr>
            <w:tcW w:type="dxa" w:w="3816"/>
            <w:vAlign w:val="center"/>
            <w:tcMar>
              <w:top w:w="85" w:type="dxa"/>
              <w:bottom w:w="85" w:type="dxa"/>
              <w:left w:w="95" w:type="dxa"/>
              <w:right w:w="95" w:type="dxa"/>
            </w:tcMar>
            <w:shd w:fill="FFFFFF"/>
          </w:tcPr>
          <w:p>
            <w:pPr>
              <w:spacing w:after="0" w:line="247" w:lineRule="auto"/>
            </w:pPr>
            <w:r>
              <w:rPr>
                <w:b w:val="0"/>
                <w:sz w:val="20"/>
              </w:rPr>
              <w:t>Local runtime logs</w:t>
            </w:r>
          </w:p>
        </w:tc>
        <w:tc>
          <w:tcPr>
            <w:tcW w:type="dxa" w:w="3888"/>
            <w:vAlign w:val="center"/>
            <w:tcMar>
              <w:top w:w="85" w:type="dxa"/>
              <w:bottom w:w="85" w:type="dxa"/>
              <w:left w:w="95" w:type="dxa"/>
              <w:right w:w="95" w:type="dxa"/>
            </w:tcMar>
            <w:shd w:fill="FFFFFF"/>
          </w:tcPr>
          <w:p>
            <w:pPr>
              <w:spacing w:after="0" w:line="247" w:lineRule="auto"/>
            </w:pPr>
            <w:r>
              <w:rPr>
                <w:b w:val="0"/>
                <w:sz w:val="20"/>
              </w:rPr>
              <w:t>CloudWatch for Lambda</w:t>
            </w:r>
          </w:p>
        </w:tc>
      </w:tr>
    </w:tbl>
    <w:p>
      <w:pPr>
        <w:spacing w:after="40" w:before="0" w:line="240" w:lineRule="auto"/>
      </w:pPr>
      <w:r>
        <w:rPr>
          <w:sz w:val="4"/>
        </w:rPr>
      </w:r>
    </w:p>
    <w:p>
      <w:pPr>
        <w:keepLines/>
        <w:widowControl/>
      </w:pPr>
      <w:r>
        <w:t>The local vector column is created outside Prisma and queried with raw SQL. Those queries filter by user id and workspace id. The hosted path applies the same two filters in the DynamoDB vector repository.</w:t>
      </w:r>
    </w:p>
    <w:p>
      <w:pPr>
        <w:pStyle w:val="Heading2"/>
      </w:pPr>
      <w:r>
        <w:t>Encryption and discovery</w:t>
      </w:r>
    </w:p>
    <w:p>
      <w:pPr>
        <w:keepLines/>
        <w:widowControl/>
      </w:pPr>
      <w:r>
        <w:t>Redaction removes or replaces detected content. Encryption protects stored data using cryptographic keys. These controls address different risks: retained originals and credentials still need protection even if searchable text has been scrubbed.</w:t>
      </w:r>
    </w:p>
    <w:p>
      <w:pPr>
        <w:widowControl/>
      </w:pPr>
      <w:r>
        <w:t>AWS KMS can manage keys used for encryption. Macie can discover sensitive data in supported S3 content. A useful Macie use case would depend on whether SecureMind retains suitable files in S3 and whether that discovery is worth the operational cost. It is not a substitute for synchronous message detection.</w:t>
      </w:r>
    </w:p>
    <w:p>
      <w:pPr>
        <w:widowControl/>
      </w:pPr>
      <w:r>
        <w:t>This repository does not define a KMS key or Macie. The avatar bucket and the Terraform state bucket use SSE-S3 with AES256. KMS and Macie are not features of the application, and a local installation does not depend on them.</w:t>
      </w:r>
    </w:p>
    <w:p>
      <w:pPr>
        <w:pStyle w:val="Heading2"/>
      </w:pPr>
      <w:r>
        <w:t>Product limits</w:t>
      </w:r>
    </w:p>
    <w:p>
      <w:pPr>
        <w:keepLines/>
        <w:widowControl/>
      </w:pPr>
      <w:r>
        <w:t>Detection can miss sensitive data. Policy changes are forward-looking unless a reprocessing action is explicitly performed. A stored original can retain information removed from its extracted text. Removing a finding does not restore redacted content, and deleting a login does not establish a complete data purge.</w:t>
      </w:r>
    </w:p>
    <w:p>
      <w:pPr>
        <w:widowControl/>
      </w:pPr>
      <w:r>
        <w:t>Citation auditing validates reference structure rather than factual truth. Prompt-injection safeguards reduce risk without guaranteeing immunity. Cost caps use estimates rather than provider billing, and a deployment region does not establish where every connected vendor processes data.</w:t>
      </w:r>
    </w:p>
    <w:p>
      <w:pPr>
        <w:widowControl/>
      </w:pPr>
      <w:r>
        <w:t>Bedrock Guardrails and per-workspace provider policies are not implemented. Generated replies are not scanned. Deleting a login does not purge that person’s documents, history, or stored files. Hosted vector search uses the DynamoDB index described above.</w:t>
      </w:r>
    </w:p>
    <w:p>
      <w:pPr>
        <w:pStyle w:val="Heading1"/>
      </w:pPr>
      <w:r>
        <w:t>16 Implementation references</w:t>
      </w:r>
    </w:p>
    <w:p>
      <w:pPr>
        <w:keepLines/>
        <w:widowControl/>
      </w:pPr>
      <w:r>
        <w:t>A .ts file contains TypeScript application code. A .md file contains Markdown documentation. The references below point to the described implementation, where developers can verify a rule or function. They are not separate policy documents or proof that the behaviour has been tested.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72"/>
        <w:gridCol w:w="6408"/>
      </w:tblGrid>
      <w:tr>
        <w:trPr>
          <w:cantSplit/>
          <w:tblHeader/>
        </w:trPr>
        <w:tc>
          <w:tcPr>
            <w:tcW w:type="dxa" w:w="3672"/>
            <w:vAlign w:val="center"/>
            <w:tcMar>
              <w:top w:w="85" w:type="dxa"/>
              <w:bottom w:w="85" w:type="dxa"/>
              <w:left w:w="95" w:type="dxa"/>
              <w:right w:w="95" w:type="dxa"/>
            </w:tcMar>
            <w:shd w:fill="24384B"/>
          </w:tcPr>
          <w:p>
            <w:pPr>
              <w:keepNext/>
              <w:spacing w:after="0" w:line="247" w:lineRule="auto"/>
            </w:pPr>
            <w:r>
              <w:rPr>
                <w:b/>
                <w:color w:val="FFFFFF"/>
                <w:sz w:val="20"/>
              </w:rPr>
              <w:t>Behaviour</w:t>
            </w:r>
          </w:p>
        </w:tc>
        <w:tc>
          <w:tcPr>
            <w:tcW w:type="dxa" w:w="6408"/>
            <w:vAlign w:val="center"/>
            <w:tcMar>
              <w:top w:w="85" w:type="dxa"/>
              <w:bottom w:w="85" w:type="dxa"/>
              <w:left w:w="95" w:type="dxa"/>
              <w:right w:w="95" w:type="dxa"/>
            </w:tcMar>
            <w:shd w:fill="24384B"/>
          </w:tcPr>
          <w:p>
            <w:pPr>
              <w:keepNext/>
              <w:spacing w:after="0" w:line="247" w:lineRule="auto"/>
            </w:pPr>
            <w:r>
              <w:rPr>
                <w:b/>
                <w:color w:val="FFFFFF"/>
                <w:sz w:val="19"/>
              </w:rPr>
              <w:t>Source reference</w:t>
            </w:r>
          </w:p>
        </w:tc>
      </w:tr>
      <w:tr>
        <w:trPr>
          <w:cantSplit/>
        </w:trPr>
        <w:tc>
          <w:tcPr>
            <w:tcW w:type="dxa" w:w="3672"/>
            <w:vAlign w:val="center"/>
            <w:tcMar>
              <w:top w:w="85" w:type="dxa"/>
              <w:bottom w:w="85" w:type="dxa"/>
              <w:left w:w="95" w:type="dxa"/>
              <w:right w:w="95" w:type="dxa"/>
            </w:tcMar>
            <w:shd w:fill="FFFFFF"/>
          </w:tcPr>
          <w:p>
            <w:pPr>
              <w:spacing w:after="0" w:line="247" w:lineRule="auto"/>
            </w:pPr>
            <w:r>
              <w:rPr>
                <w:b w:val="0"/>
                <w:sz w:val="20"/>
              </w:rPr>
              <w:t>Request orchestration and streaming</w:t>
            </w:r>
          </w:p>
        </w:tc>
        <w:tc>
          <w:tcPr>
            <w:tcW w:type="dxa" w:w="6408"/>
            <w:vAlign w:val="center"/>
            <w:tcMar>
              <w:top w:w="85" w:type="dxa"/>
              <w:bottom w:w="85" w:type="dxa"/>
              <w:left w:w="95" w:type="dxa"/>
              <w:right w:w="95" w:type="dxa"/>
            </w:tcMar>
            <w:shd w:fill="FFFFFF"/>
          </w:tcPr>
          <w:p>
            <w:pPr>
              <w:spacing w:after="0" w:line="247" w:lineRule="auto"/>
            </w:pPr>
            <w:r>
              <w:rPr>
                <w:b w:val="0"/>
                <w:sz w:val="19"/>
              </w:rPr>
              <w:t>src/lib/chat/run-chat-stream.ts</w:t>
            </w:r>
          </w:p>
        </w:tc>
      </w:tr>
      <w:tr>
        <w:trPr>
          <w:cantSplit/>
        </w:trPr>
        <w:tc>
          <w:tcPr>
            <w:tcW w:type="dxa" w:w="3672"/>
            <w:vAlign w:val="center"/>
            <w:tcMar>
              <w:top w:w="85" w:type="dxa"/>
              <w:bottom w:w="85" w:type="dxa"/>
              <w:left w:w="95" w:type="dxa"/>
              <w:right w:w="95" w:type="dxa"/>
            </w:tcMar>
            <w:shd w:fill="F2F5F8"/>
          </w:tcPr>
          <w:p>
            <w:pPr>
              <w:spacing w:after="0" w:line="247" w:lineRule="auto"/>
            </w:pPr>
            <w:r>
              <w:rPr>
                <w:b w:val="0"/>
                <w:sz w:val="20"/>
              </w:rPr>
              <w:t>Authenticated user identity</w:t>
            </w:r>
          </w:p>
        </w:tc>
        <w:tc>
          <w:tcPr>
            <w:tcW w:type="dxa" w:w="6408"/>
            <w:vAlign w:val="center"/>
            <w:tcMar>
              <w:top w:w="85" w:type="dxa"/>
              <w:bottom w:w="85" w:type="dxa"/>
              <w:left w:w="95" w:type="dxa"/>
              <w:right w:w="95" w:type="dxa"/>
            </w:tcMar>
            <w:shd w:fill="F2F5F8"/>
          </w:tcPr>
          <w:p>
            <w:pPr>
              <w:spacing w:after="0" w:line="247" w:lineRule="auto"/>
            </w:pPr>
            <w:r>
              <w:rPr>
                <w:b w:val="0"/>
                <w:sz w:val="19"/>
              </w:rPr>
              <w:t>src/lib/identity.ts</w:t>
            </w:r>
          </w:p>
        </w:tc>
      </w:tr>
      <w:tr>
        <w:trPr>
          <w:cantSplit/>
        </w:trPr>
        <w:tc>
          <w:tcPr>
            <w:tcW w:type="dxa" w:w="3672"/>
            <w:vAlign w:val="center"/>
            <w:tcMar>
              <w:top w:w="85" w:type="dxa"/>
              <w:bottom w:w="85" w:type="dxa"/>
              <w:left w:w="95" w:type="dxa"/>
              <w:right w:w="95" w:type="dxa"/>
            </w:tcMar>
            <w:shd w:fill="FFFFFF"/>
          </w:tcPr>
          <w:p>
            <w:pPr>
              <w:spacing w:after="0" w:line="247" w:lineRule="auto"/>
            </w:pPr>
            <w:r>
              <w:rPr>
                <w:b w:val="0"/>
                <w:sz w:val="20"/>
              </w:rPr>
              <w:t>Turn classification and retrieval policy</w:t>
            </w:r>
          </w:p>
        </w:tc>
        <w:tc>
          <w:tcPr>
            <w:tcW w:type="dxa" w:w="6408"/>
            <w:vAlign w:val="center"/>
            <w:tcMar>
              <w:top w:w="85" w:type="dxa"/>
              <w:bottom w:w="85" w:type="dxa"/>
              <w:left w:w="95" w:type="dxa"/>
              <w:right w:w="95" w:type="dxa"/>
            </w:tcMar>
            <w:shd w:fill="FFFFFF"/>
          </w:tcPr>
          <w:p>
            <w:pPr>
              <w:spacing w:after="0" w:line="247" w:lineRule="auto"/>
            </w:pPr>
            <w:r>
              <w:rPr>
                <w:b w:val="0"/>
                <w:sz w:val="19"/>
              </w:rPr>
              <w:t>src/lib/turn-policy/decide-turn.ts</w:t>
            </w:r>
          </w:p>
        </w:tc>
      </w:tr>
      <w:tr>
        <w:trPr>
          <w:cantSplit/>
        </w:trPr>
        <w:tc>
          <w:tcPr>
            <w:tcW w:type="dxa" w:w="3672"/>
            <w:vAlign w:val="center"/>
            <w:tcMar>
              <w:top w:w="85" w:type="dxa"/>
              <w:bottom w:w="85" w:type="dxa"/>
              <w:left w:w="95" w:type="dxa"/>
              <w:right w:w="95" w:type="dxa"/>
            </w:tcMar>
            <w:shd w:fill="F2F5F8"/>
          </w:tcPr>
          <w:p>
            <w:pPr>
              <w:spacing w:after="0" w:line="247" w:lineRule="auto"/>
            </w:pPr>
            <w:r>
              <w:rPr>
                <w:b w:val="0"/>
                <w:sz w:val="20"/>
              </w:rPr>
              <w:t>Complexity score and thread inheritance</w:t>
            </w:r>
          </w:p>
        </w:tc>
        <w:tc>
          <w:tcPr>
            <w:tcW w:type="dxa" w:w="6408"/>
            <w:vAlign w:val="center"/>
            <w:tcMar>
              <w:top w:w="85" w:type="dxa"/>
              <w:bottom w:w="85" w:type="dxa"/>
              <w:left w:w="95" w:type="dxa"/>
              <w:right w:w="95" w:type="dxa"/>
            </w:tcMar>
            <w:shd w:fill="F2F5F8"/>
          </w:tcPr>
          <w:p>
            <w:pPr>
              <w:spacing w:after="0" w:line="247" w:lineRule="auto"/>
            </w:pPr>
            <w:r>
              <w:rPr>
                <w:b w:val="0"/>
                <w:sz w:val="19"/>
              </w:rPr>
              <w:t>src/lib/models/route-message.ts</w:t>
            </w:r>
          </w:p>
        </w:tc>
      </w:tr>
      <w:tr>
        <w:trPr>
          <w:cantSplit/>
        </w:trPr>
        <w:tc>
          <w:tcPr>
            <w:tcW w:type="dxa" w:w="3672"/>
            <w:vAlign w:val="center"/>
            <w:tcMar>
              <w:top w:w="85" w:type="dxa"/>
              <w:bottom w:w="85" w:type="dxa"/>
              <w:left w:w="95" w:type="dxa"/>
              <w:right w:w="95" w:type="dxa"/>
            </w:tcMar>
            <w:shd w:fill="FFFFFF"/>
          </w:tcPr>
          <w:p>
            <w:pPr>
              <w:spacing w:after="0" w:line="247" w:lineRule="auto"/>
            </w:pPr>
            <w:r>
              <w:rPr>
                <w:b w:val="0"/>
                <w:sz w:val="20"/>
              </w:rPr>
              <w:t>Model routing and defaults</w:t>
            </w:r>
          </w:p>
        </w:tc>
        <w:tc>
          <w:tcPr>
            <w:tcW w:type="dxa" w:w="6408"/>
            <w:vAlign w:val="center"/>
            <w:tcMar>
              <w:top w:w="85" w:type="dxa"/>
              <w:bottom w:w="85" w:type="dxa"/>
              <w:left w:w="95" w:type="dxa"/>
              <w:right w:w="95" w:type="dxa"/>
            </w:tcMar>
            <w:shd w:fill="FFFFFF"/>
          </w:tcPr>
          <w:p>
            <w:pPr>
              <w:spacing w:after="0" w:line="247" w:lineRule="auto"/>
            </w:pPr>
            <w:r>
              <w:rPr>
                <w:b w:val="0"/>
                <w:sz w:val="19"/>
              </w:rPr>
              <w:t>src/lib/models/router.ts</w:t>
            </w:r>
          </w:p>
        </w:tc>
      </w:tr>
      <w:tr>
        <w:trPr>
          <w:cantSplit/>
        </w:trPr>
        <w:tc>
          <w:tcPr>
            <w:tcW w:type="dxa" w:w="3672"/>
            <w:vAlign w:val="center"/>
            <w:tcMar>
              <w:top w:w="85" w:type="dxa"/>
              <w:bottom w:w="85" w:type="dxa"/>
              <w:left w:w="95" w:type="dxa"/>
              <w:right w:w="95" w:type="dxa"/>
            </w:tcMar>
            <w:shd w:fill="F2F5F8"/>
          </w:tcPr>
          <w:p>
            <w:pPr>
              <w:spacing w:after="0" w:line="247" w:lineRule="auto"/>
            </w:pPr>
            <w:r>
              <w:rPr>
                <w:b w:val="0"/>
                <w:sz w:val="20"/>
              </w:rPr>
              <w:t>Optional Groq classifier</w:t>
            </w:r>
          </w:p>
        </w:tc>
        <w:tc>
          <w:tcPr>
            <w:tcW w:type="dxa" w:w="6408"/>
            <w:vAlign w:val="center"/>
            <w:tcMar>
              <w:top w:w="85" w:type="dxa"/>
              <w:bottom w:w="85" w:type="dxa"/>
              <w:left w:w="95" w:type="dxa"/>
              <w:right w:w="95" w:type="dxa"/>
            </w:tcMar>
            <w:shd w:fill="F2F5F8"/>
          </w:tcPr>
          <w:p>
            <w:pPr>
              <w:spacing w:after="0" w:line="247" w:lineRule="auto"/>
            </w:pPr>
            <w:r>
              <w:rPr>
                <w:b w:val="0"/>
                <w:sz w:val="19"/>
              </w:rPr>
              <w:t>src/lib/models/groq.ts</w:t>
            </w:r>
          </w:p>
        </w:tc>
      </w:tr>
      <w:tr>
        <w:trPr>
          <w:cantSplit/>
        </w:trPr>
        <w:tc>
          <w:tcPr>
            <w:tcW w:type="dxa" w:w="3672"/>
            <w:vAlign w:val="center"/>
            <w:tcMar>
              <w:top w:w="85" w:type="dxa"/>
              <w:bottom w:w="85" w:type="dxa"/>
              <w:left w:w="95" w:type="dxa"/>
              <w:right w:w="95" w:type="dxa"/>
            </w:tcMar>
            <w:shd w:fill="FFFFFF"/>
          </w:tcPr>
          <w:p>
            <w:pPr>
              <w:spacing w:after="0" w:line="247" w:lineRule="auto"/>
            </w:pPr>
            <w:r>
              <w:rPr>
                <w:b w:val="0"/>
                <w:sz w:val="20"/>
              </w:rPr>
              <w:t>Allowed model selection</w:t>
            </w:r>
          </w:p>
        </w:tc>
        <w:tc>
          <w:tcPr>
            <w:tcW w:type="dxa" w:w="6408"/>
            <w:vAlign w:val="center"/>
            <w:tcMar>
              <w:top w:w="85" w:type="dxa"/>
              <w:bottom w:w="85" w:type="dxa"/>
              <w:left w:w="95" w:type="dxa"/>
              <w:right w:w="95" w:type="dxa"/>
            </w:tcMar>
            <w:shd w:fill="FFFFFF"/>
          </w:tcPr>
          <w:p>
            <w:pPr>
              <w:spacing w:after="0" w:line="247" w:lineRule="auto"/>
            </w:pPr>
            <w:r>
              <w:rPr>
                <w:b w:val="0"/>
                <w:sz w:val="19"/>
              </w:rPr>
              <w:t>src/lib/models/allowlist.ts</w:t>
            </w:r>
          </w:p>
        </w:tc>
      </w:tr>
      <w:tr>
        <w:trPr>
          <w:cantSplit/>
        </w:trPr>
        <w:tc>
          <w:tcPr>
            <w:tcW w:type="dxa" w:w="3672"/>
            <w:vAlign w:val="center"/>
            <w:tcMar>
              <w:top w:w="85" w:type="dxa"/>
              <w:bottom w:w="85" w:type="dxa"/>
              <w:left w:w="95" w:type="dxa"/>
              <w:right w:w="95" w:type="dxa"/>
            </w:tcMar>
            <w:shd w:fill="F2F5F8"/>
          </w:tcPr>
          <w:p>
            <w:pPr>
              <w:spacing w:after="0" w:line="247" w:lineRule="auto"/>
            </w:pPr>
            <w:r>
              <w:rPr>
                <w:b w:val="0"/>
                <w:sz w:val="20"/>
              </w:rPr>
              <w:t>Detection families and safe terms</w:t>
            </w:r>
          </w:p>
        </w:tc>
        <w:tc>
          <w:tcPr>
            <w:tcW w:type="dxa" w:w="6408"/>
            <w:vAlign w:val="center"/>
            <w:tcMar>
              <w:top w:w="85" w:type="dxa"/>
              <w:bottom w:w="85" w:type="dxa"/>
              <w:left w:w="95" w:type="dxa"/>
              <w:right w:w="95" w:type="dxa"/>
            </w:tcMar>
            <w:shd w:fill="F2F5F8"/>
          </w:tcPr>
          <w:p>
            <w:pPr>
              <w:spacing w:after="0" w:line="247" w:lineRule="auto"/>
            </w:pPr>
            <w:r>
              <w:rPr>
                <w:b w:val="0"/>
                <w:sz w:val="19"/>
              </w:rPr>
              <w:t>src/lib/pii.ts</w:t>
            </w:r>
          </w:p>
        </w:tc>
      </w:tr>
      <w:tr>
        <w:trPr>
          <w:cantSplit/>
        </w:trPr>
        <w:tc>
          <w:tcPr>
            <w:tcW w:type="dxa" w:w="3672"/>
            <w:vAlign w:val="center"/>
            <w:tcMar>
              <w:top w:w="85" w:type="dxa"/>
              <w:bottom w:w="85" w:type="dxa"/>
              <w:left w:w="95" w:type="dxa"/>
              <w:right w:w="95" w:type="dxa"/>
            </w:tcMar>
            <w:shd w:fill="FFFFFF"/>
          </w:tcPr>
          <w:p>
            <w:pPr>
              <w:spacing w:after="0" w:line="247" w:lineRule="auto"/>
            </w:pPr>
            <w:r>
              <w:rPr>
                <w:b w:val="0"/>
                <w:sz w:val="20"/>
              </w:rPr>
              <w:t>Extraction, scrubbing and chunking</w:t>
            </w:r>
          </w:p>
        </w:tc>
        <w:tc>
          <w:tcPr>
            <w:tcW w:type="dxa" w:w="6408"/>
            <w:vAlign w:val="center"/>
            <w:tcMar>
              <w:top w:w="85" w:type="dxa"/>
              <w:bottom w:w="85" w:type="dxa"/>
              <w:left w:w="95" w:type="dxa"/>
              <w:right w:w="95" w:type="dxa"/>
            </w:tcMar>
            <w:shd w:fill="FFFFFF"/>
          </w:tcPr>
          <w:p>
            <w:pPr>
              <w:spacing w:after="0" w:line="247" w:lineRule="auto"/>
            </w:pPr>
            <w:r>
              <w:rPr>
                <w:b w:val="0"/>
                <w:sz w:val="19"/>
              </w:rPr>
              <w:t>src/lib/documents.ts</w:t>
            </w:r>
          </w:p>
        </w:tc>
      </w:tr>
      <w:tr>
        <w:trPr>
          <w:cantSplit/>
        </w:trPr>
        <w:tc>
          <w:tcPr>
            <w:tcW w:type="dxa" w:w="3672"/>
            <w:vAlign w:val="center"/>
            <w:tcMar>
              <w:top w:w="85" w:type="dxa"/>
              <w:bottom w:w="85" w:type="dxa"/>
              <w:left w:w="95" w:type="dxa"/>
              <w:right w:w="95" w:type="dxa"/>
            </w:tcMar>
            <w:shd w:fill="F2F5F8"/>
          </w:tcPr>
          <w:p>
            <w:pPr>
              <w:spacing w:after="0" w:line="247" w:lineRule="auto"/>
            </w:pPr>
            <w:r>
              <w:rPr>
                <w:b w:val="0"/>
                <w:sz w:val="20"/>
              </w:rPr>
              <w:t>Retrieval and evidence threshold</w:t>
            </w:r>
          </w:p>
        </w:tc>
        <w:tc>
          <w:tcPr>
            <w:tcW w:type="dxa" w:w="6408"/>
            <w:vAlign w:val="center"/>
            <w:tcMar>
              <w:top w:w="85" w:type="dxa"/>
              <w:bottom w:w="85" w:type="dxa"/>
              <w:left w:w="95" w:type="dxa"/>
              <w:right w:w="95" w:type="dxa"/>
            </w:tcMar>
            <w:shd w:fill="F2F5F8"/>
          </w:tcPr>
          <w:p>
            <w:pPr>
              <w:spacing w:after="0" w:line="247" w:lineRule="auto"/>
            </w:pPr>
            <w:r>
              <w:rPr>
                <w:b w:val="0"/>
                <w:sz w:val="19"/>
              </w:rPr>
              <w:t>src/lib/memory.ts</w:t>
            </w:r>
          </w:p>
        </w:tc>
      </w:tr>
      <w:tr>
        <w:trPr>
          <w:cantSplit/>
        </w:trPr>
        <w:tc>
          <w:tcPr>
            <w:tcW w:type="dxa" w:w="3672"/>
            <w:vAlign w:val="center"/>
            <w:tcMar>
              <w:top w:w="85" w:type="dxa"/>
              <w:bottom w:w="85" w:type="dxa"/>
              <w:left w:w="95" w:type="dxa"/>
              <w:right w:w="95" w:type="dxa"/>
            </w:tcMar>
            <w:shd w:fill="FFFFFF"/>
          </w:tcPr>
          <w:p>
            <w:pPr>
              <w:spacing w:after="0" w:line="247" w:lineRule="auto"/>
            </w:pPr>
            <w:r>
              <w:rPr>
                <w:b w:val="0"/>
                <w:sz w:val="20"/>
              </w:rPr>
              <w:t>Citation-marker auditing</w:t>
            </w:r>
          </w:p>
        </w:tc>
        <w:tc>
          <w:tcPr>
            <w:tcW w:type="dxa" w:w="6408"/>
            <w:vAlign w:val="center"/>
            <w:tcMar>
              <w:top w:w="85" w:type="dxa"/>
              <w:bottom w:w="85" w:type="dxa"/>
              <w:left w:w="95" w:type="dxa"/>
              <w:right w:w="95" w:type="dxa"/>
            </w:tcMar>
            <w:shd w:fill="FFFFFF"/>
          </w:tcPr>
          <w:p>
            <w:pPr>
              <w:spacing w:after="0" w:line="247" w:lineRule="auto"/>
            </w:pPr>
            <w:r>
              <w:rPr>
                <w:b w:val="0"/>
                <w:sz w:val="19"/>
              </w:rPr>
              <w:t>src/lib/citation-audit.ts</w:t>
            </w:r>
          </w:p>
        </w:tc>
      </w:tr>
      <w:tr>
        <w:trPr>
          <w:cantSplit/>
        </w:trPr>
        <w:tc>
          <w:tcPr>
            <w:tcW w:type="dxa" w:w="3672"/>
            <w:vAlign w:val="center"/>
            <w:tcMar>
              <w:top w:w="85" w:type="dxa"/>
              <w:bottom w:w="85" w:type="dxa"/>
              <w:left w:w="95" w:type="dxa"/>
              <w:right w:w="95" w:type="dxa"/>
            </w:tcMar>
            <w:shd w:fill="F2F5F8"/>
          </w:tcPr>
          <w:p>
            <w:pPr>
              <w:spacing w:after="0" w:line="247" w:lineRule="auto"/>
            </w:pPr>
            <w:r>
              <w:rPr>
                <w:b w:val="0"/>
                <w:sz w:val="20"/>
              </w:rPr>
              <w:t>Retrieved-content safeguards</w:t>
            </w:r>
          </w:p>
        </w:tc>
        <w:tc>
          <w:tcPr>
            <w:tcW w:type="dxa" w:w="6408"/>
            <w:vAlign w:val="center"/>
            <w:tcMar>
              <w:top w:w="85" w:type="dxa"/>
              <w:bottom w:w="85" w:type="dxa"/>
              <w:left w:w="95" w:type="dxa"/>
              <w:right w:w="95" w:type="dxa"/>
            </w:tcMar>
            <w:shd w:fill="F2F5F8"/>
          </w:tcPr>
          <w:p>
            <w:pPr>
              <w:spacing w:after="0" w:line="247" w:lineRule="auto"/>
            </w:pPr>
            <w:r>
              <w:rPr>
                <w:b w:val="0"/>
                <w:sz w:val="19"/>
              </w:rPr>
              <w:t>src/lib/prompt-guard.ts</w:t>
            </w:r>
          </w:p>
        </w:tc>
      </w:tr>
      <w:tr>
        <w:trPr>
          <w:cantSplit/>
        </w:trPr>
        <w:tc>
          <w:tcPr>
            <w:tcW w:type="dxa" w:w="3672"/>
            <w:vAlign w:val="center"/>
            <w:tcMar>
              <w:top w:w="85" w:type="dxa"/>
              <w:bottom w:w="85" w:type="dxa"/>
              <w:left w:w="95" w:type="dxa"/>
              <w:right w:w="95" w:type="dxa"/>
            </w:tcMar>
            <w:shd w:fill="FFFFFF"/>
          </w:tcPr>
          <w:p>
            <w:pPr>
              <w:spacing w:after="0" w:line="247" w:lineRule="auto"/>
            </w:pPr>
            <w:r>
              <w:rPr>
                <w:b w:val="0"/>
                <w:sz w:val="20"/>
              </w:rPr>
              <w:t>Pricing calculation and adjustments</w:t>
            </w:r>
          </w:p>
        </w:tc>
        <w:tc>
          <w:tcPr>
            <w:tcW w:type="dxa" w:w="6408"/>
            <w:vAlign w:val="center"/>
            <w:tcMar>
              <w:top w:w="85" w:type="dxa"/>
              <w:bottom w:w="85" w:type="dxa"/>
              <w:left w:w="95" w:type="dxa"/>
              <w:right w:w="95" w:type="dxa"/>
            </w:tcMar>
            <w:shd w:fill="FFFFFF"/>
          </w:tcPr>
          <w:p>
            <w:pPr>
              <w:spacing w:after="0" w:line="247" w:lineRule="auto"/>
            </w:pPr>
            <w:r>
              <w:rPr>
                <w:b w:val="0"/>
                <w:sz w:val="19"/>
              </w:rPr>
              <w:t>src/lib/pricing/index.ts and types.ts</w:t>
            </w:r>
          </w:p>
        </w:tc>
      </w:tr>
      <w:tr>
        <w:trPr>
          <w:cantSplit/>
        </w:trPr>
        <w:tc>
          <w:tcPr>
            <w:tcW w:type="dxa" w:w="3672"/>
            <w:vAlign w:val="center"/>
            <w:tcMar>
              <w:top w:w="85" w:type="dxa"/>
              <w:bottom w:w="85" w:type="dxa"/>
              <w:left w:w="95" w:type="dxa"/>
              <w:right w:w="95" w:type="dxa"/>
            </w:tcMar>
            <w:shd w:fill="F2F5F8"/>
          </w:tcPr>
          <w:p>
            <w:pPr>
              <w:keepNext/>
              <w:spacing w:after="0" w:line="247" w:lineRule="auto"/>
            </w:pPr>
            <w:r>
              <w:rPr>
                <w:b w:val="0"/>
                <w:sz w:val="20"/>
              </w:rPr>
              <w:t>Provider rate table</w:t>
            </w:r>
          </w:p>
        </w:tc>
        <w:tc>
          <w:tcPr>
            <w:tcW w:type="dxa" w:w="6408"/>
            <w:vAlign w:val="center"/>
            <w:tcMar>
              <w:top w:w="85" w:type="dxa"/>
              <w:bottom w:w="85" w:type="dxa"/>
              <w:left w:w="95" w:type="dxa"/>
              <w:right w:w="95" w:type="dxa"/>
            </w:tcMar>
            <w:shd w:fill="F2F5F8"/>
          </w:tcPr>
          <w:p>
            <w:pPr>
              <w:keepNext/>
              <w:spacing w:after="0" w:line="247" w:lineRule="auto"/>
            </w:pPr>
            <w:r>
              <w:rPr>
                <w:b w:val="0"/>
                <w:sz w:val="19"/>
              </w:rPr>
              <w:t>src/lib/pricing/groq.ts</w:t>
            </w:r>
          </w:p>
        </w:tc>
      </w:tr>
      <w:tr>
        <w:trPr>
          <w:cantSplit/>
        </w:trPr>
        <w:tc>
          <w:tcPr>
            <w:tcW w:type="dxa" w:w="3672"/>
            <w:vAlign w:val="center"/>
            <w:tcMar>
              <w:top w:w="85" w:type="dxa"/>
              <w:bottom w:w="85" w:type="dxa"/>
              <w:left w:w="95" w:type="dxa"/>
              <w:right w:w="95" w:type="dxa"/>
            </w:tcMar>
            <w:shd w:fill="FFFFFF"/>
          </w:tcPr>
          <w:p>
            <w:pPr>
              <w:keepNext/>
              <w:spacing w:after="0" w:line="247" w:lineRule="auto"/>
            </w:pPr>
            <w:r>
              <w:rPr>
                <w:b w:val="0"/>
                <w:sz w:val="20"/>
              </w:rPr>
              <w:t>Monthly cap enforcement</w:t>
            </w:r>
          </w:p>
        </w:tc>
        <w:tc>
          <w:tcPr>
            <w:tcW w:type="dxa" w:w="6408"/>
            <w:vAlign w:val="center"/>
            <w:tcMar>
              <w:top w:w="85" w:type="dxa"/>
              <w:bottom w:w="85" w:type="dxa"/>
              <w:left w:w="95" w:type="dxa"/>
              <w:right w:w="95" w:type="dxa"/>
            </w:tcMar>
            <w:shd w:fill="FFFFFF"/>
          </w:tcPr>
          <w:p>
            <w:pPr>
              <w:keepNext/>
              <w:spacing w:after="0" w:line="247" w:lineRule="auto"/>
            </w:pPr>
            <w:r>
              <w:rPr>
                <w:b w:val="0"/>
                <w:sz w:val="19"/>
              </w:rPr>
              <w:t>src/lib/cost-cap.ts</w:t>
            </w:r>
          </w:p>
        </w:tc>
      </w:tr>
      <w:tr>
        <w:trPr>
          <w:cantSplit/>
        </w:trPr>
        <w:tc>
          <w:tcPr>
            <w:tcW w:type="dxa" w:w="3672"/>
            <w:vAlign w:val="center"/>
            <w:tcMar>
              <w:top w:w="85" w:type="dxa"/>
              <w:bottom w:w="85" w:type="dxa"/>
              <w:left w:w="95" w:type="dxa"/>
              <w:right w:w="95" w:type="dxa"/>
            </w:tcMar>
            <w:shd w:fill="F2F5F8"/>
          </w:tcPr>
          <w:p>
            <w:pPr>
              <w:spacing w:after="0" w:line="247" w:lineRule="auto"/>
            </w:pPr>
            <w:r>
              <w:rPr>
                <w:b w:val="0"/>
                <w:sz w:val="20"/>
              </w:rPr>
              <w:t>AWS credential resolution</w:t>
            </w:r>
          </w:p>
        </w:tc>
        <w:tc>
          <w:tcPr>
            <w:tcW w:type="dxa" w:w="6408"/>
            <w:vAlign w:val="center"/>
            <w:tcMar>
              <w:top w:w="85" w:type="dxa"/>
              <w:bottom w:w="85" w:type="dxa"/>
              <w:left w:w="95" w:type="dxa"/>
              <w:right w:w="95" w:type="dxa"/>
            </w:tcMar>
            <w:shd w:fill="F2F5F8"/>
          </w:tcPr>
          <w:p>
            <w:pPr>
              <w:spacing w:after="0" w:line="247" w:lineRule="auto"/>
            </w:pPr>
            <w:r>
              <w:rPr>
                <w:b w:val="0"/>
                <w:sz w:val="19"/>
              </w:rPr>
              <w:t>src/lib/aws-credentials.ts</w:t>
            </w:r>
          </w:p>
        </w:tc>
      </w:tr>
    </w:tbl>
    <w:p>
      <w:pPr>
        <w:spacing w:after="40" w:before="0" w:line="240" w:lineRule="auto"/>
      </w:pPr>
      <w:r>
        <w:rPr>
          <w:sz w:val="4"/>
        </w:rPr>
      </w:r>
    </w:p>
    <w:p>
      <w:pPr>
        <w:pStyle w:val="Heading2"/>
      </w:pPr>
      <w:r>
        <w:t>AWS reference material</w:t>
      </w:r>
    </w:p>
    <w:p>
      <w:pPr>
        <w:keepLines/>
        <w:widowControl/>
      </w:pPr>
      <w:r>
        <w:t>These references explain service capabilities. They do not verify SecureMind's implementation.</w:t>
      </w:r>
    </w:p>
    <w:p>
      <w:pPr>
        <w:widowControl/>
      </w:pPr>
      <w:r>
        <w:t>Amazon Transcribe streaming setup</w:t>
      </w:r>
    </w:p>
    <w:p>
      <w:pPr>
        <w:widowControl/>
      </w:pPr>
      <w:r>
        <w:rPr>
          <w:sz w:val="18"/>
        </w:rPr>
        <w:t>https://docs.aws.amazon.com/transcribe/latest/dg/streaming-setting-up.html</w:t>
      </w:r>
    </w:p>
    <w:p>
      <w:pPr>
        <w:widowControl/>
      </w:pPr>
      <w:r>
        <w:t>Amazon S3 encryption with AWS KMS</w:t>
      </w:r>
    </w:p>
    <w:p>
      <w:pPr>
        <w:widowControl/>
      </w:pPr>
      <w:r>
        <w:rPr>
          <w:sz w:val="18"/>
        </w:rPr>
        <w:t>https://docs.aws.amazon.com/AmazonS3/latest/userguide/UsingKMSEncryption.html</w:t>
      </w:r>
    </w:p>
    <w:p>
      <w:pPr>
        <w:widowControl/>
      </w:pPr>
      <w:r>
        <w:t>Amazon Macie documentation</w:t>
      </w:r>
    </w:p>
    <w:p>
      <w:pPr>
        <w:widowControl/>
      </w:pPr>
      <w:r>
        <w:rPr>
          <w:sz w:val="18"/>
        </w:rPr>
        <w:t>https://docs.aws.amazon.com/macie/</w:t>
      </w:r>
    </w:p>
    <w:p>
      <w:pPr>
        <w:pStyle w:val="Heading1"/>
      </w:pPr>
      <w:r>
        <w:t>Appendix A  Checks against the application</w:t>
      </w:r>
    </w:p>
    <w:p>
      <w:pPr>
        <w:keepLines/>
        <w:widowControl/>
      </w:pPr>
      <w:r>
        <w:t>These notes record what the application does. They close the questions earlier drafts left open.</w:t>
      </w:r>
    </w:p>
    <w:p>
      <w:pPr>
        <w:pStyle w:val="Heading2"/>
      </w:pPr>
      <w:r>
        <w:t>A1 Deployment and request lifecycle</w:t>
      </w:r>
    </w:p>
    <w:p>
      <w:pPr>
        <w:keepLines/>
        <w:widowControl/>
      </w:pPr>
      <w:r>
        <w:t>1. Cloud routing. Chat streaming and the warm-up call use API Gateway and Lambda. The other APIs still run on Amplify. Moving the remaining APIs to the gateway is the hosting target, and it is not finished.</w:t>
      </w:r>
    </w:p>
    <w:p>
      <w:pPr>
        <w:widowControl/>
      </w:pPr>
      <w:r>
        <w:t>2. Streaming. Local chat is a Next.js response. Hosted chat is an API Gateway stream from the chat Lambda. Stop and a workspace switch abort the browser request. The server does not signal the provider to stop, and the inference status “aborted” is never set.</w:t>
      </w:r>
    </w:p>
    <w:p>
      <w:pPr>
        <w:widowControl/>
      </w:pPr>
      <w:r>
        <w:t>3. Queue isolation. The queue holds the reviewed text and a snapshot of attachments. Switching workspaces clears that queue and the composer, then loads the selected workspace.</w:t>
      </w:r>
    </w:p>
    <w:p>
      <w:pPr>
        <w:widowControl/>
      </w:pPr>
      <w:r>
        <w:t>4. Authentication and ownership. The user id comes from getIdentity. Another user’s record returns 404. Docker uses Floci. A developer configuration can use local authentication. Vector queries and document routes filter by user and workspace. The loader uses the session of the latest message. There is no workspace-count cap. The schema allows more than one session row.</w:t>
      </w:r>
    </w:p>
    <w:p>
      <w:pPr>
        <w:pStyle w:val="Heading2"/>
      </w:pPr>
      <w:r>
        <w:t>A2 Detection and credentials</w:t>
      </w:r>
    </w:p>
    <w:p>
      <w:pPr>
        <w:keepLines/>
        <w:widowControl/>
      </w:pPr>
      <w:r>
        <w:t>5. Detection coverage. The Low, Balanced, and High table matches the pattern definitions. Balanced is the default. Coverage is cumulative. A policy change does not rescan stored messages or documents. Members may propose a change. Only an administrator applies it.</w:t>
      </w:r>
    </w:p>
    <w:p>
      <w:pPr>
        <w:widowControl/>
      </w:pPr>
      <w:r>
        <w:t>6. Input enforcement. The normal composer sends the reviewed text. Chat is not scrubbed again on the server. A direct API call can skip the browser. Findings store the category and outcome, not the matched string.</w:t>
      </w:r>
    </w:p>
    <w:p>
      <w:pPr>
        <w:widowControl/>
      </w:pPr>
      <w:r>
        <w:t>7. Output scanning. Generated replies are not scanned before streaming, during streaming, or before they are stored.</w:t>
      </w:r>
    </w:p>
    <w:p>
      <w:pPr>
        <w:widowControl/>
      </w:pPr>
      <w:r>
        <w:t>8. Provider secrets. Local vendor keys use AES-256-GCM, prefix smenc:v1:, with INSTANCE_ENCRYPTION_KEY or .data/instance.key. Hosted keys an administrator pastes go to the Secrets Manager secret vendor-keys. A bootstrap Groq secret and the DynamoDB table name are separate secrets. No KMS key is defined in this Terraform.</w:t>
      </w:r>
    </w:p>
    <w:p>
      <w:pPr>
        <w:widowControl/>
      </w:pPr>
      <w:r>
        <w:t>9. AWS access. Pasted AWS access keys are rejected with HTTP 422. Bedrock uses the SDK credential chain. awsProfile names a profile and does not hold the secret. withRealAwsEndpoints() isolates Bedrock, embeddings, vendor-key reads, and Transcribe from the local emulator endpoint. ALLOW_REAL_AWS=false blocks billable AWS calls.</w:t>
      </w:r>
    </w:p>
    <w:p>
      <w:pPr>
        <w:pStyle w:val="Heading2"/>
      </w:pPr>
      <w:r>
        <w:t>A3 Models and scoring</w:t>
      </w:r>
    </w:p>
    <w:p>
      <w:pPr>
        <w:keepLines/>
        <w:widowControl/>
      </w:pPr>
      <w:r>
        <w:t>10. Model selection. The tier’s built-in Groq model is the default assignment. An invalid client id is ignored. Local chat can fall back to an installed Ollama model. Hosted chat returns HTTP 503 when no eligible model can run. The tie-break itself requires Groq and otherwise keeps the score.</w:t>
      </w:r>
    </w:p>
    <w:p>
      <w:pPr>
        <w:widowControl/>
      </w:pPr>
      <w:r>
        <w:t>11. Scoring. The baseline is 42, clamped from 0 to 100, with the thresholds and weights in section 6. The adjustment for messages longer than 450 characters is unreachable. Casual language adds 8 and emotional language adds 4, and both can apply.</w:t>
      </w:r>
    </w:p>
    <w:p>
      <w:pPr>
        <w:widowControl/>
      </w:pPr>
      <w:r>
        <w:t>12. Thread inheritance. A follow-up under 160 characters can inherit a deeper tier. There is no time expiry. The ambiguous band is 34 through 46. The classifier is llama-3.1-8b-instant on Groq, temperature 0, at most ten tokens. High and Fast map to Max and Light.</w:t>
      </w:r>
    </w:p>
    <w:p>
      <w:pPr>
        <w:widowControl/>
      </w:pPr>
      <w:r>
        <w:t>13. Fixed mode. Fixed mode sends one model for every tier on that request and does not erase saved tier assignments. Verification lasts seven days. Hide removes a model from the chat menu and leaves an existing tier assignment able to run.</w:t>
      </w:r>
    </w:p>
    <w:p>
      <w:pPr>
        <w:widowControl/>
      </w:pPr>
      <w:r>
        <w:t>14. Background work. Summaries and fact extraction use llama-3.1-8b-instant, or GROQ_FAST_MODEL. They are not priced by comparison, and they are not inference events. Embeddings are separate and are outside the cap.</w:t>
      </w:r>
    </w:p>
    <w:p>
      <w:pPr>
        <w:pStyle w:val="Heading2"/>
      </w:pPr>
      <w:r>
        <w:t>A4 Knowledge and memory</w:t>
      </w:r>
    </w:p>
    <w:p>
      <w:pPr>
        <w:keepLines/>
        <w:widowControl/>
      </w:pPr>
      <w:r>
        <w:t>15. Vector storage. Local embeddings are nomic-embed-text, 768 dimensions, in pgvector. Hosted embeddings are Amazon Titan Text Embeddings v2, 1,024 dimensions, in DynamoDB index workspace-vectors. SearchVectors is used when available. Otherwise the engine ranks with local cosine. Both paths filter by user and workspace.</w:t>
      </w:r>
    </w:p>
    <w:p>
      <w:pPr>
        <w:widowControl/>
      </w:pPr>
      <w:r>
        <w:t>16. Retrieval and citations. The query returns cosine distance, converted to similarity with one minus the distance. The floor is 0.5, applied after a request for 10 candidates. Citation audit runs after the answer has streamed. Sources shown are the cited passages. Declined means the answer admits a lack of evidence and cites nothing.</w:t>
      </w:r>
    </w:p>
    <w:p>
      <w:pPr>
        <w:widowControl/>
      </w:pPr>
      <w:r>
        <w:t>17. Ingestion and originals. Extracted text is scrubbed, then split at about 1,500 characters with about 200 characters of overlap. Pieces under 80 characters are dropped. Local originals stay in the data directory. The hosted path does not write that file.</w:t>
      </w:r>
    </w:p>
    <w:p>
      <w:pPr>
        <w:widowControl/>
      </w:pPr>
      <w:r>
        <w:t>18. Images and spreadsheets. Chat images use the fixed Groq vision model. Knowledge ingest prefers Groq locally and Bedrock on the hosted installation, and does not store a filename stub when vision is unavailable. Spreadsheet queries run on the scrubbed grid, limited to 2,000 rows and 40 columns, and do not send the grid to a model.</w:t>
      </w:r>
    </w:p>
    <w:p>
      <w:pPr>
        <w:widowControl/>
      </w:pPr>
      <w:r>
        <w:t>19. Summary and facts. The session summary and user-authored facts are written by the summarize route. Assistant replies are not facts. The Memory screen supports correct, pin, forget, restore, and delete.</w:t>
      </w:r>
    </w:p>
    <w:p>
      <w:pPr>
        <w:widowControl/>
      </w:pPr>
      <w:r>
        <w:t>20. Generation settings. Temperature, token limits, retrieval size, and chunking are constants in code. They are not Settings controls. Chat temperature is 0.8 with a 1,024-token limit on the Groq, OpenAI, and xAI paths. Generation top-p and top-k are not set.</w:t>
      </w:r>
    </w:p>
    <w:p>
      <w:pPr>
        <w:pStyle w:val="Heading2"/>
      </w:pPr>
      <w:r>
        <w:t>A5 Cost reporting and user controls</w:t>
      </w:r>
    </w:p>
    <w:p>
      <w:pPr>
        <w:keepLines/>
        <w:widowControl/>
      </w:pPr>
      <w:r>
        <w:t>21. Baseline comparison. The baseline is fixed as llama-3.3-70b-versatile. Savings are never negative. There is no user-selected baseline and no recalculation of stored events.</w:t>
      </w:r>
    </w:p>
    <w:p>
      <w:pPr>
        <w:widowControl/>
      </w:pPr>
      <w:r>
        <w:t>22. Estimator and cap. The formula in section 12 matches the code, including the 10 percent uplift, the $0.0001 round-up, the Max-rate fallback, and Ollama at $0. A null cap is unlimited. The numeric maximum is $100,000. The default is $10. Warnings are at 50 and 80 percent. The block is HTTP 402 on the next billable chat call. Concurrent calls are not reserved.</w:t>
      </w:r>
    </w:p>
    <w:p>
      <w:pPr>
        <w:widowControl/>
      </w:pPr>
      <w:r>
        <w:t>23. Voice. The backends are Groq Whisper and Amazon Transcribe. Audio is relayed to the selected service before the transcript is scanned. Transcribe charges are outside Insights and the monthly cap. Self-hosted Whisper is not implemented.</w:t>
      </w:r>
    </w:p>
    <w:p>
      <w:pPr>
        <w:widowControl/>
      </w:pPr>
      <w:r>
        <w:t>24. Insights and account data. The blue tier number counts replies for that tier. Provider chips count assignable models. Administrator views reuse the same Usage, Cost, and Security records. Avatars are served only to a signed-in session. Theme and the status-chip collapse are stored on the device. Removing sign-in does not delete history or files.</w:t>
      </w:r>
    </w:p>
    <w:p>
      <w:pPr>
        <w:pStyle w:val="Heading2"/>
      </w:pPr>
      <w:r>
        <w:t>A6 Follow-on design decisions</w:t>
      </w:r>
    </w:p>
    <w:p>
      <w:pPr>
        <w:keepLines/>
        <w:widowControl/>
      </w:pPr>
      <w:r>
        <w:t>Advanced generation controls, a limit on the number of workspaces, self-hosted Whisper, KMS, and Macie are not part of this application. The Docker installation still includes local Ollama.</w:t>
      </w:r>
    </w:p>
    <w:sectPr w:rsidR="00FC693F" w:rsidRPr="0006063C" w:rsidSect="00034616">
      <w:headerReference w:type="default" r:id="rId9"/>
      <w:footerReference w:type="default" r:id="rId10"/>
      <w:pgSz w:w="12240" w:h="15840"/>
      <w:pgMar w:top="1008" w:right="1080" w:bottom="936"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SecureMind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r>
      <w:rPr>
        <w:sz w:val="16"/>
      </w:rPr>
      <w:t>SECUREMIND  |  TECHNICAL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8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40" w:lineRule="auto" w:before="0"/>
      <w:contextualSpacing/>
    </w:pPr>
    <w:rPr>
      <w:rFonts w:asciiTheme="majorHAnsi" w:eastAsiaTheme="majorEastAsia" w:hAnsiTheme="majorHAnsi" w:cstheme="majorBidi" w:ascii="Calibri" w:hAnsi="Calibri"/>
      <w:b w:val="0"/>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SecureMind Technical Guide</dc:title>
  <dc:subject>Architecture and application behaviour</dc:subject>
  <dc:creator>Orie Hulan</dc:creator>
  <cp:keywords>SecureMind, architecture, technical guide</cp:keywords>
  <dc:description>generated by python-docx</dc:description>
  <cp:lastModifiedBy/>
  <cp:revision>1</cp:revision>
  <dcterms:created xsi:type="dcterms:W3CDTF">2013-12-23T23:15:00Z</dcterms:created>
  <dcterms:modified xsi:type="dcterms:W3CDTF">2013-12-23T23:15:00Z</dcterms:modified>
  <cp:category/>
</cp:coreProperties>
</file>