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spacing w:before="0" w:after="160" w:line="276" w:lineRule="auto"/>
      </w:pPr>
      <w:r>
        <w:rPr>
          <w:rFonts w:ascii="Calibri" w:hAnsi="Calibri" w:eastAsia="Calibri"/>
          <w:b w:val="0"/>
          <w:i w:val="0"/>
          <w:color w:val="1A1C1F"/>
          <w:sz w:val="22"/>
        </w:rPr>
        <w:t>SecureMind is intended for small to mid-sized teams. One installation serves one organization: 1 to 25 people is the recommended range, and it can serve up to about 100 people with a few adjustments, mainly an AWS concurrency limit and a realistic budget. The technical guide lists them. Separate organizations should each run their own installation.</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Saved,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Saved  ·  11 Insights  ·  12 Model settings  ·  13 Detection policy  ·  14 Profile and account security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"Why this tier?" link under a reply. It lists the signals that raised or lowered the score, any adjustment, and the tier that ran.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helper model an administrator approves for one narrow job, such as turning a reply into a file. It is off until chosen.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Portal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logo, name, and short phrase in the top-left of the workspace, set by an administrator.</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 On the hosted edition with Amazon Transcribe, words appear while you speak, a session ends after ten minutes, and voice counts toward the monthly cost cap and is refused once a person is over it. Your browser connects to Amazon Transcribe with a short-lived address that the server signs, so the audio does not pass through the SecureMind server. If live captions fail for any reason, the whole recording is transcribed in one pass when you press the tick.</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Chat chooses a model by complexity tier. A task model is separate: a helper an administrator approves for one narrow job. The one job today is building a downloadable file when the chat model did not produce the file format. It is off until an administrator chooses a model under Settings, Models. It always uses exactly the model that was chosen, and never falls back to another provider. It sees only the reply text, after card numbers, social security numbers and secrets have been replaced, and a vendor model needs the vendor notice accepted first.</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spacing w:before="0" w:after="160" w:line="276" w:lineRule="auto"/>
      </w:pPr>
      <w:r>
        <w:rPr>
          <w:rFonts w:ascii="Calibri" w:hAnsi="Calibri" w:eastAsia="Calibri"/>
          <w:b w:val="0"/>
          <w:i w:val="0"/>
          <w:color w:val="1A1C1F"/>
          <w:sz w:val="22"/>
        </w:rPr>
        <w:t>Docker builds SecureMind from the source you download, and by default it is reachable only from that computer. The first account needs a one-time setup code, which the installation prints when it starts. To use it from other computers on your network, add the included HTTPS front end and a firewall. Docker is meant for a computer or a private network, not for the public internet.</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The cloud option includes backups of the data (point-in-time recovery), protection against deleting the database or the user directory by mistake, an AWS activity trail, alarms, and a monthly budget alert sent to an email the administrator chooses. Sign-in is invite-only and is checked again at the API before any chat runs.</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skips this review, so the server checks every chat message again for the highest-risk values (social security and social insurance numbers, card numbers and secrets) and replaces them. Other details are reviewed in the browser only.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Every reply carries a "Why this tier?" link. It opens a score card: the baseline, each signal that fired with its points, any adjustment, and the tier that ran. No message text is stored on the card. A message that is answered from your documents is never run on the cheapest tiers: a short question about a document runs on at least Standard, and a summary or analysis across documents runs on at least Plus.</w:t>
      </w:r>
    </w:p>
    <w:p>
      <w:pPr>
        <w:spacing w:before="0" w:after="160" w:line="276" w:lineRule="auto"/>
      </w:pPr>
      <w:r>
        <w:rPr>
          <w:rFonts w:ascii="Calibri" w:hAnsi="Calibri" w:eastAsia="Calibri"/>
          <w:b w:val="0"/>
          <w:i w:val="0"/>
          <w:color w:val="1A1C1F"/>
          <w:sz w:val="22"/>
        </w:rPr>
        <w:t>If a provider retires a model, the next reply that picks it fails with the provider's answer. SecureMind then takes that model off the chat menus, says so in the reply, and leaves it off until a later Test passes. A temporary problem such as a rate limit or an outage does not unlist anything.</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Ask for a file, such as an Excel spreadsheet, a Word document, a CSV or a Markdown note, and the reply carries a file card with a Download button. The browser builds the file when you press Download. Nothing is stored on the server. File names are cleaned, anything that would run when opened is saved as a plain text file, spreadsheet cells that look like formulas are written as text, and a file over 2 MB is refused.</w:t>
      </w:r>
    </w:p>
    <w:p>
      <w:pPr>
        <w:spacing w:before="0" w:after="160" w:line="276" w:lineRule="auto"/>
      </w:pPr>
      <w:r>
        <w:rPr>
          <w:rFonts w:ascii="Calibri" w:hAnsi="Calibri" w:eastAsia="Calibri"/>
          <w:b w:val="0"/>
          <w:i w:val="0"/>
          <w:color w:val="1A1C1F"/>
          <w:sz w:val="22"/>
        </w:rPr>
        <w:t>If the model did not write the file format, the browser first tries to build a file from the reply itself, such as a table or a document. Only when that finds nothing, and an administrator has approved a task model, does the helper build it. A request for a file changes the shape of the reply. It does not change what is searched or which tier runs.</w:t>
      </w:r>
    </w:p>
    <w:p>
      <w:pPr>
        <w:pStyle w:val="Heading2"/>
        <w:spacing w:before="240" w:after="80"/>
      </w:pPr>
      <w:r>
        <w:rPr>
          <w:rFonts w:ascii="Calibri" w:hAnsi="Calibri" w:eastAsia="Calibri"/>
          <w:b/>
          <w:color w:val="3A3278"/>
          <w:sz w:val="26"/>
        </w:rPr>
        <w:t>A member's first visit</w:t>
      </w:r>
    </w:p>
    <w:p>
      <w:pPr>
        <w:spacing w:before="0" w:after="160" w:line="276" w:lineRule="auto"/>
      </w:pPr>
      <w:r>
        <w:rPr>
          <w:rFonts w:ascii="Calibri" w:hAnsi="Calibri" w:eastAsia="Calibri"/>
          <w:b w:val="0"/>
          <w:i w:val="0"/>
          <w:color w:val="1A1C1F"/>
          <w:sz w:val="22"/>
        </w:rPr>
        <w:t>A member's first workspace opens with a short welcome, and a Take the tour button walks through the main areas. The button stops appearing after three visits, or sooner if you close it.</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Uploads are limited before any parser runs: a file is at most 10 MB, and a Word or Excel file is opened with a hard cap on how large it may unpack, so a file that lies about its size is refused. Each person can add a limited number of files a day and store a limited total.</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Saved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Save a message when you want to revisit it. Saved lists those bookmarks.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Usage, Cost, and Security. Each opens a full page for the longer view.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Bedrock, and voice-transcription usage, using recorded activity and provider rates. Each estimate is raised by 10 percent and rounded up, so it tends high rather than low. It is useful for comparing models, observing spending trends, and judging an approximate spending range. The page also compares what you spent with what the same replies would have cost if every one had used the most expensive default tier. That gap is the routing saving. It is not money returned.</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and voice sessions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spacing w:before="0" w:after="160" w:line="276" w:lineRule="auto"/>
      </w:pPr>
      <w:r>
        <w:rPr>
          <w:rFonts w:ascii="Calibri" w:hAnsi="Calibri" w:eastAsia="Calibri"/>
          <w:b w:val="0"/>
          <w:i w:val="0"/>
          <w:color w:val="1A1C1F"/>
          <w:sz w:val="22"/>
        </w:rPr>
        <w:t>A model a provider has retired is taken off the chat menus automatically the first time a reply fails because of it, and it stays under the not-working group until a Test passes.</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Under Settings, Models, an administrator can approve a helper model for building files, as described in section 4. The setting is off by default. Voice transcription is chosen in the same panel.</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Profile and account security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Profile lets you set a profile image, change your display name, and add a description about yourself. The photo is available to a signed-in session. It is not a public link. Account security, where the installation uses its sign-in service, lets you change your password and turn on two-step verification with an authenticator app.</w:t>
      </w:r>
    </w:p>
    <w:p>
      <w:pPr>
        <w:spacing w:before="0" w:after="160" w:line="276" w:lineRule="auto"/>
      </w:pPr>
      <w:r>
        <w:rPr>
          <w:rFonts w:ascii="Calibri" w:hAnsi="Calibri" w:eastAsia="Calibri"/>
          <w:b w:val="0"/>
          <w:i w:val="0"/>
          <w:color w:val="1A1C1F"/>
          <w:sz w:val="22"/>
        </w:rPr>
        <w:t>Two-step verification is optional and uses real Amazon Cognito, so it is available on the hosted edition. The local Docker sign-in does not support codes, and the page hides the control there. You set it up by scanning a QR code and typing a code to confirm. At sign-in, after your password, you type the six-digit code. Turning it off needs your password again, and repeated wrong passwords are slowed down. Administrators see a recommendation until they turn it on, and the Owner can reset someone else’s second step from the Admin page if a phone is lost.</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Only the Owner can change another administrator’s role, status, password, or two-step verification, so one administrator cannot take over another. A suspended person is signed out within seconds. Every administrative change is kept in an audit log. Setting a member’s password lets an administrator sign in as that member, so keep the number of administrators small and have them turn on two-step verification.</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0" w:after="160" w:line="276" w:lineRule="auto"/>
      </w:pPr>
      <w:r>
        <w:rPr>
          <w:rFonts w:ascii="Calibri" w:hAnsi="Calibri" w:eastAsia="Calibri"/>
          <w:b w:val="0"/>
          <w:i w:val="0"/>
          <w:color w:val="1A1C1F"/>
          <w:sz w:val="22"/>
        </w:rPr>
        <w:t>Add user creates an account with a password the administrator types or generates, and sends a welcome email when outgoing email is set up. A deleted person can be restored. A person who is deleted loses sign-in, but their workspaces, Knowledge and history are not erased.</w:t>
      </w:r>
    </w:p>
    <w:p>
      <w:pPr>
        <w:spacing w:before="0" w:after="160" w:line="276" w:lineRule="auto"/>
      </w:pPr>
      <w:r>
        <w:rPr>
          <w:rFonts w:ascii="Calibri" w:hAnsi="Calibri" w:eastAsia="Calibri"/>
          <w:b w:val="0"/>
          <w:i w:val="0"/>
          <w:color w:val="1A1C1F"/>
          <w:sz w:val="22"/>
        </w:rPr>
        <w:t>The Portal card sets the logo, name, and short phrase shown in the top-left of the workspace. The sign-in page, the browser title, and email stay SecureMind.</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A member who joins an installation that is already set up sees a short welcome and can take a tour.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Saved returns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For a request that bypasses it, the server catches only the highest-risk values, not every category.</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and one installation is not a boundary between separate organizations. A region set for the deployment does not, by itself, mean that every connected service processes data only there. An AWS web application firewall is not included; an administrator can add one to their own account.</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 The model’s reply is not scanned for sensitive values, and a signed-in session stays valid until it expires, up to an hour, even after you sign out.</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