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F9E5" w14:textId="77777777" w:rsidR="00906712" w:rsidRPr="00332D24" w:rsidRDefault="00A7560E" w:rsidP="00332D24">
      <w:pPr>
        <w:pStyle w:val="-"/>
      </w:pPr>
      <w:r w:rsidRPr="00A7560E">
        <w:t>Отношение разных обществ к развитию искусственного интеллекта: опасения и страхи</w:t>
      </w:r>
    </w:p>
    <w:p w14:paraId="7B549DEE" w14:textId="2985A5AF" w:rsidR="00906712" w:rsidRDefault="007E1B6F" w:rsidP="00906712">
      <w:pPr>
        <w:pStyle w:val="-3"/>
      </w:pPr>
      <w:r>
        <w:rPr>
          <w:rFonts w:cs="Arial"/>
          <w:color w:val="000000"/>
          <w:shd w:val="clear" w:color="auto" w:fill="FFFFFF"/>
        </w:rPr>
        <w:t>Абдулин Д.М.</w:t>
      </w:r>
      <w:r w:rsidR="00FB1B14">
        <w:rPr>
          <w:rFonts w:cs="Arial"/>
          <w:color w:val="000000"/>
          <w:shd w:val="clear" w:color="auto" w:fill="FFFFFF"/>
        </w:rPr>
        <w:t xml:space="preserve">, </w:t>
      </w:r>
      <w:r>
        <w:rPr>
          <w:rFonts w:cs="Arial"/>
          <w:color w:val="000000"/>
          <w:shd w:val="clear" w:color="auto" w:fill="FFFFFF"/>
        </w:rPr>
        <w:t>Панев А.С., студент</w:t>
      </w:r>
      <w:r w:rsidR="002F0ED2">
        <w:rPr>
          <w:rFonts w:cs="Arial"/>
          <w:color w:val="000000"/>
          <w:shd w:val="clear" w:color="auto" w:fill="FFFFFF"/>
        </w:rPr>
        <w:t>ы</w:t>
      </w:r>
      <w:r>
        <w:rPr>
          <w:rFonts w:cs="Arial"/>
          <w:color w:val="000000"/>
          <w:shd w:val="clear" w:color="auto" w:fill="FFFFFF"/>
        </w:rPr>
        <w:t xml:space="preserve"> гр.051001</w:t>
      </w:r>
    </w:p>
    <w:p w14:paraId="783BA832" w14:textId="77777777" w:rsidR="00906712" w:rsidRPr="00AE49E5" w:rsidRDefault="00906712" w:rsidP="00906712">
      <w:pPr>
        <w:pStyle w:val="-1"/>
        <w:rPr>
          <w:vertAlign w:val="superscript"/>
        </w:rPr>
      </w:pPr>
      <w:r>
        <w:t>Белорусский государственный университет информатики и радиоэлектроники</w:t>
      </w:r>
      <w:r w:rsidR="00AE49E5">
        <w:rPr>
          <w:vertAlign w:val="superscript"/>
        </w:rPr>
        <w:t>1</w:t>
      </w:r>
    </w:p>
    <w:p w14:paraId="23B0865E" w14:textId="375A7EBC" w:rsidR="00906712" w:rsidRDefault="00906712" w:rsidP="00906712">
      <w:pPr>
        <w:pStyle w:val="-1"/>
      </w:pPr>
      <w:r>
        <w:t>г. Минск, Республика Беларусь</w:t>
      </w:r>
    </w:p>
    <w:p w14:paraId="461F95E5" w14:textId="77777777" w:rsidR="00906712" w:rsidRDefault="007E1B6F" w:rsidP="00906712">
      <w:pPr>
        <w:pStyle w:val="-5"/>
      </w:pPr>
      <w:proofErr w:type="spellStart"/>
      <w:r>
        <w:t>Мякинькая</w:t>
      </w:r>
      <w:proofErr w:type="spellEnd"/>
      <w:r>
        <w:t xml:space="preserve"> А.В</w:t>
      </w:r>
      <w:r w:rsidR="00906712">
        <w:t xml:space="preserve">. – </w:t>
      </w:r>
      <w:r>
        <w:t>преподаватель кафедры гуманитарных дисциплин</w:t>
      </w:r>
    </w:p>
    <w:p w14:paraId="679A3932" w14:textId="555EF059" w:rsidR="00715EA2" w:rsidRDefault="000C2D31" w:rsidP="003068B9">
      <w:pPr>
        <w:pStyle w:val="-9"/>
        <w:rPr>
          <w:sz w:val="20"/>
        </w:rPr>
      </w:pPr>
      <w:r w:rsidRPr="00D226CE">
        <w:rPr>
          <w:b/>
          <w:spacing w:val="-2"/>
        </w:rPr>
        <w:t>Аннотация</w:t>
      </w:r>
      <w:r w:rsidR="001B53D6">
        <w:rPr>
          <w:b/>
          <w:spacing w:val="-2"/>
        </w:rPr>
        <w:t>.</w:t>
      </w:r>
      <w:r w:rsidR="001B53D6">
        <w:rPr>
          <w:spacing w:val="-2"/>
        </w:rPr>
        <w:t xml:space="preserve"> </w:t>
      </w:r>
      <w:r w:rsidR="00715EA2" w:rsidRPr="00715EA2">
        <w:t>В данно</w:t>
      </w:r>
      <w:r w:rsidR="00B916F7">
        <w:t>й статье</w:t>
      </w:r>
      <w:r w:rsidR="003068B9">
        <w:t xml:space="preserve"> </w:t>
      </w:r>
      <w:r w:rsidR="00715EA2" w:rsidRPr="00715EA2">
        <w:t xml:space="preserve">рассматривается влияние искусственного интеллекта (ИИ) на общество, анализируя разнообразные отношения людей к ИИ и факторы, формирующие их точки зрения. </w:t>
      </w:r>
      <w:r w:rsidR="003068B9">
        <w:t>Доклад</w:t>
      </w:r>
      <w:r w:rsidR="00715EA2" w:rsidRPr="00715EA2">
        <w:t xml:space="preserve"> подчеркивает важность прозрачности, объяснимости и этических аспектов ИИ, а также оценивает его потенциальные экономические и социальные последствия. Цель статьи – обеспечить сбалансированный дискурс о возможностях и рисках ИИ, призывая к активному участию всех заинтересованных сторон для ответственного развития технологии.</w:t>
      </w:r>
    </w:p>
    <w:p w14:paraId="64433927" w14:textId="75411E87" w:rsidR="00C20B6C" w:rsidRPr="00C20B6C" w:rsidRDefault="00C20B6C" w:rsidP="00C20B6C">
      <w:pPr>
        <w:pStyle w:val="-7"/>
      </w:pPr>
      <w:r w:rsidRPr="00C20B6C">
        <w:t>В конце XVIII века началась Промышленная революция, которая до неузнаваемости изменила облик мира, и теперь, в XXI веке, мы стоим на пороге новой эпохи – искусственного интеллекта (ИИ). Эта статья предпринимает попытку предоставить всеобъемлющий обзор многообразия отношений людей к развитию ИИ, исследуя различные факторы, которые могут формировать их точки зрения, включая возраст, образование, культурный контекст, личный опыт и доверие.</w:t>
      </w:r>
    </w:p>
    <w:p w14:paraId="01F486EE" w14:textId="148489D1" w:rsidR="00C20B6C" w:rsidRPr="00C20B6C" w:rsidRDefault="00C20B6C" w:rsidP="00C20B6C">
      <w:pPr>
        <w:pStyle w:val="-7"/>
      </w:pPr>
      <w:r w:rsidRPr="00C20B6C">
        <w:t>Американская консалтинговая компания Gartner ежегодно создает график ажиотажа (рис. 1), предсказывая наиболее перспективные области деятельности и их стадию развития. В 2022</w:t>
      </w:r>
      <w:r w:rsidR="002F7960">
        <w:rPr>
          <w:lang w:val="de-DE"/>
        </w:rPr>
        <w:t>-2023</w:t>
      </w:r>
      <w:r w:rsidRPr="00C20B6C">
        <w:t xml:space="preserve"> год</w:t>
      </w:r>
      <w:r w:rsidR="002F7960">
        <w:t>ах</w:t>
      </w:r>
      <w:r w:rsidRPr="00C20B6C">
        <w:t xml:space="preserve"> внимание индустрии направлено на развитие каузального ИИ, способного составлять причинно-следственные связи [1]. Определение точного местоположения на графике ажиотажа является сложной задачей из-за быстрого развития ИИ и влияния множества факторов, таких как инвестиции, исследования, разработки, общественное мнение и регуляторные рамки.</w:t>
      </w:r>
    </w:p>
    <w:p w14:paraId="439836FB" w14:textId="77777777" w:rsidR="008B154F" w:rsidRDefault="008B154F" w:rsidP="001D3AF2">
      <w:pPr>
        <w:pStyle w:val="-7"/>
      </w:pPr>
    </w:p>
    <w:p w14:paraId="352C4277" w14:textId="77777777" w:rsidR="00922C54" w:rsidRDefault="00922C54" w:rsidP="00922C54">
      <w:pPr>
        <w:pStyle w:val="-7"/>
        <w:jc w:val="center"/>
      </w:pPr>
      <w:r>
        <w:rPr>
          <w:noProof/>
          <w:lang w:eastAsia="ru-RU"/>
        </w:rPr>
        <w:drawing>
          <wp:inline distT="0" distB="0" distL="0" distR="0" wp14:anchorId="6F5581EF" wp14:editId="2A710377">
            <wp:extent cx="4267395" cy="3920146"/>
            <wp:effectExtent l="0" t="0" r="0" b="4445"/>
            <wp:docPr id="1" name="Рисунок 1" descr="https://emtemp.gcom.cloud/ngw/globalassets/en/articles/images/hype-cycle-for-emerging-tech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temp.gcom.cloud/ngw/globalassets/en/articles/images/hype-cycle-for-emerging-tech-20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55" cy="401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CF06" w14:textId="16CD32CE" w:rsidR="008B154F" w:rsidRPr="00C20B6C" w:rsidRDefault="00922C54" w:rsidP="008B154F">
      <w:pPr>
        <w:pStyle w:val="-b"/>
        <w:rPr>
          <w:rFonts w:cs="Arial"/>
          <w:szCs w:val="18"/>
          <w:shd w:val="clear" w:color="auto" w:fill="FFFFFF"/>
          <w:lang w:val="de-DE"/>
        </w:rPr>
      </w:pPr>
      <w:r w:rsidRPr="00C23679">
        <w:t xml:space="preserve">Рисунок 1 – </w:t>
      </w:r>
      <w:r>
        <w:rPr>
          <w:rFonts w:cs="Arial"/>
          <w:szCs w:val="18"/>
          <w:shd w:val="clear" w:color="auto" w:fill="FFFFFF"/>
        </w:rPr>
        <w:t>График ажиотажа, 2022</w:t>
      </w:r>
    </w:p>
    <w:p w14:paraId="75DF1609" w14:textId="5E3D20CB" w:rsidR="00C20B6C" w:rsidRPr="00C20B6C" w:rsidRDefault="00C20B6C" w:rsidP="00C20B6C">
      <w:pPr>
        <w:pStyle w:val="-7"/>
      </w:pPr>
      <w:r w:rsidRPr="00C20B6C">
        <w:t>Несмотря на сложность предсказания будущего развития ИИ, активное участие и обсуждение его применения являются крайне важными для нашего общества. Информированность и вовлечение всех заинтересованных сторон могут помочь лучше понять и контролировать развитие технологий ИИ, а также использовать их потенциал для решения глобальных проблем и улучшения качества жизни.</w:t>
      </w:r>
    </w:p>
    <w:p w14:paraId="37D24739" w14:textId="6A200068" w:rsidR="00C20B6C" w:rsidRPr="00C20B6C" w:rsidRDefault="00C20B6C" w:rsidP="00C20B6C">
      <w:pPr>
        <w:pStyle w:val="-7"/>
      </w:pPr>
      <w:r w:rsidRPr="00C20B6C">
        <w:t>Отношение к ИИ существенно зависит от возраста, образования и культурного контекста. Молодые люди, рожденные в цифровую эпоху, часто более открыты для ИИ и относятся к его преимуществам с энтузиазмом. Они привыкли принимать новые технологии и знакомы с различными способами применения ИИ, что способствует оптимистичному видению его возможностей.</w:t>
      </w:r>
    </w:p>
    <w:p w14:paraId="2847166C" w14:textId="68BC8EDD" w:rsidR="00C20B6C" w:rsidRPr="00C20B6C" w:rsidRDefault="00C20B6C" w:rsidP="00C20B6C">
      <w:pPr>
        <w:pStyle w:val="-7"/>
      </w:pPr>
      <w:r w:rsidRPr="00C20B6C">
        <w:lastRenderedPageBreak/>
        <w:t>С другой стороны, старшее поколение может испытывать опасения по поводу ИИ из-за незнакомства с технологией или опасений о его влиянии на их жизнь. Это подчеркивает важность образования и осведомленности об ИИ среди всех возрастных групп, межпоколенного диалога и создания возможностей для вовлечения старшего поколения. Таким образом, общество может формировать более инклюзивную и информированную точку зрения на потенциальные выгоды и риски ИИ.</w:t>
      </w:r>
    </w:p>
    <w:p w14:paraId="49031572" w14:textId="24C1A282" w:rsidR="00C20B6C" w:rsidRPr="00C20B6C" w:rsidRDefault="00C20B6C" w:rsidP="00C20B6C">
      <w:pPr>
        <w:pStyle w:val="-7"/>
      </w:pPr>
      <w:r w:rsidRPr="00C20B6C">
        <w:t>Образование играет важную роль в формировании отношения к ИИ, с людьми с высоким уровнем образования, склонными к более сбалансированному восприятию технологии. Исторический и политический контекст разных регионов также влияет на отношение людей к ИИ. Понимание сложного взаимодействия между возрастом, образованием и культурным фоном критично для законодателей, педагогов и разработчиков технологий, чтобы создать среду, где ИИ учитывает и приспосабливается к разнообразным взглядам и ценностям людей и сообществ по всему миру.</w:t>
      </w:r>
    </w:p>
    <w:p w14:paraId="2AAD872D" w14:textId="3384101F" w:rsidR="00C20B6C" w:rsidRPr="00C20B6C" w:rsidRDefault="00C20B6C" w:rsidP="00C20B6C">
      <w:pPr>
        <w:pStyle w:val="-7"/>
      </w:pPr>
      <w:r w:rsidRPr="00C20B6C">
        <w:t>Отношение людей к ИИ в значительной степени зависит от их личного опыта использования технологии, который может быть как позитивным, так и негативным. Приятный опыт использования ИИ способствует доверию к технологии, усиливая готовность к его широкому внедрению. Однако негативный опыт, такой как ошибки в работе ИИ, предвзятые алгоритмы или потеря рабочих мест из-за автоматизации, может вызвать скептицизм, страх и недоверие, создавая препятствия для широкого распространения. Поэтому важно учитывать личный опыт при формировании стратегий развития ИИ, чтобы обеспечить его успешное и безопасное применение.</w:t>
      </w:r>
    </w:p>
    <w:p w14:paraId="2F08B881" w14:textId="6C6B4642" w:rsidR="00C20B6C" w:rsidRPr="00C20B6C" w:rsidRDefault="00C20B6C" w:rsidP="00C20B6C">
      <w:pPr>
        <w:pStyle w:val="-7"/>
      </w:pPr>
      <w:r w:rsidRPr="00C20B6C">
        <w:t>Доверие является ключевым фактором в приемлемости и внедрении ИИ, поскольку людям необходима уверенность в справедливости, этичности и конфиденциальности систем ИИ. Чтобы сформировать доверие, важно сосредоточиться на прозрачности, объясняемости и ответственности ИИ, обеспечивая понимание его работы, используемых данных и логики решений. Регулятивные рамки, включение разнообразных сторон и сотрудничество между академическим сообществом, промышленностью и другими секторами также могут способствовать доверию к технологии. Приоритет прозрачности, этики и ответственности поможет создать позитивное восприятие ИИ и содействовать его более широкому признанию и внедрению в различные аспекты жизни.</w:t>
      </w:r>
    </w:p>
    <w:p w14:paraId="5DF34BE3" w14:textId="6A733960" w:rsidR="00C20B6C" w:rsidRPr="00C20B6C" w:rsidRDefault="00C20B6C" w:rsidP="00C20B6C">
      <w:pPr>
        <w:pStyle w:val="-7"/>
      </w:pPr>
      <w:r w:rsidRPr="00C20B6C">
        <w:t>Медиа играет важную роль в формировании общественного восприятия ИИ, и сбалансированное, точное и контекстуальное представление явлется важным для состоятельного диалога. Сенсационные или поляризованные изображения ИИ могут искажать общественное мнение, создавая нереалистичные ожидания или страхи. Медиа должны приоритизировать точность, контекст и разнообразие точек зрения, чтобы предоставить адекватное представление о сложностях и нюансах ИИ. Этические опасения, такие как слежка, распознавание лиц и автономное оружие, оказывают влияние на отношение к ИИ, и решение этих проблем требует многоаспектного подхода, включая жесткие правовые рамки, общественный диалог и ответственный подход к развитию ИИ.</w:t>
      </w:r>
    </w:p>
    <w:p w14:paraId="48A8BD4D" w14:textId="616D0B30" w:rsidR="00C20B6C" w:rsidRPr="00C20B6C" w:rsidRDefault="00C20B6C" w:rsidP="00C20B6C">
      <w:pPr>
        <w:pStyle w:val="-7"/>
      </w:pPr>
      <w:r w:rsidRPr="00C20B6C">
        <w:t>Доступность ИИ и последствия использования ИИ являются ключевыми факторами для общественного мнения и долгосрочного успеха технологии. Совместные усилия законодателей, педагогов, лидеров отрасли и разработчиков ИИ могут обеспечить развитие ИИ в интересах всего общества. Демократизация доступа к ИИ позволит справедливо распределить его преимущества и смягчить опасения об ухудшении социальных и экономических неравенств. Чтобы продвигать доступность ИИ, необходимо устанавливать нормы, способствующие честной конкуренции, инвестировать в цифровую инфраструктуру и развивать открытые инструменты и ресурсы ИИ, а также создавать интуитивно понятные платформы, учитывающие различные потребности и уровень навыков.</w:t>
      </w:r>
    </w:p>
    <w:p w14:paraId="3274F39E" w14:textId="2F531F2F" w:rsidR="00C20B6C" w:rsidRPr="00C20B6C" w:rsidRDefault="00C20B6C" w:rsidP="00C20B6C">
      <w:pPr>
        <w:pStyle w:val="-7"/>
      </w:pPr>
      <w:r w:rsidRPr="00C20B6C">
        <w:t>Экономические и социальные последствия ИИ включают как возможности, так и вызовы, требующие сотрудничества всех сторон. Необходимо разрабатывать стратегии переквалификации и повышения квалификации, инвестировать в образовательные программы и поддерживать публично-частные партнерства для адаптации к изменениям на рынке труда, вызванным ИИ. Важно также обеспечить, чтобы ИИ улучшал человеческие связи, а не заменял их, разрабатывая технологии, ориентированные на человека, и способствуя междисциплинарному сотрудничеству между экспертами в области ИИ, социальными учеными, психологами и другими специалистами для создания систем, лучше приспособленных к сложным социальным динамикам и поддержке благополучия человека и человечества.</w:t>
      </w:r>
    </w:p>
    <w:p w14:paraId="58DD2D6B" w14:textId="43902E0A" w:rsidR="00544F81" w:rsidRPr="00C20B6C" w:rsidRDefault="00C20B6C" w:rsidP="00C20B6C">
      <w:pPr>
        <w:pStyle w:val="-7"/>
      </w:pPr>
      <w:r w:rsidRPr="00C20B6C">
        <w:t>Понимание разнообразных отношений к развитию ИИ критически важно для успешной интеграции технологии и реализации ее полного потенциала. Заинтересованные стороны, такие как законодатели, разработчики ИИ, преподаватели и лидеры индустрии, должны сотрудничать, содействуя осведомленности, прозрачности, этичности и доступности, а также учитывая потенциальные экономические и социальные последствия. Этот многоаспектный подход, включающий конструктивный диалог и совместные усилия, может помочь формировать будущее, где ИИ улучшает жизнь людей, стимулирует инновации и поддерживает социальный прогресс, минимизируя потенциальные риски и негативные последствия.</w:t>
      </w:r>
    </w:p>
    <w:p w14:paraId="446ABF97" w14:textId="77777777" w:rsidR="00B916F7" w:rsidRPr="00B916F7" w:rsidRDefault="00B916F7" w:rsidP="003538BF">
      <w:pPr>
        <w:pStyle w:val="-7"/>
        <w:ind w:firstLine="0"/>
        <w:rPr>
          <w:lang w:val="de-DE"/>
        </w:rPr>
      </w:pPr>
    </w:p>
    <w:p w14:paraId="281E2085" w14:textId="0019CC7F" w:rsidR="00332D24" w:rsidRPr="00B916F7" w:rsidRDefault="00906712" w:rsidP="00B916F7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254BFDD4" w14:textId="00514580" w:rsidR="006A2CB2" w:rsidRPr="003538BF" w:rsidRDefault="00B916F7" w:rsidP="00611EDD">
      <w:pPr>
        <w:pStyle w:val="-a"/>
        <w:rPr>
          <w:lang w:val="de-DE"/>
        </w:rPr>
      </w:pPr>
      <w:r>
        <w:rPr>
          <w:lang w:val="ru-RU"/>
        </w:rPr>
        <w:t>1</w:t>
      </w:r>
      <w:r w:rsidR="00332D24" w:rsidRPr="00374710">
        <w:rPr>
          <w:lang w:val="ru-RU"/>
        </w:rPr>
        <w:t xml:space="preserve">. </w:t>
      </w:r>
      <w:hyperlink r:id="rId8" w:history="1">
        <w:r w:rsidR="00AB6C2B" w:rsidRPr="00221042">
          <w:rPr>
            <w:rStyle w:val="aa"/>
            <w:lang w:val="ru-RU"/>
          </w:rPr>
          <w:t>https://www.gartner.com/en/articles/what-s-new-in-the-2022-gartner-hype-cycle-for-emerging-technologies</w:t>
        </w:r>
      </w:hyperlink>
    </w:p>
    <w:sectPr w:rsidR="006A2CB2" w:rsidRPr="003538BF" w:rsidSect="008A5DCD">
      <w:headerReference w:type="default" r:id="rId9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FB0B" w14:textId="77777777" w:rsidR="00AE3DE9" w:rsidRDefault="00AE3DE9" w:rsidP="008A5DCD">
      <w:r>
        <w:separator/>
      </w:r>
    </w:p>
  </w:endnote>
  <w:endnote w:type="continuationSeparator" w:id="0">
    <w:p w14:paraId="50E6B0CE" w14:textId="77777777" w:rsidR="00AE3DE9" w:rsidRDefault="00AE3DE9" w:rsidP="008A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9079" w14:textId="77777777" w:rsidR="00AE3DE9" w:rsidRDefault="00AE3DE9" w:rsidP="008A5DCD">
      <w:r>
        <w:separator/>
      </w:r>
    </w:p>
  </w:footnote>
  <w:footnote w:type="continuationSeparator" w:id="0">
    <w:p w14:paraId="3980DFF0" w14:textId="77777777" w:rsidR="00AE3DE9" w:rsidRDefault="00AE3DE9" w:rsidP="008A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BC9E" w14:textId="77777777" w:rsidR="00A119D3" w:rsidRDefault="00A119D3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7A5A6A">
      <w:rPr>
        <w:rFonts w:ascii="Arial" w:hAnsi="Arial" w:cs="Arial"/>
        <w:i/>
        <w:sz w:val="20"/>
        <w:szCs w:val="20"/>
      </w:rPr>
      <w:t>9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>
      <w:rPr>
        <w:rFonts w:ascii="Arial" w:hAnsi="Arial" w:cs="Arial"/>
        <w:i/>
        <w:sz w:val="20"/>
        <w:szCs w:val="20"/>
      </w:rPr>
      <w:t>, Минск, 202</w:t>
    </w:r>
    <w:r w:rsidR="007A5A6A">
      <w:rPr>
        <w:rFonts w:ascii="Arial" w:hAnsi="Arial" w:cs="Arial"/>
        <w:i/>
        <w:sz w:val="20"/>
        <w:szCs w:val="20"/>
      </w:rPr>
      <w:t>3</w:t>
    </w:r>
  </w:p>
  <w:p w14:paraId="66A1B7A9" w14:textId="77777777" w:rsidR="001A6B57" w:rsidRPr="008A5DCD" w:rsidRDefault="001A6B57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75F"/>
    <w:multiLevelType w:val="hybridMultilevel"/>
    <w:tmpl w:val="4950F592"/>
    <w:lvl w:ilvl="0" w:tplc="8D465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278327">
    <w:abstractNumId w:val="0"/>
  </w:num>
  <w:num w:numId="2" w16cid:durableId="247930697">
    <w:abstractNumId w:val="2"/>
  </w:num>
  <w:num w:numId="3" w16cid:durableId="1133446242">
    <w:abstractNumId w:val="3"/>
  </w:num>
  <w:num w:numId="4" w16cid:durableId="556015072">
    <w:abstractNumId w:val="1"/>
  </w:num>
  <w:num w:numId="5" w16cid:durableId="232006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712"/>
    <w:rsid w:val="00002459"/>
    <w:rsid w:val="00016714"/>
    <w:rsid w:val="00041D19"/>
    <w:rsid w:val="00042ACD"/>
    <w:rsid w:val="0005084C"/>
    <w:rsid w:val="00064EC1"/>
    <w:rsid w:val="000C2D31"/>
    <w:rsid w:val="001807AD"/>
    <w:rsid w:val="001A2E7F"/>
    <w:rsid w:val="001A6B57"/>
    <w:rsid w:val="001B53D6"/>
    <w:rsid w:val="001C0F32"/>
    <w:rsid w:val="001D3AF2"/>
    <w:rsid w:val="00237D78"/>
    <w:rsid w:val="002B474C"/>
    <w:rsid w:val="002C6191"/>
    <w:rsid w:val="002C6B3A"/>
    <w:rsid w:val="002C6F75"/>
    <w:rsid w:val="002D3DF9"/>
    <w:rsid w:val="002F0ED2"/>
    <w:rsid w:val="002F7960"/>
    <w:rsid w:val="003068B9"/>
    <w:rsid w:val="003113C9"/>
    <w:rsid w:val="00325ED5"/>
    <w:rsid w:val="003327BA"/>
    <w:rsid w:val="00332D24"/>
    <w:rsid w:val="0035086E"/>
    <w:rsid w:val="003538BF"/>
    <w:rsid w:val="00374710"/>
    <w:rsid w:val="003C5A86"/>
    <w:rsid w:val="003F04BE"/>
    <w:rsid w:val="00426103"/>
    <w:rsid w:val="00512F2F"/>
    <w:rsid w:val="00544F81"/>
    <w:rsid w:val="00580E36"/>
    <w:rsid w:val="005A45E6"/>
    <w:rsid w:val="00611EDD"/>
    <w:rsid w:val="00690066"/>
    <w:rsid w:val="006A2CB2"/>
    <w:rsid w:val="006C09A6"/>
    <w:rsid w:val="00715EA2"/>
    <w:rsid w:val="007A5A6A"/>
    <w:rsid w:val="007E1B6F"/>
    <w:rsid w:val="008A5DCD"/>
    <w:rsid w:val="008B154F"/>
    <w:rsid w:val="00906712"/>
    <w:rsid w:val="009132A9"/>
    <w:rsid w:val="00922C54"/>
    <w:rsid w:val="009745FC"/>
    <w:rsid w:val="0098158C"/>
    <w:rsid w:val="009B42D0"/>
    <w:rsid w:val="00A060DF"/>
    <w:rsid w:val="00A119D3"/>
    <w:rsid w:val="00A7560E"/>
    <w:rsid w:val="00A81FE7"/>
    <w:rsid w:val="00AB31F8"/>
    <w:rsid w:val="00AB6C2B"/>
    <w:rsid w:val="00AC1988"/>
    <w:rsid w:val="00AD72AE"/>
    <w:rsid w:val="00AE3DE9"/>
    <w:rsid w:val="00AE49E5"/>
    <w:rsid w:val="00B05253"/>
    <w:rsid w:val="00B262B0"/>
    <w:rsid w:val="00B916F7"/>
    <w:rsid w:val="00BB6AD0"/>
    <w:rsid w:val="00C20B6C"/>
    <w:rsid w:val="00C23679"/>
    <w:rsid w:val="00C25B60"/>
    <w:rsid w:val="00C4013D"/>
    <w:rsid w:val="00D226CE"/>
    <w:rsid w:val="00D8409D"/>
    <w:rsid w:val="00D913BD"/>
    <w:rsid w:val="00DA46FB"/>
    <w:rsid w:val="00DB5221"/>
    <w:rsid w:val="00E6518F"/>
    <w:rsid w:val="00E73FA0"/>
    <w:rsid w:val="00F0226E"/>
    <w:rsid w:val="00F230A8"/>
    <w:rsid w:val="00F74C3D"/>
    <w:rsid w:val="00FA4500"/>
    <w:rsid w:val="00F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9B6B5"/>
  <w15:docId w15:val="{3CFE9AD0-A42B-40E4-8441-74DE4320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 w:line="259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jc w:val="center"/>
    </w:pPr>
    <w:rPr>
      <w:rFonts w:ascii="Arial" w:eastAsiaTheme="minorHAnsi" w:hAnsi="Arial" w:cstheme="minorBidi"/>
      <w:i/>
      <w:sz w:val="20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/>
      <w:jc w:val="center"/>
    </w:pPr>
    <w:rPr>
      <w:rFonts w:ascii="Arial" w:eastAsiaTheme="minorHAnsi" w:hAnsi="Arial" w:cstheme="minorBidi"/>
      <w:i/>
      <w:sz w:val="22"/>
      <w:szCs w:val="22"/>
      <w:lang w:val="ru-RU" w:eastAsia="en-US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 w:line="259" w:lineRule="auto"/>
      <w:ind w:firstLine="709"/>
      <w:jc w:val="right"/>
    </w:pPr>
    <w:rPr>
      <w:rFonts w:ascii="Arial" w:eastAsiaTheme="minorHAnsi" w:hAnsi="Arial" w:cstheme="minorBidi"/>
      <w:i/>
      <w:sz w:val="22"/>
      <w:szCs w:val="22"/>
      <w:lang w:val="ru-RU" w:eastAsia="en-US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ind w:firstLine="567"/>
      <w:jc w:val="both"/>
    </w:pPr>
    <w:rPr>
      <w:rFonts w:ascii="Arial" w:eastAsiaTheme="minorHAnsi" w:hAnsi="Arial" w:cstheme="minorBidi"/>
      <w:sz w:val="20"/>
      <w:szCs w:val="22"/>
      <w:lang w:val="ru-RU" w:eastAsia="en-US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ind w:firstLine="709"/>
    </w:pPr>
    <w:rPr>
      <w:rFonts w:eastAsiaTheme="minorHAnsi" w:cstheme="minorBidi"/>
      <w:sz w:val="28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ind w:firstLine="709"/>
    </w:pPr>
    <w:rPr>
      <w:rFonts w:eastAsiaTheme="minorHAnsi" w:cstheme="minorBidi"/>
      <w:sz w:val="28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/>
      <w:ind w:left="1134" w:hanging="1134"/>
    </w:pPr>
    <w:rPr>
      <w:rFonts w:ascii="Arial" w:eastAsiaTheme="minorHAnsi" w:hAnsi="Arial" w:cs="Arial"/>
      <w:sz w:val="18"/>
      <w:szCs w:val="20"/>
      <w:lang w:val="ru-RU" w:eastAsia="en-US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2F2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2F2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AB6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en/articles/what-s-new-in-the-2022-gartner-hype-cycle-for-emerging-technolog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ССН</dc:creator>
  <cp:lastModifiedBy>Aleksandr Panev</cp:lastModifiedBy>
  <cp:revision>29</cp:revision>
  <cp:lastPrinted>2023-04-13T10:45:00Z</cp:lastPrinted>
  <dcterms:created xsi:type="dcterms:W3CDTF">2023-04-12T20:21:00Z</dcterms:created>
  <dcterms:modified xsi:type="dcterms:W3CDTF">2023-04-13T10:51:00Z</dcterms:modified>
</cp:coreProperties>
</file>