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b/>
          <w:bCs/>
          <w:color w:val="C0392B"/>
          <w:sz w:val="56"/>
          <w:szCs w:val="56"/>
        </w:rPr>
        <w:t xml:space="preserve">PLAN DE OPTIMIZACIÓN SEO</w:t>
      </w:r>
    </w:p>
    <w:p>
      <w:pPr>
        <w:spacing w:after="200"/>
      </w:pPr>
      <w:r>
        <w:rPr>
          <w:b/>
          <w:bCs/>
          <w:color w:val="1A1A1A"/>
          <w:sz w:val="44"/>
          <w:szCs w:val="44"/>
        </w:rPr>
        <w:t xml:space="preserve">bombero.mx</w:t>
      </w:r>
    </w:p>
    <w:p>
      <w:pPr>
        <w:spacing w:after="80"/>
      </w:pPr>
      <w:r>
        <w:rPr>
          <w:color w:val="555555"/>
          <w:sz w:val="26"/>
          <w:szCs w:val="26"/>
        </w:rPr>
        <w:t xml:space="preserve">Directorio de estaciones de bomberos + Tienda de equipo NFPA</w:t>
      </w:r>
    </w:p>
    <w:p>
      <w:pPr>
        <w:spacing w:after="600"/>
      </w:pPr>
      <w:r>
        <w:rPr>
          <w:color w:val="555555"/>
          <w:sz w:val="22"/>
          <w:szCs w:val="22"/>
        </w:rPr>
        <w:t xml:space="preserve">Mercado: México · Auditoría base: 30 may 2026</w:t>
      </w:r>
    </w:p>
    <w:p>
      <w:pPr>
        <w:pBdr>
          <w:top w:val="single" w:color="C0392B" w:sz="6" w:space="4"/>
          <w:bottom w:val="single" w:color="C0392B" w:sz="6" w:space="4"/>
        </w:pBdr>
        <w:spacing w:after="200" w:before="200"/>
      </w:pPr>
      <w:r>
        <w:rPr>
          <w:i/>
          <w:iCs/>
          <w:color w:val="1A1A1A"/>
          <w:sz w:val="22"/>
          <w:szCs w:val="22"/>
        </w:rPr>
        <w:t xml:space="preserve">Consultoría SEO técnica · 6 fases ejecutables · Priorizado por impacto/esfuerzo</w:t>
      </w:r>
    </w:p>
    <w:p>
      <w:r>
        <w:br w:type="page"/>
      </w:r>
    </w:p>
    <w:p>
      <w:pPr>
        <w:pStyle w:val="Heading1"/>
      </w:pPr>
      <w:r>
        <w:t xml:space="preserve">Resumen ejecutivo</w:t>
      </w:r>
    </w:p>
    <w:p>
      <w:pPr>
        <w:spacing w:after="120" w:line="276"/>
      </w:pPr>
      <w:r>
        <w:t xml:space="preserve">bombero.mx es un activo sólido y joven (Authority Score 24, +27% en keywords) con dos motores: un directorio informacional de ~1,230 URLs que capta tráfico de alto volumen y una tienda NFPA que monetiza. La caída orgánica reciente del -14% es la prioridad cero y debe diagnosticarse antes de ejecutar nada más.</w:t>
      </w:r>
    </w:p>
    <w:p>
      <w:pPr>
        <w:spacing w:after="120" w:line="276"/>
      </w:pPr>
      <w:r>
        <w:t xml:space="preserve">El mayor potencial está en mover dos keywords cabeza —“bomberos” (40,500/mes, pos 23) y “estacion de bomberos” (9,900/mes, pos 10)— hacia el top 10 mediante una página pilar nacional y optimización on-page del cluster 11-20.</w:t>
      </w:r>
    </w:p>
    <w:p>
      <w:pPr>
        <w:spacing w:after="120" w:line="276"/>
      </w:pPr>
      <w:r>
        <w:t xml:space="preserve">Las correcciones de mayor ratio impacto/esfuerzo son inmediatas: acortar ~1,230 title tags del directorio (hoy de 60 a 89 caracteres) y sanear la duplicidad de sitemaps. La autoridad (116 dominios de referencia) se cierra con link building temático y ético hacia protección civil, asociaciones y prensa local.</w:t>
      </w:r>
    </w:p>
    <w:p>
      <w:pPr>
        <w:spacing w:after="120" w:line="276"/>
      </w:pPr>
      <w:r>
        <w:t xml:space="preserve">Este plan respeta y preserva lo que ya funciona —schema completo, rendimiento, canonical, estructura— y se concentra en amplificar tráfico y conversión sin riesgo técnico.</w:t>
      </w:r>
    </w:p>
    <w:p>
      <w:pPr>
        <w:pBdr>
          <w:bottom w:val="single" w:color="C0392B" w:sz="6" w:space="1"/>
        </w:pBdr>
        <w:spacing w:after="160"/>
      </w:pPr>
    </w:p>
    <w:p>
      <w:pPr>
        <w:pStyle w:val="Heading2"/>
      </w:pPr>
      <w:r>
        <w:t xml:space="preserve">Nota de verificación (datos comprobados en vivo, 31 may 2026)</w:t>
      </w:r>
    </w:p>
    <w:p>
      <w:pPr>
        <w:spacing w:after="120" w:line="276"/>
      </w:pPr>
      <w:r>
        <w:t xml:space="preserve">Antes de redactar verifiqué directamente el sitio. Dos hallazgos matizan el diagnóstico original y deben tenerse en cuenta:</w:t>
      </w:r>
    </w:p>
    <w:p>
      <w:pPr>
        <w:spacing w:after="90" w:line="276"/>
      </w:pPr>
      <w:r>
        <w:rPr>
          <w:b/>
          <w:bCs/>
          <w:color w:val="C0392B"/>
        </w:rPr>
        <w:t xml:space="preserve">Hallazgo 1 — Las páginas de directorio SÍ están en el índice. </w:t>
      </w:r>
      <w:r>
        <w:t xml:space="preserve">sitemap-index.xml referencia únicamente sitemap-0.xml; pero sitemap-0.xml contiene 1,494 URLs, de las cuales 1,219 son /directorio/. Es decir, las páginas de directorio ya son indexables vía el índice. El problema real no es “1,230 páginas fuera del índice”, sino una duplicidad: sitemap-directorio.xml (1,230 URLs) se declara en robots.txt pero está huérfano del índice, generando dos fuentes solapadas. Es higiene técnica, no un bloqueo de indexación. La Fase 4 se reencuadra en consecuencia.</w:t>
      </w:r>
    </w:p>
    <w:p>
      <w:pPr>
        <w:spacing w:after="120" w:line="276"/>
      </w:pPr>
      <w:r>
        <w:rPr>
          <w:b/>
          <w:bCs/>
          <w:color w:val="C0392B"/>
        </w:rPr>
        <w:t xml:space="preserve">Hallazgo 2 — robots.txt contiene directivas de IA contradictorias. </w:t>
      </w:r>
      <w:r>
        <w:t xml:space="preserve">El archivo tiene un bloque “Cloudflare Managed Content” al inicio que hace </w:t>
      </w:r>
      <w:r>
        <w:rPr>
          <w:i/>
          <w:iCs/>
        </w:rPr>
        <w:t xml:space="preserve">Disallow</w:t>
      </w:r>
      <w:r>
        <w:t xml:space="preserve"> a GPTBot, ClaudeBot, CCBot, Google-Extended, Applebot-Extended y otros; y más abajo un bloque manual que hace </w:t>
      </w:r>
      <w:r>
        <w:rPr>
          <w:i/>
          <w:iCs/>
        </w:rPr>
        <w:t xml:space="preserve">Allow</w:t>
      </w:r>
      <w:r>
        <w:t xml:space="preserve"> a esos mismos bots con intención GEO explícita (aparecer citado en ChatGPT, Gemini, Perplexity). Son grupos contradictorios para el mismo user-agent. No modifico robots.txt por ser decisión de negocio, pero señalo el conflicto: hoy la intención GEO declarada y el bloque gestionado por Cloudflare se anulan entre sí. Conviene que el negocio decida una sola dirección y la deje consistente.</w:t>
      </w:r>
    </w:p>
    <w:p>
      <w:pPr>
        <w:spacing w:after="120" w:line="276"/>
      </w:pPr>
      <w:r>
        <w:rPr>
          <w:i/>
          <w:iCs/>
          <w:color w:val="555555"/>
        </w:rPr>
        <w:t xml:space="preserve">Todo lo demás (Authority Score, tráfico, posiciones, volúmenes) procede de la auditoría SEMrush/GSC que proporcionaste; no tengo acceso a tus paneles, así que esas cifras se asumen como dadas y los pasos de medición se apoyan en Search Console y SEMrush bajo tu cuenta.</w:t>
      </w:r>
    </w:p>
    <w:p>
      <w:r>
        <w:br w:type="page"/>
      </w:r>
    </w:p>
    <w:p>
      <w:pPr>
        <w:pStyle w:val="Heading1"/>
      </w:pPr>
      <w:r>
        <w:t xml:space="preserve">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Fase 0 — Diagnóstico de la caída del -14%</w:t>
      </w:r>
    </w:p>
    <w:p>
      <w:pPr>
        <w:spacing w:after="120" w:line="276"/>
      </w:pPr>
      <w:r>
        <w:t xml:space="preserve">Prioridad cero. No se ejecuta ninguna otra fase de forma definitiva hasta entender el origen de la caída: optimizar a ciegas puede amplificar el problema. El objetivo es clasificar la causa en una de cuatro categorías y actuar en consecuencia.</w:t>
      </w:r>
    </w:p>
    <w:p>
      <w:pPr>
        <w:pStyle w:val="Heading2"/>
      </w:pPr>
      <w:r>
        <w:t xml:space="preserve">Qué revisar — protocolo exacto</w:t>
      </w:r>
    </w:p>
    <w:p>
      <w:pPr>
        <w:pStyle w:val="Heading3"/>
      </w:pPr>
      <w:r>
        <w:t xml:space="preserve">1. Google Search Console — Rendimiento</w:t>
      </w:r>
    </w:p>
    <w:p>
      <w:pPr>
        <w:pStyle w:val="ListParagraph"/>
        <w:numPr>
          <w:ilvl w:val="0"/>
          <w:numId w:val="2"/>
        </w:numPr>
        <w:spacing w:after="60" w:line="270"/>
      </w:pPr>
      <w:r>
        <w:t xml:space="preserve">Comparación de periodos: últimos 28 días vs. 28 días previos, y mismos 28 días del año anterior (control estacional). Métricas: clics, impresiones, CTR y posición media.</w:t>
      </w:r>
    </w:p>
    <w:p>
      <w:pPr>
        <w:pStyle w:val="ListParagraph"/>
        <w:numPr>
          <w:ilvl w:val="0"/>
          <w:numId w:val="2"/>
        </w:numPr>
        <w:spacing w:after="60" w:line="270"/>
      </w:pPr>
      <w:r>
        <w:t xml:space="preserve">Desglose por Consultas: ordenar por caída de clics. ¿La pérdida se concentra en pocas queries (problema de posiciones) o es generalizada (algoritmo/estacional)?</w:t>
      </w:r>
    </w:p>
    <w:p>
      <w:pPr>
        <w:pStyle w:val="ListParagraph"/>
        <w:numPr>
          <w:ilvl w:val="0"/>
          <w:numId w:val="2"/>
        </w:numPr>
        <w:spacing w:after="60" w:line="270"/>
      </w:pPr>
      <w:r>
        <w:t xml:space="preserve">Desglose por Páginas: identificar las URLs que más clics perdieron. ¿Son del directorio, del blog o de tienda?</w:t>
      </w:r>
    </w:p>
    <w:p>
      <w:pPr>
        <w:pStyle w:val="ListParagraph"/>
        <w:numPr>
          <w:ilvl w:val="0"/>
          <w:numId w:val="2"/>
        </w:numPr>
        <w:spacing w:after="60" w:line="270"/>
      </w:pPr>
      <w:r>
        <w:t xml:space="preserve">Desglose por País y Dispositivo: confirmar que la caída es México y no un mercado marginal; revisar si es móvil o desktop.</w:t>
      </w:r>
    </w:p>
    <w:p>
      <w:pPr>
        <w:pStyle w:val="ListParagraph"/>
        <w:numPr>
          <w:ilvl w:val="0"/>
          <w:numId w:val="2"/>
        </w:numPr>
        <w:spacing w:after="60" w:line="270"/>
      </w:pPr>
      <w:r>
        <w:t xml:space="preserve">Pestaña Indexación / Páginas: ¿aumentaron las “Descubierta sin indexar”, “Rastreada sin indexar” o errores 5xx/404 nuevos?</w:t>
      </w:r>
    </w:p>
    <w:p>
      <w:pPr>
        <w:pStyle w:val="Heading3"/>
      </w:pPr>
      <w:r>
        <w:t xml:space="preserve">2. SEMrush — Position Changes &amp; Position Tracking</w:t>
      </w:r>
    </w:p>
    <w:p>
      <w:pPr>
        <w:pStyle w:val="ListParagraph"/>
        <w:numPr>
          <w:ilvl w:val="0"/>
          <w:numId w:val="2"/>
        </w:numPr>
        <w:spacing w:after="60" w:line="270"/>
      </w:pPr>
      <w:r>
        <w:t xml:space="preserve">Informe Positions &gt; Position Changes en el periodo de la caída: filtrar por “Declined” y “Lost”. ¿Qué keywords y URLs perdieron posición o salieron del top 100?</w:t>
      </w:r>
    </w:p>
    <w:p>
      <w:pPr>
        <w:pStyle w:val="ListParagraph"/>
        <w:numPr>
          <w:ilvl w:val="0"/>
          <w:numId w:val="2"/>
        </w:numPr>
        <w:spacing w:after="60" w:line="270"/>
      </w:pPr>
      <w:r>
        <w:t xml:space="preserve">Cruzar con la fecha de inicio de la caída: si coincide con una actualización confirmada de Google (Sensor de SEMrush / historial de Core Updates), apunta a algoritmo.</w:t>
      </w:r>
    </w:p>
    <w:p>
      <w:pPr>
        <w:pStyle w:val="ListParagraph"/>
        <w:numPr>
          <w:ilvl w:val="0"/>
          <w:numId w:val="2"/>
        </w:numPr>
        <w:spacing w:after="60" w:line="270"/>
      </w:pPr>
      <w:r>
        <w:t xml:space="preserve">Revisar canibalización: en Position Tracking, detectar keywords donde dos o más URLs propias rankean y se alternan (señal de canibalización entre directorio y blog de ciudad).</w:t>
      </w:r>
    </w:p>
    <w:p>
      <w:pPr>
        <w:pStyle w:val="Heading3"/>
      </w:pPr>
      <w:r>
        <w:t xml:space="preserve">3. Señales externas</w:t>
      </w:r>
    </w:p>
    <w:p>
      <w:pPr>
        <w:pStyle w:val="ListParagraph"/>
        <w:numPr>
          <w:ilvl w:val="0"/>
          <w:numId w:val="2"/>
        </w:numPr>
        <w:spacing w:after="60" w:line="270"/>
      </w:pPr>
      <w:r>
        <w:t xml:space="preserve">SEMrush Backlink Analytics: ¿se perdieron dominios de referencia relevantes en el periodo?</w:t>
      </w:r>
    </w:p>
    <w:p>
      <w:pPr>
        <w:pStyle w:val="ListParagraph"/>
        <w:numPr>
          <w:ilvl w:val="0"/>
          <w:numId w:val="2"/>
        </w:numPr>
        <w:spacing w:after="60" w:line="270"/>
      </w:pPr>
      <w:r>
        <w:t xml:space="preserve">Revisar despliegues propios: ¿hubo cambios de plantilla, migración, cambios de title o de estructura interna cerca de la fecha de caída?</w:t>
      </w:r>
    </w:p>
    <w:p>
      <w:pPr>
        <w:pStyle w:val="Heading2"/>
      </w:pPr>
      <w:r>
        <w:t xml:space="preserve">Cómo implementarlo — árbol de decisión</w:t>
      </w:r>
    </w:p>
    <w:p>
      <w:pPr>
        <w:spacing w:after="120" w:line="276"/>
      </w:pPr>
      <w:r>
        <w:t xml:space="preserve">Según el hallazgo dominante, seguir la rama correspondiente: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300"/>
        <w:gridCol w:w="3660"/>
      </w:tblGrid>
      <w:tr>
        <w:trPr>
          <w:tblHeader/>
        </w:trPr>
        <w:tc>
          <w:tcPr>
            <w:tcW w:type="dxa" w:w="3400"/>
            <w:tcBorders>
              <w:top w:val="single" w:color="CCCCCC" w:sz="1"/>
              <w:left w:val="single" w:color="CCCCCC" w:sz="1"/>
              <w:bottom w:val="single" w:color="CCCCCC" w:sz="1"/>
              <w:right w:val="single" w:color="CCCCCC" w:sz="1"/>
            </w:tcBorders>
            <w:shd w:fill="C0392B" w:val="clear"/>
            <w:tcMar>
              <w:top w:type="dxa" w:w="60"/>
              <w:left w:type="dxa" w:w="110"/>
              <w:bottom w:type="dxa" w:w="60"/>
              <w:right w:type="dxa" w:w="110"/>
            </w:tcMar>
          </w:tcPr>
          <w:p>
            <w:pPr>
              <w:jc w:val="left"/>
            </w:pPr>
            <w:r>
              <w:rPr>
                <w:b/>
                <w:bCs/>
                <w:color w:val="FFFFFF"/>
              </w:rPr>
              <w:t xml:space="preserve">Hallazgo</w:t>
            </w:r>
          </w:p>
        </w:tc>
        <w:tc>
          <w:tcPr>
            <w:tcW w:type="dxa" w:w="2300"/>
            <w:tcBorders>
              <w:top w:val="single" w:color="CCCCCC" w:sz="1"/>
              <w:left w:val="single" w:color="CCCCCC" w:sz="1"/>
              <w:bottom w:val="single" w:color="CCCCCC" w:sz="1"/>
              <w:right w:val="single" w:color="CCCCCC" w:sz="1"/>
            </w:tcBorders>
            <w:shd w:fill="C0392B" w:val="clear"/>
            <w:tcMar>
              <w:top w:type="dxa" w:w="60"/>
              <w:left w:type="dxa" w:w="110"/>
              <w:bottom w:type="dxa" w:w="60"/>
              <w:right w:type="dxa" w:w="110"/>
            </w:tcMar>
          </w:tcPr>
          <w:p>
            <w:pPr>
              <w:jc w:val="left"/>
            </w:pPr>
            <w:r>
              <w:rPr>
                <w:b/>
                <w:bCs/>
                <w:color w:val="FFFFFF"/>
              </w:rPr>
              <w:t xml:space="preserve">Diagnóstico</w:t>
            </w:r>
          </w:p>
        </w:tc>
        <w:tc>
          <w:tcPr>
            <w:tcW w:type="dxa" w:w="3660"/>
            <w:tcBorders>
              <w:top w:val="single" w:color="CCCCCC" w:sz="1"/>
              <w:left w:val="single" w:color="CCCCCC" w:sz="1"/>
              <w:bottom w:val="single" w:color="CCCCCC" w:sz="1"/>
              <w:right w:val="single" w:color="CCCCCC" w:sz="1"/>
            </w:tcBorders>
            <w:shd w:fill="C0392B" w:val="clear"/>
            <w:tcMar>
              <w:top w:type="dxa" w:w="60"/>
              <w:left w:type="dxa" w:w="110"/>
              <w:bottom w:type="dxa" w:w="60"/>
              <w:right w:type="dxa" w:w="110"/>
            </w:tcMar>
          </w:tcPr>
          <w:p>
            <w:pPr>
              <w:jc w:val="left"/>
            </w:pPr>
            <w:r>
              <w:rPr>
                <w:b/>
                <w:bCs/>
                <w:color w:val="FFFFFF"/>
              </w:rPr>
              <w:t xml:space="preserve">Acción</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Caída replica la del año anterior en mismas fechas; impresiones bajan parejo a clics</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Estacional</w:t>
            </w:r>
          </w:p>
        </w:tc>
        <w:tc>
          <w:tcPr>
            <w:tcW w:type="dxa" w:w="36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No sobrerreaccionar. Documentar el patrón. Adelantar contenido de temporada (ej. campañas, fechas cívicas) para el próximo ciclo.</w:t>
            </w:r>
          </w:p>
        </w:tc>
      </w:tr>
      <w:tr>
        <w:tc>
          <w:tcPr>
            <w:tcW w:type="dxa" w:w="34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Pocas URLs/keywords pierden posición; impresiones estables pero CTR/posición caen</w:t>
            </w:r>
          </w:p>
        </w:tc>
        <w:tc>
          <w:tcPr>
            <w:tcW w:type="dxa" w:w="23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Pérdida de posiciones</w:t>
            </w:r>
          </w:p>
        </w:tc>
        <w:tc>
          <w:tcPr>
            <w:tcW w:type="dxa" w:w="366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Optimización on-page focalizada en esas URLs (ver Fase 2). Revisar si un competidor mejoró su contenido.</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Caída brusca coincide con Core/Spam update; afecta a muchas URLs a la vez</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Algoritmo</w:t>
            </w:r>
          </w:p>
        </w:tc>
        <w:tc>
          <w:tcPr>
            <w:tcW w:type="dxa" w:w="36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Evaluar E-E-A-T, calidad e intención. No revertir nada de golpe; auditar páginas thin del directorio y consolidar.</w:t>
            </w:r>
          </w:p>
        </w:tc>
      </w:tr>
      <w:tr>
        <w:tc>
          <w:tcPr>
            <w:tcW w:type="dxa" w:w="34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Dos URLs propias se alternan para la misma keyword; ninguna estabiliza top 10</w:t>
            </w:r>
          </w:p>
        </w:tc>
        <w:tc>
          <w:tcPr>
            <w:tcW w:type="dxa" w:w="23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Canibalización</w:t>
            </w:r>
          </w:p>
        </w:tc>
        <w:tc>
          <w:tcPr>
            <w:tcW w:type="dxa" w:w="366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Definir URL canónica por intención, enlazar internamente hacia ella, diferenciar o consolidar la duplicada.</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Aumentan errores de indexación / 404 / 5xx tras un despliegue</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Técnico/regresión</w:t>
            </w:r>
          </w:p>
        </w:tc>
        <w:tc>
          <w:tcPr>
            <w:tcW w:type="dxa" w:w="36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Revertir o corregir el despliegue; revisar canonical, redirecciones y render.</w:t>
            </w:r>
          </w:p>
        </w:tc>
      </w:tr>
    </w:tbl>
    <w:p>
      <w:pPr>
        <w:spacing w:after="90" w:line="276"/>
      </w:pPr>
      <w:r>
        <w:rPr>
          <w:b/>
          <w:bCs/>
          <w:color w:val="C0392B"/>
        </w:rPr>
        <w:t xml:space="preserve">Impacto esperado: </w:t>
      </w:r>
      <w:r>
        <w:t xml:space="preserve">Recuperación del tráfico perdido (~300 visitas/mes) y prevención de pérdidas mayores. Es la acción de mayor urgencia aunque su esfuerzo sea bajo.</w:t>
      </w:r>
    </w:p>
    <w:p>
      <w:pPr>
        <w:spacing w:after="90" w:line="276"/>
      </w:pPr>
      <w:r>
        <w:rPr>
          <w:b/>
          <w:bCs/>
          <w:color w:val="C0392B"/>
        </w:rPr>
        <w:t xml:space="preserve">Cómo medir: </w:t>
      </w:r>
      <w:r>
        <w:t xml:space="preserve">Tendencia de clics/impresiones en GSC semana a semana tras la corrección; recuperación de posiciones de las keywords identificadas en SEMrush Position Tracking.</w:t>
      </w:r>
    </w:p>
    <w:p>
      <w:pPr>
        <w:spacing w:after="40" w:before="80"/>
      </w:pPr>
      <w:r>
        <w:rPr>
          <w:b/>
          <w:bCs/>
          <w:color w:val="2E75B6"/>
        </w:rPr>
        <w:t xml:space="preserve">Métricas de éxito</w:t>
      </w:r>
    </w:p>
    <w:p>
      <w:pPr>
        <w:pStyle w:val="ListParagraph"/>
        <w:numPr>
          <w:ilvl w:val="0"/>
          <w:numId w:val="2"/>
        </w:numPr>
        <w:spacing w:after="60" w:line="270"/>
      </w:pPr>
      <w:r>
        <w:t xml:space="preserve">Causa de la caída identificada y documentada en ≤ 5 días hábiles.</w:t>
      </w:r>
    </w:p>
    <w:p>
      <w:pPr>
        <w:pStyle w:val="ListParagraph"/>
        <w:numPr>
          <w:ilvl w:val="0"/>
          <w:numId w:val="2"/>
        </w:numPr>
        <w:spacing w:after="60" w:line="270"/>
      </w:pPr>
      <w:r>
        <w:t xml:space="preserve">Tendencia de clics estabilizada o al alza dentro de 2-4 semanas.</w:t>
      </w:r>
    </w:p>
    <w:p>
      <w:pPr>
        <w:pStyle w:val="ListParagraph"/>
        <w:numPr>
          <w:ilvl w:val="0"/>
          <w:numId w:val="2"/>
        </w:numPr>
        <w:spacing w:after="60" w:line="270"/>
      </w:pPr>
      <w:r>
        <w:t xml:space="preserve">Cero nuevos errores críticos de indexación en GSC.</w:t>
      </w:r>
    </w:p>
    <w:p>
      <w:pPr>
        <w:shd w:fill="F2F2F2" w:val="clear"/>
        <w:spacing w:after="160" w:before="100"/>
      </w:pPr>
      <w:r>
        <w:rPr>
          <w:b/>
          <w:bCs/>
        </w:rPr>
        <w:t xml:space="preserve">Esfuerzo: </w:t>
      </w:r>
      <w:r>
        <w:t xml:space="preserve">Bajo</w:t>
      </w:r>
      <w:r>
        <w:rPr>
          <w:b/>
          <w:bCs/>
        </w:rPr>
        <w:t xml:space="preserve">    Impacto: </w:t>
      </w:r>
      <w:r>
        <w:t xml:space="preserve">Alto</w:t>
      </w:r>
      <w:r>
        <w:rPr>
          <w:b/>
          <w:bCs/>
        </w:rPr>
        <w:t xml:space="preserve">    Horizonte: </w:t>
      </w:r>
      <w:r>
        <w:t xml:space="preserve">Inmediato (semana 1)</w:t>
      </w:r>
    </w:p>
    <w:p>
      <w:r>
        <w:br w:type="page"/>
      </w:r>
    </w:p>
    <w:p>
      <w:pPr>
        <w:pStyle w:val="Heading1"/>
      </w:pPr>
      <w:r>
        <w:t xml:space="preserve">Fase 1 — Conquistar la keyword “bomberos” (pos 23 → top 10)</w:t>
      </w:r>
    </w:p>
    <w:p>
      <w:pPr>
        <w:spacing w:after="120" w:line="276"/>
      </w:pPr>
      <w:r>
        <w:t xml:space="preserve">“bomberos” (40,500 búsquedas/mes) es la mayor oportunidad del sitio. En posición 23 capta tráfico residual; en top 10 puede multiplicar varias veces la visibilidad. La intención es mixta (informacional/navegacional): quien busca “bomberos” quiere encontrar su estación, teléfonos de emergencia, qué hacen y, en un subconjunto, equipo. La pieza que puede ganar esa SERP es una página pilar nacional que organice todo el directorio y enlace internamente a los 32 estados.</w:t>
      </w:r>
    </w:p>
    <w:p>
      <w:pPr>
        <w:pStyle w:val="Heading2"/>
      </w:pPr>
      <w:r>
        <w:t xml:space="preserve">Qué — arquitectura de la página pilar “Bomberos en México”</w:t>
      </w:r>
    </w:p>
    <w:p>
      <w:pPr>
        <w:spacing w:after="90" w:line="276"/>
      </w:pPr>
      <w:r>
        <w:rPr>
          <w:b/>
          <w:bCs/>
          <w:color w:val="C0392B"/>
        </w:rPr>
        <w:t xml:space="preserve">URL recomendada: </w:t>
      </w:r>
      <w:r>
        <w:t xml:space="preserve">https://bombero.mx/bomberos/  (raíz semántica corta, evita competir con /directorio/ y lo absorbe como hub). Canonical propio; enlazar /directorio/ como recurso, no duplicar.</w:t>
      </w:r>
    </w:p>
    <w:p>
      <w:pPr>
        <w:spacing w:after="90" w:line="276"/>
      </w:pPr>
      <w:r>
        <w:rPr>
          <w:b/>
          <w:bCs/>
          <w:color w:val="C0392B"/>
        </w:rPr>
        <w:t xml:space="preserve">Title: </w:t>
      </w:r>
      <w:r>
        <w:t xml:space="preserve">Bomberos en México | Estaciones, Teléfonos y Equipo | BOMBERO.MX  (≈58 caracteres).</w:t>
      </w:r>
    </w:p>
    <w:p>
      <w:pPr>
        <w:spacing w:after="90" w:line="276"/>
      </w:pPr>
      <w:r>
        <w:rPr>
          <w:b/>
          <w:bCs/>
          <w:color w:val="C0392B"/>
        </w:rPr>
        <w:t xml:space="preserve">Meta description: </w:t>
      </w:r>
      <w:r>
        <w:t xml:space="preserve">Directorio nacional de bomberos en México: estaciones por estado, teléfonos de emergencia verificados y equipo NFPA. Encuentra tu cuerpo de bomberos. (≈150 car.)</w:t>
      </w:r>
    </w:p>
    <w:p>
      <w:pPr>
        <w:spacing w:after="90" w:line="276"/>
      </w:pPr>
      <w:r>
        <w:rPr>
          <w:b/>
          <w:bCs/>
          <w:color w:val="C0392B"/>
        </w:rPr>
        <w:t xml:space="preserve">H1 (único): </w:t>
      </w:r>
      <w:r>
        <w:t xml:space="preserve">Bomberos en México: estaciones, teléfonos de emergencia y equipo</w:t>
      </w:r>
    </w:p>
    <w:p>
      <w:pPr>
        <w:pStyle w:val="Heading2"/>
      </w:pPr>
      <w:r>
        <w:t xml:space="preserve">Cómo — esqueleto de contenido (H2/H3 listo para redactar)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C0392B" w:val="clear"/>
            <w:tcMar>
              <w:top w:type="dxa" w:w="60"/>
              <w:left w:type="dxa" w:w="110"/>
              <w:bottom w:type="dxa" w:w="60"/>
              <w:right w:type="dxa" w:w="110"/>
            </w:tcMar>
          </w:tcPr>
          <w:p>
            <w:pPr>
              <w:jc w:val="left"/>
            </w:pPr>
            <w:r>
              <w:rPr>
                <w:b/>
                <w:bCs/>
                <w:color w:val="FFFFFF"/>
              </w:rPr>
              <w:t xml:space="preserve">Sección (encabezado)</w:t>
            </w:r>
          </w:p>
        </w:tc>
        <w:tc>
          <w:tcPr>
            <w:tcW w:type="dxa" w:w="5760"/>
            <w:tcBorders>
              <w:top w:val="single" w:color="CCCCCC" w:sz="1"/>
              <w:left w:val="single" w:color="CCCCCC" w:sz="1"/>
              <w:bottom w:val="single" w:color="CCCCCC" w:sz="1"/>
              <w:right w:val="single" w:color="CCCCCC" w:sz="1"/>
            </w:tcBorders>
            <w:shd w:fill="C0392B" w:val="clear"/>
            <w:tcMar>
              <w:top w:type="dxa" w:w="60"/>
              <w:left w:type="dxa" w:w="110"/>
              <w:bottom w:type="dxa" w:w="60"/>
              <w:right w:type="dxa" w:w="110"/>
            </w:tcMar>
          </w:tcPr>
          <w:p>
            <w:pPr>
              <w:jc w:val="left"/>
            </w:pPr>
            <w:r>
              <w:rPr>
                <w:b/>
                <w:bCs/>
                <w:color w:val="FFFFFF"/>
              </w:rPr>
              <w:t xml:space="preserve">Contenido y función SEO</w:t>
            </w:r>
          </w:p>
        </w:tc>
      </w:tr>
      <w:tr>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H2 · ¿Qué son los bomberos y qué hacen en México?</w:t>
            </w:r>
          </w:p>
        </w:tc>
        <w:tc>
          <w:tcPr>
            <w:tcW w:type="dxa" w:w="5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Párrafo de definición + intención informacional. Captura featured snippet. 120-180 palabras.</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H2 · Directorio de bomberos por estado</w:t>
            </w:r>
          </w:p>
        </w:tc>
        <w:tc>
          <w:tcPr>
            <w:tcW w:type="dxa" w:w="576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Bloque hub: lista/grid de los 32 estados, cada uno enlazando a /directorio/{estado}/. Núcleo del enlazado interno.</w:t>
            </w:r>
          </w:p>
        </w:tc>
      </w:tr>
      <w:tr>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H3 · Estados con mayor número de estaciones</w:t>
            </w:r>
          </w:p>
        </w:tc>
        <w:tc>
          <w:tcPr>
            <w:tcW w:type="dxa" w:w="5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Tabla con Jalisco (27), CDMX, Nuevo León, etc. Enlaces profundos. Datos reales del directorio.</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H2 · Teléfonos de emergencia de bomberos</w:t>
            </w:r>
          </w:p>
        </w:tc>
        <w:tc>
          <w:tcPr>
            <w:tcW w:type="dxa" w:w="576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911 nacional + explicación de líneas directas locales. Enlaza a páginas /{estado}/telefonos/. Alta intención.</w:t>
            </w:r>
          </w:p>
        </w:tc>
      </w:tr>
      <w:tr>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H3 · ¿Cuándo llamar a bomberos y cuándo al 911?</w:t>
            </w:r>
          </w:p>
        </w:tc>
        <w:tc>
          <w:tcPr>
            <w:tcW w:type="dxa" w:w="5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Contenido de utilidad, capta long-tail y mejora dwell time.</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H2 · Cómo encontrar tu estación de bomberos más cercana</w:t>
            </w:r>
          </w:p>
        </w:tc>
        <w:tc>
          <w:tcPr>
            <w:tcW w:type="dxa" w:w="576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Guía + enlaces a /municipios/ y /especialidades/. Refuerza la keyword “estacion de bomberos” (Fase 2).</w:t>
            </w:r>
          </w:p>
        </w:tc>
      </w:tr>
      <w:tr>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H2 · Tipos de bomberos y especialidades</w:t>
            </w:r>
          </w:p>
        </w:tc>
        <w:tc>
          <w:tcPr>
            <w:tcW w:type="dxa" w:w="5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Estructurales, forestales, ARFF/aeroportuarios, rescate. Enlaza a páginas de especialidad y a categorías de tienda.</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H2 · Equipo y certificación NFPA para bomberos</w:t>
            </w:r>
          </w:p>
        </w:tc>
        <w:tc>
          <w:tcPr>
            <w:tcW w:type="dxa" w:w="576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Puente a monetización: traje estructural NFPA 1971, SCBA, casco, guantes, botas. Enlaza a colecciones de tienda.</w:t>
            </w:r>
          </w:p>
        </w:tc>
      </w:tr>
      <w:tr>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H2 · Preguntas frecuentes sobre bomberos en México</w:t>
            </w:r>
          </w:p>
        </w:tc>
        <w:tc>
          <w:tcPr>
            <w:tcW w:type="dxa" w:w="5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5-8 preguntas. Marca con FAQPage schema. Captura People Also Ask.</w:t>
            </w:r>
          </w:p>
        </w:tc>
      </w:tr>
    </w:tbl>
    <w:p>
      <w:pPr>
        <w:pStyle w:val="Heading2"/>
      </w:pPr>
      <w:r>
        <w:t xml:space="preserve">Enlazado interno — esquema hacia el directorio</w:t>
      </w:r>
    </w:p>
    <w:p>
      <w:pPr>
        <w:pStyle w:val="ListParagraph"/>
        <w:numPr>
          <w:ilvl w:val="0"/>
          <w:numId w:val="2"/>
        </w:numPr>
        <w:spacing w:after="60" w:line="270"/>
      </w:pPr>
      <w:r>
        <w:t xml:space="preserve">Desde la pilar: enlaces salientes a los 32 /directorio/{estado}/ (hub→spoke) con anchor “Bomberos en {Estado}”.</w:t>
      </w:r>
    </w:p>
    <w:p>
      <w:pPr>
        <w:pStyle w:val="ListParagraph"/>
        <w:numPr>
          <w:ilvl w:val="0"/>
          <w:numId w:val="2"/>
        </w:numPr>
        <w:spacing w:after="60" w:line="270"/>
      </w:pPr>
      <w:r>
        <w:t xml:space="preserve">Hacia la pilar: cada página de estado y cada artículo de blog de ciudad enlaza de vuelta a /bomberos/ con anchor “bomberos en México” (spoke→hub). Esto concentra autoridad en la pilar.</w:t>
      </w:r>
    </w:p>
    <w:p>
      <w:pPr>
        <w:pStyle w:val="ListParagraph"/>
        <w:numPr>
          <w:ilvl w:val="0"/>
          <w:numId w:val="2"/>
        </w:numPr>
        <w:spacing w:after="60" w:line="270"/>
      </w:pPr>
      <w:r>
        <w:t xml:space="preserve">Enlaces contextuales desde el home y desde el menú principal hacia /bomberos/ para señalar prioridad.</w:t>
      </w:r>
    </w:p>
    <w:p>
      <w:pPr>
        <w:pStyle w:val="ListParagraph"/>
        <w:numPr>
          <w:ilvl w:val="0"/>
          <w:numId w:val="2"/>
        </w:numPr>
        <w:spacing w:after="60" w:line="270"/>
      </w:pPr>
      <w:r>
        <w:t xml:space="preserve">Hacia tienda: 2-3 enlaces contextuales desde la sección de equipo NFPA hacia colecciones de producto (no más, para no diluir la intención informacional).</w:t>
      </w:r>
    </w:p>
    <w:p>
      <w:pPr>
        <w:pStyle w:val="Heading2"/>
      </w:pPr>
      <w:r>
        <w:t xml:space="preserve">Schema markup adicional recomendado</w:t>
      </w:r>
    </w:p>
    <w:p>
      <w:pPr>
        <w:spacing w:after="120" w:line="276"/>
      </w:pPr>
      <w:r>
        <w:t xml:space="preserve">Preservar el schema existente. Sobre la pilar, añadir sin romper lo actual:</w:t>
      </w:r>
    </w:p>
    <w:p>
      <w:pPr>
        <w:pStyle w:val="ListParagraph"/>
        <w:numPr>
          <w:ilvl w:val="0"/>
          <w:numId w:val="2"/>
        </w:numPr>
        <w:spacing w:after="60" w:line="270"/>
      </w:pPr>
      <w:r>
        <w:t xml:space="preserve">WebPage + BreadcrumbList (ya en uso) apuntando a esta URL.</w:t>
      </w:r>
    </w:p>
    <w:p>
      <w:pPr>
        <w:pStyle w:val="ListParagraph"/>
        <w:numPr>
          <w:ilvl w:val="0"/>
          <w:numId w:val="2"/>
        </w:numPr>
        <w:spacing w:after="60" w:line="270"/>
      </w:pPr>
      <w:r>
        <w:t xml:space="preserve">FAQPage para el bloque de preguntas frecuentes (rich result de FAQ).</w:t>
      </w:r>
    </w:p>
    <w:p>
      <w:pPr>
        <w:pStyle w:val="ListParagraph"/>
        <w:numPr>
          <w:ilvl w:val="0"/>
          <w:numId w:val="2"/>
        </w:numPr>
        <w:spacing w:after="60" w:line="270"/>
      </w:pPr>
      <w:r>
        <w:t xml:space="preserve">ItemList que enumere los 32 estados como elementos con URL (refuerza el hub).</w:t>
      </w:r>
    </w:p>
    <w:p>
      <w:pPr>
        <w:pStyle w:val="ListParagraph"/>
        <w:numPr>
          <w:ilvl w:val="0"/>
          <w:numId w:val="2"/>
        </w:numPr>
        <w:spacing w:after="60" w:line="270"/>
      </w:pPr>
      <w:r>
        <w:t xml:space="preserve">Opcional: Article/Datos con autor y fecha si se quiere reforzar E-E-A-T informacional.</w:t>
      </w:r>
    </w:p>
    <w:p>
      <w:pPr>
        <w:spacing w:after="90" w:line="276"/>
      </w:pPr>
      <w:r>
        <w:rPr>
          <w:b/>
          <w:bCs/>
          <w:color w:val="C0392B"/>
        </w:rPr>
        <w:t xml:space="preserve">Impacto esperado: </w:t>
      </w:r>
      <w:r>
        <w:t xml:space="preserve">“bomberos” de pos 23 a top 10 en 3-5 meses; arrastre de decenas de long-tails asociadas. Potencial de varios miles de visitas/mes adicionales si alcanza top 5.</w:t>
      </w:r>
    </w:p>
    <w:p>
      <w:pPr>
        <w:spacing w:after="90" w:line="276"/>
      </w:pPr>
      <w:r>
        <w:rPr>
          <w:b/>
          <w:bCs/>
          <w:color w:val="C0392B"/>
        </w:rPr>
        <w:t xml:space="preserve">Cómo medir: </w:t>
      </w:r>
      <w:r>
        <w:t xml:space="preserve">Position Tracking de “bomberos” y cluster asociado en SEMrush; clics/impresiones de la URL /bomberos/ en GSC; posición media de la query exacta.</w:t>
      </w:r>
    </w:p>
    <w:p>
      <w:pPr>
        <w:spacing w:after="40" w:before="80"/>
      </w:pPr>
      <w:r>
        <w:rPr>
          <w:b/>
          <w:bCs/>
          <w:color w:val="2E75B6"/>
        </w:rPr>
        <w:t xml:space="preserve">Métricas de éxito</w:t>
      </w:r>
    </w:p>
    <w:p>
      <w:pPr>
        <w:pStyle w:val="ListParagraph"/>
        <w:numPr>
          <w:ilvl w:val="0"/>
          <w:numId w:val="2"/>
        </w:numPr>
        <w:spacing w:after="60" w:line="270"/>
      </w:pPr>
      <w:r>
        <w:t xml:space="preserve">“bomberos” en top 10 en ≤ 5 meses; en top 15 en ≤ 3 meses como hito intermedio.</w:t>
      </w:r>
    </w:p>
    <w:p>
      <w:pPr>
        <w:pStyle w:val="ListParagraph"/>
        <w:numPr>
          <w:ilvl w:val="0"/>
          <w:numId w:val="2"/>
        </w:numPr>
        <w:spacing w:after="60" w:line="270"/>
      </w:pPr>
      <w:r>
        <w:t xml:space="preserve">La pilar entre las 10 páginas con más clics del sitio en GSC.</w:t>
      </w:r>
    </w:p>
    <w:p>
      <w:pPr>
        <w:pStyle w:val="ListParagraph"/>
        <w:numPr>
          <w:ilvl w:val="0"/>
          <w:numId w:val="2"/>
        </w:numPr>
        <w:spacing w:after="60" w:line="270"/>
      </w:pPr>
      <w:r>
        <w:t xml:space="preserve">Aumento medible de impresiones del cluster informacional nacional.</w:t>
      </w:r>
    </w:p>
    <w:p>
      <w:pPr>
        <w:shd w:fill="F2F2F2" w:val="clear"/>
        <w:spacing w:after="160" w:before="100"/>
      </w:pPr>
      <w:r>
        <w:rPr>
          <w:b/>
          <w:bCs/>
        </w:rPr>
        <w:t xml:space="preserve">Esfuerzo: </w:t>
      </w:r>
      <w:r>
        <w:t xml:space="preserve">Alto</w:t>
      </w:r>
      <w:r>
        <w:rPr>
          <w:b/>
          <w:bCs/>
        </w:rPr>
        <w:t xml:space="preserve">    Impacto: </w:t>
      </w:r>
      <w:r>
        <w:t xml:space="preserve">Alto</w:t>
      </w:r>
      <w:r>
        <w:rPr>
          <w:b/>
          <w:bCs/>
        </w:rPr>
        <w:t xml:space="preserve">    Horizonte: </w:t>
      </w:r>
      <w:r>
        <w:t xml:space="preserve">Medio plazo (3-5 meses)</w:t>
      </w:r>
    </w:p>
    <w:p>
      <w:r>
        <w:br w:type="page"/>
      </w:r>
    </w:p>
    <w:p>
      <w:pPr>
        <w:pStyle w:val="Heading1"/>
      </w:pPr>
      <w:r>
        <w:t xml:space="preserve">Fase 2 — Capturar keywords en posiciones 11-20</w:t>
      </w:r>
    </w:p>
    <w:p>
      <w:pPr>
        <w:spacing w:after="120" w:line="276"/>
      </w:pPr>
      <w:r>
        <w:t xml:space="preserve">Las keywords en posiciones 11-20 son el máximo retorno por esfuerzo: ya están a un empujón del top 10, donde se concentra la inmensa mayoría de los clics. El caso testigo es “estacion de bomberos” (9,900/mes, pos 10), justo en el umbral.</w:t>
      </w:r>
    </w:p>
    <w:p>
      <w:pPr>
        <w:pStyle w:val="Heading2"/>
      </w:pPr>
      <w:r>
        <w:t xml:space="preserve">Qué — identificar el cluster en SEMrush</w:t>
      </w:r>
    </w:p>
    <w:p>
      <w:pPr>
        <w:pStyle w:val="ListParagraph"/>
        <w:numPr>
          <w:ilvl w:val="0"/>
          <w:numId w:val="3"/>
        </w:numPr>
        <w:spacing w:after="60" w:line="270"/>
      </w:pPr>
      <w:r>
        <w:t xml:space="preserve">Organic Research &gt; Positions del dominio bombero.mx.</w:t>
      </w:r>
    </w:p>
    <w:p>
      <w:pPr>
        <w:pStyle w:val="ListParagraph"/>
        <w:numPr>
          <w:ilvl w:val="0"/>
          <w:numId w:val="3"/>
        </w:numPr>
        <w:spacing w:after="60" w:line="270"/>
      </w:pPr>
      <w:r>
        <w:t xml:space="preserve">Filtrar Position entre 11 y 20 (y añadir 8-10 como “defensa del umbral”).</w:t>
      </w:r>
    </w:p>
    <w:p>
      <w:pPr>
        <w:pStyle w:val="ListParagraph"/>
        <w:numPr>
          <w:ilvl w:val="0"/>
          <w:numId w:val="3"/>
        </w:numPr>
        <w:spacing w:after="60" w:line="270"/>
      </w:pPr>
      <w:r>
        <w:t xml:space="preserve">Filtrar Volume ≥ 200/mes para priorizar lo que mueve la aguja.</w:t>
      </w:r>
    </w:p>
    <w:p>
      <w:pPr>
        <w:pStyle w:val="ListParagraph"/>
        <w:numPr>
          <w:ilvl w:val="0"/>
          <w:numId w:val="3"/>
        </w:numPr>
        <w:spacing w:after="60" w:line="270"/>
      </w:pPr>
      <w:r>
        <w:t xml:space="preserve">Exportar y ordenar por (Volume × probabilidad de subir). Priorizar keywords con SERP sin gigantes inamovibles.</w:t>
      </w:r>
    </w:p>
    <w:p>
      <w:pPr>
        <w:pStyle w:val="ListParagraph"/>
        <w:numPr>
          <w:ilvl w:val="0"/>
          <w:numId w:val="3"/>
        </w:numPr>
        <w:spacing w:after="60" w:line="270"/>
      </w:pPr>
      <w:r>
        <w:t xml:space="preserve">Mapear cada keyword a UNA URL objetivo (evitar canibalización). Si dos URLs compiten, elegir canónica.</w:t>
      </w:r>
    </w:p>
    <w:p>
      <w:pPr>
        <w:pStyle w:val="Heading2"/>
      </w:pPr>
      <w:r>
        <w:t xml:space="preserve">Cómo — checklist de optimización on-page por página</w:t>
      </w:r>
    </w:p>
    <w:p>
      <w:pPr>
        <w:spacing w:after="120" w:line="276"/>
      </w:pPr>
      <w:r>
        <w:t xml:space="preserve">Para cada URL objetivo del cluster, aplicar este checklist y registrar fecha de cambio: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C0392B" w:val="clear"/>
            <w:tcMar>
              <w:top w:type="dxa" w:w="60"/>
              <w:left w:type="dxa" w:w="110"/>
              <w:bottom w:type="dxa" w:w="60"/>
              <w:right w:type="dxa" w:w="110"/>
            </w:tcMar>
          </w:tcPr>
          <w:p>
            <w:pPr>
              <w:jc w:val="left"/>
            </w:pPr>
            <w:r>
              <w:rPr>
                <w:b/>
                <w:bCs/>
                <w:color w:val="FFFFFF"/>
              </w:rPr>
              <w:t xml:space="preserve">Palanca</w:t>
            </w:r>
          </w:p>
        </w:tc>
        <w:tc>
          <w:tcPr>
            <w:tcW w:type="dxa" w:w="6760"/>
            <w:tcBorders>
              <w:top w:val="single" w:color="CCCCCC" w:sz="1"/>
              <w:left w:val="single" w:color="CCCCCC" w:sz="1"/>
              <w:bottom w:val="single" w:color="CCCCCC" w:sz="1"/>
              <w:right w:val="single" w:color="CCCCCC" w:sz="1"/>
            </w:tcBorders>
            <w:shd w:fill="C0392B" w:val="clear"/>
            <w:tcMar>
              <w:top w:type="dxa" w:w="60"/>
              <w:left w:type="dxa" w:w="110"/>
              <w:bottom w:type="dxa" w:w="60"/>
              <w:right w:type="dxa" w:w="110"/>
            </w:tcMar>
          </w:tcPr>
          <w:p>
            <w:pPr>
              <w:jc w:val="left"/>
            </w:pPr>
            <w:r>
              <w:rPr>
                <w:b/>
                <w:bCs/>
                <w:color w:val="FFFFFF"/>
              </w:rPr>
              <w:t xml:space="preserve">Acción concreta</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Title tag</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Keyword primaria al inicio, ≤ 60 car., marca al final. Una sola intención por title.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Meta description</w:t>
            </w:r>
          </w:p>
        </w:tc>
        <w:tc>
          <w:tcPr>
            <w:tcW w:type="dxa" w:w="676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150-160 car., con keyword y llamada a la acción; mejora CTR sin cambiar posición.</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H1</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Único, contiene la keyword primaria de forma natural.</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H2/H3</w:t>
            </w:r>
          </w:p>
        </w:tc>
        <w:tc>
          <w:tcPr>
            <w:tcW w:type="dxa" w:w="676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Cubrir subtemas e intenciones secundarias (variantes y preguntas).</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Densidad semántica</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Incluir entidades y términos relacionados (n-gramas que usan los top 5). No keyword stuffing; cubrir el tema, no repetir la frase.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Expansión de contenido</w:t>
            </w:r>
          </w:p>
        </w:tc>
        <w:tc>
          <w:tcPr>
            <w:tcW w:type="dxa" w:w="676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Llevar el contenido al nivel del top 5 en profundidad: añadir secciones, datos, tabla o FAQ que falten.</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Enlaces internos entrantes</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Añadir 3-5 enlaces internos desde páginas relevantes (pilar, blog, estados) con anchor que incluya la keyword.</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Intención y formato</w:t>
            </w:r>
          </w:p>
        </w:tc>
        <w:tc>
          <w:tcPr>
            <w:tcW w:type="dxa" w:w="676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Verificar que el formato coincide con la SERP (lista, tabla, definición). Ajustar si la SERP pide otro formato.</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Frescura</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Actualizar datos y fecha de modificación; señal de contenido vigente.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Experiencia</w:t>
            </w:r>
          </w:p>
        </w:tc>
        <w:tc>
          <w:tcPr>
            <w:tcW w:type="dxa" w:w="676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Confirmar Core Web Vitals OK (ya excelentes) y que no hay intersticiales molestos.</w:t>
            </w:r>
          </w:p>
        </w:tc>
      </w:tr>
    </w:tbl>
    <w:p>
      <w:pPr>
        <w:spacing w:after="120" w:line="276"/>
      </w:pPr>
      <w:r>
        <w:t xml:space="preserve">El enlazado interno entrante es la palanca más potente para esta fase: redirigir autoridad existente hacia las URLs del umbral suele bastar para cruzar al top 10.</w:t>
      </w:r>
    </w:p>
    <w:p>
      <w:pPr>
        <w:spacing w:after="90" w:line="276"/>
      </w:pPr>
      <w:r>
        <w:rPr>
          <w:b/>
          <w:bCs/>
          <w:color w:val="C0392B"/>
        </w:rPr>
        <w:t xml:space="preserve">Impacto esperado: </w:t>
      </w:r>
      <w:r>
        <w:t xml:space="preserve">Varias keywords de 11-20 al top 10. “estacion de bomberos” (9,900/mes) de pos 10 a top 5 representa un salto sustancial de clics.</w:t>
      </w:r>
    </w:p>
    <w:p>
      <w:pPr>
        <w:spacing w:after="90" w:line="276"/>
      </w:pPr>
      <w:r>
        <w:rPr>
          <w:b/>
          <w:bCs/>
          <w:color w:val="C0392B"/>
        </w:rPr>
        <w:t xml:space="preserve">Cómo medir: </w:t>
      </w:r>
      <w:r>
        <w:t xml:space="preserve">Position Tracking del cluster en SEMrush (antes/después); evolución de CTR y posición media por URL en GSC; conteo de keywords en top 10.</w:t>
      </w:r>
    </w:p>
    <w:p>
      <w:pPr>
        <w:spacing w:after="40" w:before="80"/>
      </w:pPr>
      <w:r>
        <w:rPr>
          <w:b/>
          <w:bCs/>
          <w:color w:val="2E75B6"/>
        </w:rPr>
        <w:t xml:space="preserve">Métricas de éxito</w:t>
      </w:r>
    </w:p>
    <w:p>
      <w:pPr>
        <w:pStyle w:val="ListParagraph"/>
        <w:numPr>
          <w:ilvl w:val="0"/>
          <w:numId w:val="2"/>
        </w:numPr>
        <w:spacing w:after="60" w:line="270"/>
      </w:pPr>
      <w:r>
        <w:t xml:space="preserve">≥ 40% de las keywords priorizadas del cluster suben al top 10 en 8-12 semanas.</w:t>
      </w:r>
    </w:p>
    <w:p>
      <w:pPr>
        <w:pStyle w:val="ListParagraph"/>
        <w:numPr>
          <w:ilvl w:val="0"/>
          <w:numId w:val="2"/>
        </w:numPr>
        <w:spacing w:after="60" w:line="270"/>
      </w:pPr>
      <w:r>
        <w:t xml:space="preserve">“estacion de bomberos” consolidada en top 5.</w:t>
      </w:r>
    </w:p>
    <w:p>
      <w:pPr>
        <w:pStyle w:val="ListParagraph"/>
        <w:numPr>
          <w:ilvl w:val="0"/>
          <w:numId w:val="2"/>
        </w:numPr>
        <w:spacing w:after="60" w:line="270"/>
      </w:pPr>
      <w:r>
        <w:t xml:space="preserve">Incremento neto del número de keywords en top 10 (hoy parte de las 997).</w:t>
      </w:r>
    </w:p>
    <w:p>
      <w:pPr>
        <w:shd w:fill="F2F2F2" w:val="clear"/>
        <w:spacing w:after="160" w:before="100"/>
      </w:pPr>
      <w:r>
        <w:rPr>
          <w:b/>
          <w:bCs/>
        </w:rPr>
        <w:t xml:space="preserve">Esfuerzo: </w:t>
      </w:r>
      <w:r>
        <w:t xml:space="preserve">Medio</w:t>
      </w:r>
      <w:r>
        <w:rPr>
          <w:b/>
          <w:bCs/>
        </w:rPr>
        <w:t xml:space="preserve">    Impacto: </w:t>
      </w:r>
      <w:r>
        <w:t xml:space="preserve">Alto</w:t>
      </w:r>
      <w:r>
        <w:rPr>
          <w:b/>
          <w:bCs/>
        </w:rPr>
        <w:t xml:space="preserve">    Horizonte: </w:t>
      </w:r>
      <w:r>
        <w:t xml:space="preserve">Corto-medio plazo (1-3 meses)</w:t>
      </w:r>
    </w:p>
    <w:p>
      <w:r>
        <w:br w:type="page"/>
      </w:r>
    </w:p>
    <w:p>
      <w:pPr>
        <w:pStyle w:val="Heading1"/>
      </w:pPr>
      <w:r>
        <w:t xml:space="preserve">Fase 3 — Corrección de title tags del directorio</w:t>
      </w:r>
    </w:p>
    <w:p>
      <w:pPr>
        <w:spacing w:after="120" w:line="276"/>
      </w:pPr>
      <w:r>
        <w:t xml:space="preserve">Los titles del directorio superan el límite visible de Google (~60 caracteres / ~600 px). Verifiqué casos reales: /directorio/ usa 89 caracteres y /aguascalientes/telefonos/ usa 85. Cuando Google trunca el title, se pierde claridad y CTR. La corrección es masiva (≈1,230 páginas) pero de bajo esfuerzo porque se hace en la plantilla, no página a página.</w:t>
      </w:r>
    </w:p>
    <w:p>
      <w:pPr>
        <w:pStyle w:val="Heading2"/>
      </w:pPr>
      <w:r>
        <w:t xml:space="preserve">Qué — nueva plantilla de title (≤ 60 caracteres)</w:t>
      </w:r>
    </w:p>
    <w:p>
      <w:pPr>
        <w:spacing w:after="120" w:line="276"/>
      </w:pPr>
      <w:r>
        <w:t xml:space="preserve">Regla: keyword primaria al inicio + ubicación + (modificador opcional) + marca al final. Dado que “ | BOMBERO.MX” consume ~13 caracteres, la parte frontal debe quedar en ≤ 45.</w:t>
      </w:r>
    </w:p>
    <w:p>
      <w:pPr>
        <w:spacing w:after="90" w:line="276"/>
      </w:pPr>
      <w:r>
        <w:rPr>
          <w:b/>
          <w:bCs/>
          <w:color w:val="C0392B"/>
        </w:rPr>
        <w:t xml:space="preserve">Plantilla estado: </w:t>
      </w:r>
      <w:r>
        <w:t xml:space="preserve">Bomberos en {Estado} | {N} Estaciones | BOMBERO.MX</w:t>
      </w:r>
    </w:p>
    <w:p>
      <w:pPr>
        <w:spacing w:after="90" w:line="276"/>
      </w:pPr>
      <w:r>
        <w:rPr>
          <w:b/>
          <w:bCs/>
          <w:color w:val="C0392B"/>
        </w:rPr>
        <w:t xml:space="preserve">Plantilla teléfonos: </w:t>
      </w:r>
      <w:r>
        <w:t xml:space="preserve">Teléfonos de Bomberos en {Estado} | BOMBERO.MX</w:t>
      </w:r>
    </w:p>
    <w:p>
      <w:pPr>
        <w:spacing w:after="90" w:line="276"/>
      </w:pPr>
      <w:r>
        <w:rPr>
          <w:b/>
          <w:bCs/>
          <w:color w:val="C0392B"/>
        </w:rPr>
        <w:t xml:space="preserve">Plantilla municipios: </w:t>
      </w:r>
      <w:r>
        <w:t xml:space="preserve">Bomberos por Municipio en {Estado} | BOMBERO.MX</w:t>
      </w:r>
    </w:p>
    <w:p>
      <w:pPr>
        <w:spacing w:after="90" w:line="276"/>
      </w:pPr>
      <w:r>
        <w:rPr>
          <w:b/>
          <w:bCs/>
          <w:color w:val="C0392B"/>
        </w:rPr>
        <w:t xml:space="preserve">Plantilla especialidades: </w:t>
      </w:r>
      <w:r>
        <w:t xml:space="preserve">Bomberos en {Estado}: Especialidades | BOMBERO.MX</w:t>
      </w:r>
    </w:p>
    <w:p>
      <w:pPr>
        <w:spacing w:after="90" w:line="276"/>
      </w:pPr>
      <w:r>
        <w:rPr>
          <w:b/>
          <w:bCs/>
          <w:color w:val="C0392B"/>
        </w:rPr>
        <w:t xml:space="preserve">Plantilla índice directorio: </w:t>
      </w:r>
      <w:r>
        <w:t xml:space="preserve">Directorio de Bomberos en México | BOMBERO.MX</w:t>
      </w:r>
    </w:p>
    <w:p>
      <w:pPr>
        <w:pStyle w:val="Heading2"/>
      </w:pPr>
      <w:r>
        <w:t xml:space="preserve">Ejemplos antes/después (datos reales verificados)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030"/>
        <w:gridCol w:w="3030"/>
      </w:tblGrid>
      <w:tr>
        <w:trPr>
          <w:tblHeader/>
        </w:trPr>
        <w:tc>
          <w:tcPr>
            <w:tcW w:type="dxa" w:w="2300"/>
            <w:tcBorders>
              <w:top w:val="single" w:color="CCCCCC" w:sz="1"/>
              <w:left w:val="single" w:color="CCCCCC" w:sz="1"/>
              <w:bottom w:val="single" w:color="CCCCCC" w:sz="1"/>
              <w:right w:val="single" w:color="CCCCCC" w:sz="1"/>
            </w:tcBorders>
            <w:shd w:fill="C0392B" w:val="clear"/>
            <w:tcMar>
              <w:top w:type="dxa" w:w="60"/>
              <w:left w:type="dxa" w:w="110"/>
              <w:bottom w:type="dxa" w:w="60"/>
              <w:right w:type="dxa" w:w="110"/>
            </w:tcMar>
          </w:tcPr>
          <w:p>
            <w:pPr>
              <w:jc w:val="left"/>
            </w:pPr>
            <w:r>
              <w:rPr>
                <w:b/>
                <w:bCs/>
                <w:color w:val="FFFFFF"/>
              </w:rPr>
              <w:t xml:space="preserve">URL</w:t>
            </w:r>
          </w:p>
        </w:tc>
        <w:tc>
          <w:tcPr>
            <w:tcW w:type="dxa" w:w="4030"/>
            <w:tcBorders>
              <w:top w:val="single" w:color="CCCCCC" w:sz="1"/>
              <w:left w:val="single" w:color="CCCCCC" w:sz="1"/>
              <w:bottom w:val="single" w:color="CCCCCC" w:sz="1"/>
              <w:right w:val="single" w:color="CCCCCC" w:sz="1"/>
            </w:tcBorders>
            <w:shd w:fill="C0392B" w:val="clear"/>
            <w:tcMar>
              <w:top w:type="dxa" w:w="60"/>
              <w:left w:type="dxa" w:w="110"/>
              <w:bottom w:type="dxa" w:w="60"/>
              <w:right w:type="dxa" w:w="110"/>
            </w:tcMar>
          </w:tcPr>
          <w:p>
            <w:pPr>
              <w:jc w:val="left"/>
            </w:pPr>
            <w:r>
              <w:rPr>
                <w:b/>
                <w:bCs/>
                <w:color w:val="FFFFFF"/>
              </w:rPr>
              <w:t xml:space="preserve">Antes (car.)</w:t>
            </w:r>
          </w:p>
        </w:tc>
        <w:tc>
          <w:tcPr>
            <w:tcW w:type="dxa" w:w="3030"/>
            <w:tcBorders>
              <w:top w:val="single" w:color="CCCCCC" w:sz="1"/>
              <w:left w:val="single" w:color="CCCCCC" w:sz="1"/>
              <w:bottom w:val="single" w:color="CCCCCC" w:sz="1"/>
              <w:right w:val="single" w:color="CCCCCC" w:sz="1"/>
            </w:tcBorders>
            <w:shd w:fill="C0392B" w:val="clear"/>
            <w:tcMar>
              <w:top w:type="dxa" w:w="60"/>
              <w:left w:type="dxa" w:w="110"/>
              <w:bottom w:type="dxa" w:w="60"/>
              <w:right w:type="dxa" w:w="110"/>
            </w:tcMar>
          </w:tcPr>
          <w:p>
            <w:pPr>
              <w:jc w:val="left"/>
            </w:pPr>
            <w:r>
              <w:rPr>
                <w:b/>
                <w:bCs/>
                <w:color w:val="FFFFFF"/>
              </w:rPr>
              <w:t xml:space="preserve">Después (car.)</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/directorio/</w:t>
            </w:r>
          </w:p>
        </w:tc>
        <w:tc>
          <w:tcPr>
            <w:tcW w:type="dxa" w:w="4030"/>
            <w:tcBorders>
              <w:top w:val="single" w:color="CCCCCC" w:sz="1"/>
              <w:left w:val="single" w:color="CCCCCC" w:sz="1"/>
              <w:bottom w:val="single" w:color="CCCCCC" w:sz="1"/>
              <w:right w:val="single" w:color="CCCCCC" w:sz="1"/>
            </w:tcBorders>
            <w:shd w:fill="FFF2CC" w:val="clear"/>
            <w:tcMar>
              <w:top w:type="dxa" w:w="60"/>
              <w:left w:type="dxa" w:w="110"/>
              <w:bottom w:type="dxa" w:w="60"/>
              <w:right w:type="dxa" w:w="110"/>
            </w:tcMar>
          </w:tcPr>
          <w:p>
            <w:pPr>
              <w:jc w:val="left"/>
            </w:pPr>
            <w:r>
              <w:rPr>
                <w:sz w:val="18"/>
                <w:szCs w:val="18"/>
              </w:rPr>
              <w:t xml:space="preserve">Directorio de Estaciones de Bomberos en México — 549+ Estaciones Verificadas | BOMBERO.MX (89)</w:t>
            </w:r>
          </w:p>
        </w:tc>
        <w:tc>
          <w:tcPr>
            <w:tcW w:type="dxa" w:w="3030"/>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tcPr>
          <w:p>
            <w:pPr>
              <w:jc w:val="left"/>
            </w:pPr>
            <w:r>
              <w:rPr>
                <w:sz w:val="18"/>
                <w:szCs w:val="18"/>
              </w:rPr>
              <w:t xml:space="preserve">Directorio de Bomberos en México | BOMBERO.MX (45)</w:t>
            </w:r>
          </w:p>
        </w:tc>
      </w:tr>
      <w:tr>
        <w:tc>
          <w:tcPr>
            <w:tcW w:type="dxa" w:w="23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sz w:val="18"/>
                <w:szCs w:val="18"/>
              </w:rPr>
              <w:t xml:space="preserve">/directorio/aguascalientes/</w:t>
            </w:r>
          </w:p>
        </w:tc>
        <w:tc>
          <w:tcPr>
            <w:tcW w:type="dxa" w:w="4030"/>
            <w:tcBorders>
              <w:top w:val="single" w:color="CCCCCC" w:sz="1"/>
              <w:left w:val="single" w:color="CCCCCC" w:sz="1"/>
              <w:bottom w:val="single" w:color="CCCCCC" w:sz="1"/>
              <w:right w:val="single" w:color="CCCCCC" w:sz="1"/>
            </w:tcBorders>
            <w:shd w:fill="FFF2CC" w:val="clear"/>
            <w:tcMar>
              <w:top w:type="dxa" w:w="60"/>
              <w:left w:type="dxa" w:w="110"/>
              <w:bottom w:type="dxa" w:w="60"/>
              <w:right w:type="dxa" w:w="110"/>
            </w:tcMar>
          </w:tcPr>
          <w:p>
            <w:pPr>
              <w:jc w:val="left"/>
            </w:pPr>
            <w:r>
              <w:rPr>
                <w:sz w:val="18"/>
                <w:szCs w:val="18"/>
              </w:rPr>
              <w:t xml:space="preserve">Bomberos en Aguascalientes — 13 Estaciones Verificadas | BOMBERO.MX (67)</w:t>
            </w:r>
          </w:p>
        </w:tc>
        <w:tc>
          <w:tcPr>
            <w:tcW w:type="dxa" w:w="3030"/>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tcPr>
          <w:p>
            <w:pPr>
              <w:jc w:val="left"/>
            </w:pPr>
            <w:r>
              <w:rPr>
                <w:sz w:val="18"/>
                <w:szCs w:val="18"/>
              </w:rPr>
              <w:t xml:space="preserve">Bomberos en Aguascalientes | 13 Estaciones | BOMBERO.MX (54)</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/directorio/aguascalientes/telefonos/</w:t>
            </w:r>
          </w:p>
        </w:tc>
        <w:tc>
          <w:tcPr>
            <w:tcW w:type="dxa" w:w="4030"/>
            <w:tcBorders>
              <w:top w:val="single" w:color="CCCCCC" w:sz="1"/>
              <w:left w:val="single" w:color="CCCCCC" w:sz="1"/>
              <w:bottom w:val="single" w:color="CCCCCC" w:sz="1"/>
              <w:right w:val="single" w:color="CCCCCC" w:sz="1"/>
            </w:tcBorders>
            <w:shd w:fill="FFF2CC" w:val="clear"/>
            <w:tcMar>
              <w:top w:type="dxa" w:w="60"/>
              <w:left w:type="dxa" w:w="110"/>
              <w:bottom w:type="dxa" w:w="60"/>
              <w:right w:type="dxa" w:w="110"/>
            </w:tcMar>
          </w:tcPr>
          <w:p>
            <w:pPr>
              <w:jc w:val="left"/>
            </w:pPr>
            <w:r>
              <w:rPr>
                <w:sz w:val="18"/>
                <w:szCs w:val="18"/>
              </w:rPr>
              <w:t xml:space="preserve">Teléfonos de bomberos en Aguascalientes — 13 líneas directas verificadas | BOMBERO.MX (85)</w:t>
            </w:r>
          </w:p>
        </w:tc>
        <w:tc>
          <w:tcPr>
            <w:tcW w:type="dxa" w:w="3030"/>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tcPr>
          <w:p>
            <w:pPr>
              <w:jc w:val="left"/>
            </w:pPr>
            <w:r>
              <w:rPr>
                <w:sz w:val="18"/>
                <w:szCs w:val="18"/>
              </w:rPr>
              <w:t xml:space="preserve">Teléfonos de Bomberos en Aguascalientes | BOMBERO.MX (52)</w:t>
            </w:r>
          </w:p>
        </w:tc>
      </w:tr>
      <w:tr>
        <w:tc>
          <w:tcPr>
            <w:tcW w:type="dxa" w:w="23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sz w:val="18"/>
                <w:szCs w:val="18"/>
              </w:rPr>
              <w:t xml:space="preserve">/directorio/jalisco/</w:t>
            </w:r>
          </w:p>
        </w:tc>
        <w:tc>
          <w:tcPr>
            <w:tcW w:type="dxa" w:w="4030"/>
            <w:tcBorders>
              <w:top w:val="single" w:color="CCCCCC" w:sz="1"/>
              <w:left w:val="single" w:color="CCCCCC" w:sz="1"/>
              <w:bottom w:val="single" w:color="CCCCCC" w:sz="1"/>
              <w:right w:val="single" w:color="CCCCCC" w:sz="1"/>
            </w:tcBorders>
            <w:shd w:fill="FFF2CC" w:val="clear"/>
            <w:tcMar>
              <w:top w:type="dxa" w:w="60"/>
              <w:left w:type="dxa" w:w="110"/>
              <w:bottom w:type="dxa" w:w="60"/>
              <w:right w:type="dxa" w:w="110"/>
            </w:tcMar>
          </w:tcPr>
          <w:p>
            <w:pPr>
              <w:jc w:val="left"/>
            </w:pPr>
            <w:r>
              <w:rPr>
                <w:sz w:val="18"/>
                <w:szCs w:val="18"/>
              </w:rPr>
              <w:t xml:space="preserve">Bomberos en Jalisco — 27 Estaciones Verificadas | BOMBERO.MX (60)</w:t>
            </w:r>
          </w:p>
        </w:tc>
        <w:tc>
          <w:tcPr>
            <w:tcW w:type="dxa" w:w="3030"/>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tcPr>
          <w:p>
            <w:pPr>
              <w:jc w:val="left"/>
            </w:pPr>
            <w:r>
              <w:rPr>
                <w:sz w:val="18"/>
                <w:szCs w:val="18"/>
              </w:rPr>
              <w:t xml:space="preserve">Bomberos en Jalisco | 27 Estaciones | BOMBERO.MX (48)</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/directorio/jalisco/municipios/</w:t>
            </w:r>
          </w:p>
        </w:tc>
        <w:tc>
          <w:tcPr>
            <w:tcW w:type="dxa" w:w="4030"/>
            <w:tcBorders>
              <w:top w:val="single" w:color="CCCCCC" w:sz="1"/>
              <w:left w:val="single" w:color="CCCCCC" w:sz="1"/>
              <w:bottom w:val="single" w:color="CCCCCC" w:sz="1"/>
              <w:right w:val="single" w:color="CCCCCC" w:sz="1"/>
            </w:tcBorders>
            <w:shd w:fill="FFF2CC" w:val="clear"/>
            <w:tcMar>
              <w:top w:type="dxa" w:w="60"/>
              <w:left w:type="dxa" w:w="110"/>
              <w:bottom w:type="dxa" w:w="60"/>
              <w:right w:type="dxa" w:w="110"/>
            </w:tcMar>
          </w:tcPr>
          <w:p>
            <w:pPr>
              <w:jc w:val="left"/>
            </w:pPr>
            <w:r>
              <w:rPr>
                <w:i/>
                <w:iCs/>
                <w:sz w:val="18"/>
                <w:szCs w:val="18"/>
              </w:rPr>
              <w:t xml:space="preserve">(patrón largo equivalente, &gt;70)</w:t>
            </w:r>
          </w:p>
        </w:tc>
        <w:tc>
          <w:tcPr>
            <w:tcW w:type="dxa" w:w="3030"/>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tcPr>
          <w:p>
            <w:pPr>
              <w:jc w:val="left"/>
            </w:pPr>
            <w:r>
              <w:rPr>
                <w:sz w:val="18"/>
                <w:szCs w:val="18"/>
              </w:rPr>
              <w:t xml:space="preserve">Bomberos por Municipio en Jalisco | BOMBERO.MX (46)</w:t>
            </w:r>
          </w:p>
        </w:tc>
      </w:tr>
    </w:tbl>
    <w:p>
      <w:pPr>
        <w:pStyle w:val="Heading2"/>
      </w:pPr>
      <w:r>
        <w:t xml:space="preserve">Cómo — lógica de variables dinámicas</w:t>
      </w:r>
    </w:p>
    <w:p>
      <w:pPr>
        <w:pStyle w:val="ListParagraph"/>
        <w:numPr>
          <w:ilvl w:val="0"/>
          <w:numId w:val="2"/>
        </w:numPr>
        <w:spacing w:after="60" w:line="270"/>
      </w:pPr>
      <w:r>
        <w:t xml:space="preserve">Variables: {Estado} (nombre propio capitalizado), {N} (conteo de estaciones verificadas ya disponible en el dato de página), {tipo} (teléfonos/municipios/especialidades).</w:t>
      </w:r>
    </w:p>
    <w:p>
      <w:pPr>
        <w:pStyle w:val="ListParagraph"/>
        <w:numPr>
          <w:ilvl w:val="0"/>
          <w:numId w:val="2"/>
        </w:numPr>
        <w:spacing w:after="60" w:line="270"/>
      </w:pPr>
      <w:r>
        <w:t xml:space="preserve">Implementar en la plantilla del CMS/generador: el title se compone con las variables, con un fallback si {N} no existe (omitir el bloque “| {N} Estaciones” antes que truncar).</w:t>
      </w:r>
    </w:p>
    <w:p>
      <w:pPr>
        <w:pStyle w:val="ListParagraph"/>
        <w:numPr>
          <w:ilvl w:val="0"/>
          <w:numId w:val="2"/>
        </w:numPr>
        <w:spacing w:after="60" w:line="270"/>
      </w:pPr>
      <w:r>
        <w:t xml:space="preserve">Guardia de longitud: función que, si el title compuesto supera 60 car., elimina primero el modificador {N} y luego recorta el nombre largo del estado.</w:t>
      </w:r>
    </w:p>
    <w:p>
      <w:pPr>
        <w:pStyle w:val="ListParagraph"/>
        <w:numPr>
          <w:ilvl w:val="0"/>
          <w:numId w:val="2"/>
        </w:numPr>
        <w:spacing w:after="60" w:line="270"/>
      </w:pPr>
      <w:r>
        <w:t xml:space="preserve">Sustituir el guion largo “—” por pleca “|”: separa mejor y ahorra caracteres.</w:t>
      </w:r>
    </w:p>
    <w:p>
      <w:pPr>
        <w:pStyle w:val="ListParagraph"/>
        <w:numPr>
          <w:ilvl w:val="0"/>
          <w:numId w:val="2"/>
        </w:numPr>
        <w:spacing w:after="60" w:line="270"/>
      </w:pPr>
      <w:r>
        <w:t xml:space="preserve">No tocar H1 ni el schema; solo el &lt;title&gt; y, si se desea, la meta description con el mismo criterio.</w:t>
      </w:r>
    </w:p>
    <w:p>
      <w:pPr>
        <w:spacing w:after="90" w:line="276"/>
      </w:pPr>
      <w:r>
        <w:rPr>
          <w:b/>
          <w:bCs/>
          <w:color w:val="C0392B"/>
        </w:rPr>
        <w:t xml:space="preserve">Impacto esperado: </w:t>
      </w:r>
      <w:r>
        <w:t xml:space="preserve">Mejora de CTR en ~1,230 páginas (titles completos y escaneables en la SERP). Efecto agregado relevante por el volumen de páginas con impresiones.</w:t>
      </w:r>
    </w:p>
    <w:p>
      <w:pPr>
        <w:spacing w:after="90" w:line="276"/>
      </w:pPr>
      <w:r>
        <w:rPr>
          <w:b/>
          <w:bCs/>
          <w:color w:val="C0392B"/>
        </w:rPr>
        <w:t xml:space="preserve">Cómo medir: </w:t>
      </w:r>
      <w:r>
        <w:t xml:space="preserve">CTR medio del directorio en GSC (filtro por /directorio/) antes/después; revisar en SERP que los titles ya no se truncan.</w:t>
      </w:r>
    </w:p>
    <w:p>
      <w:pPr>
        <w:spacing w:after="40" w:before="80"/>
      </w:pPr>
      <w:r>
        <w:rPr>
          <w:b/>
          <w:bCs/>
          <w:color w:val="2E75B6"/>
        </w:rPr>
        <w:t xml:space="preserve">Métricas de éxito</w:t>
      </w:r>
    </w:p>
    <w:p>
      <w:pPr>
        <w:pStyle w:val="ListParagraph"/>
        <w:numPr>
          <w:ilvl w:val="0"/>
          <w:numId w:val="2"/>
        </w:numPr>
        <w:spacing w:after="60" w:line="270"/>
      </w:pPr>
      <w:r>
        <w:t xml:space="preserve">100% de titles del directorio ≤ 60 caracteres.</w:t>
      </w:r>
    </w:p>
    <w:p>
      <w:pPr>
        <w:pStyle w:val="ListParagraph"/>
        <w:numPr>
          <w:ilvl w:val="0"/>
          <w:numId w:val="2"/>
        </w:numPr>
        <w:spacing w:after="60" w:line="270"/>
      </w:pPr>
      <w:r>
        <w:t xml:space="preserve">CTR del segmento /directorio/ al alza en 4-8 semanas.</w:t>
      </w:r>
    </w:p>
    <w:p>
      <w:pPr>
        <w:pStyle w:val="ListParagraph"/>
        <w:numPr>
          <w:ilvl w:val="0"/>
          <w:numId w:val="2"/>
        </w:numPr>
        <w:spacing w:after="60" w:line="270"/>
      </w:pPr>
      <w:r>
        <w:t xml:space="preserve">Cero titles truncados en una muestra de 20 URLs revisadas en SERP.</w:t>
      </w:r>
    </w:p>
    <w:p>
      <w:pPr>
        <w:shd w:fill="F2F2F2" w:val="clear"/>
        <w:spacing w:after="160" w:before="100"/>
      </w:pPr>
      <w:r>
        <w:rPr>
          <w:b/>
          <w:bCs/>
        </w:rPr>
        <w:t xml:space="preserve">Esfuerzo: </w:t>
      </w:r>
      <w:r>
        <w:t xml:space="preserve">Bajo</w:t>
      </w:r>
      <w:r>
        <w:rPr>
          <w:b/>
          <w:bCs/>
        </w:rPr>
        <w:t xml:space="preserve">    Impacto: </w:t>
      </w:r>
      <w:r>
        <w:t xml:space="preserve">Medio-Alto</w:t>
      </w:r>
      <w:r>
        <w:rPr>
          <w:b/>
          <w:bCs/>
        </w:rPr>
        <w:t xml:space="preserve">    Horizonte: </w:t>
      </w:r>
      <w:r>
        <w:t xml:space="preserve">Inmediato (semana 1-2)</w:t>
      </w:r>
    </w:p>
    <w:p>
      <w:r>
        <w:br w:type="page"/>
      </w:r>
    </w:p>
    <w:p>
      <w:pPr>
        <w:pStyle w:val="Heading1"/>
      </w:pPr>
      <w:r>
        <w:t xml:space="preserve">Fase 4 — Saneamiento técnico (sitemaps)</w:t>
      </w:r>
    </w:p>
    <w:p>
      <w:pPr>
        <w:spacing w:after="120" w:line="276"/>
      </w:pPr>
      <w:r>
        <w:t xml:space="preserve">Reencuadre por verificación en vivo: las páginas de directorio NO están fuera del índice. sitemap-index.xml referencia sitemap-0.xml, y sitemap-0.xml contiene 1,494 URLs (1,219 de directorio + 93 de blog). El problema real es de consistencia: sitemap-directorio.xml (1,230 URLs) se declara en robots.txt pero no figura en el índice, y solapa con lo que ya está en sitemap-0.xml. Hay que unificar para tener una sola fuente de verdad.</w:t>
      </w:r>
    </w:p>
    <w:p>
      <w:pPr>
        <w:pStyle w:val="Heading2"/>
      </w:pPr>
      <w:r>
        <w:t xml:space="preserve">Qué — unificar la estructura de sitemaps</w:t>
      </w:r>
    </w:p>
    <w:p>
      <w:pPr>
        <w:spacing w:after="120" w:line="276"/>
      </w:pPr>
      <w:r>
        <w:t xml:space="preserve">Elegir UNA de dos arquitecturas limpias (recomendada la opción A):</w:t>
      </w:r>
    </w:p>
    <w:p>
      <w:pPr>
        <w:spacing w:after="90" w:line="276"/>
      </w:pPr>
      <w:r>
        <w:rPr>
          <w:b/>
          <w:bCs/>
          <w:color w:val="C0392B"/>
        </w:rPr>
        <w:t xml:space="preserve">Opción A (recomendada) — Índice con hijos segmentados: </w:t>
      </w:r>
      <w:r>
        <w:t xml:space="preserve">sitemap-index.xml referencia varios hijos temáticos en lugar de un monolítico. Ej.: sitemap-core.xml (home, tienda, pilar), sitemap-directorio.xml (1,230 URLs) y sitemap-blog.xml. Se elimina sitemap-0.xml o se reconstruye como suma de los hijos sin duplicar.</w:t>
      </w:r>
    </w:p>
    <w:p>
      <w:pPr>
        <w:spacing w:after="90" w:line="276"/>
      </w:pPr>
      <w:r>
        <w:rPr>
          <w:b/>
          <w:bCs/>
          <w:color w:val="C0392B"/>
        </w:rPr>
        <w:t xml:space="preserve">Opción B — Mantener el monolítico: </w:t>
      </w:r>
      <w:r>
        <w:t xml:space="preserve">Conservar solo sitemap-0.xml con las 1,494 URLs y ELIMINAR la declaración de sitemap-directorio.xml en robots.txt para que no haya dos fuentes. Menos limpio para escalar, pero válido.</w:t>
      </w:r>
    </w:p>
    <w:p>
      <w:pPr>
        <w:pStyle w:val="Heading2"/>
      </w:pPr>
      <w:r>
        <w:t xml:space="preserve">Cómo — implementación (Opción A)</w:t>
      </w:r>
    </w:p>
    <w:p>
      <w:pPr>
        <w:pStyle w:val="ListParagraph"/>
        <w:numPr>
          <w:ilvl w:val="0"/>
          <w:numId w:val="3"/>
        </w:numPr>
        <w:spacing w:after="60" w:line="270"/>
      </w:pPr>
      <w:r>
        <w:t xml:space="preserve">Generar sitemap-directorio.xml ya existente (1,230 URLs) y asegurarlo válido (lastmod correcto, ≤ 50,000 URLs / 50 MB).</w:t>
      </w:r>
    </w:p>
    <w:p>
      <w:pPr>
        <w:pStyle w:val="ListParagraph"/>
        <w:numPr>
          <w:ilvl w:val="0"/>
          <w:numId w:val="3"/>
        </w:numPr>
        <w:spacing w:after="60" w:line="270"/>
      </w:pPr>
      <w:r>
        <w:t xml:space="preserve">Crear sitemap-core.xml y sitemap-blog.xml separando las URLs hoy mezcladas en sitemap-0.xml.</w:t>
      </w:r>
    </w:p>
    <w:p>
      <w:pPr>
        <w:pStyle w:val="ListParagraph"/>
        <w:numPr>
          <w:ilvl w:val="0"/>
          <w:numId w:val="3"/>
        </w:numPr>
        <w:spacing w:after="60" w:line="270"/>
      </w:pPr>
      <w:r>
        <w:t xml:space="preserve">Reescribir sitemap-index.xml para que liste los tres hijos (core, directorio, blog). Eliminar sitemap-0.xml o dejar un redirect 301 hacia el índice.</w:t>
      </w:r>
    </w:p>
    <w:p>
      <w:pPr>
        <w:pStyle w:val="ListParagraph"/>
        <w:numPr>
          <w:ilvl w:val="0"/>
          <w:numId w:val="3"/>
        </w:numPr>
        <w:spacing w:after="60" w:line="270"/>
      </w:pPr>
      <w:r>
        <w:t xml:space="preserve">Quitar la duplicidad: que ninguna URL aparezca en dos hijos a la vez.</w:t>
      </w:r>
    </w:p>
    <w:p>
      <w:pPr>
        <w:pStyle w:val="ListParagraph"/>
        <w:numPr>
          <w:ilvl w:val="0"/>
          <w:numId w:val="3"/>
        </w:numPr>
        <w:spacing w:after="60" w:line="270"/>
      </w:pPr>
      <w:r>
        <w:t xml:space="preserve">robots.txt: dejar declarado solo Sitemap: https://bombero.mx/sitemap-index.xml (una línea). El índice ya enlaza a los hijos; declarar también sitemap-directorio.xml por separado es redundante.</w:t>
      </w:r>
    </w:p>
    <w:p>
      <w:pPr>
        <w:pStyle w:val="ListParagraph"/>
        <w:numPr>
          <w:ilvl w:val="0"/>
          <w:numId w:val="3"/>
        </w:numPr>
        <w:spacing w:after="60" w:line="270"/>
      </w:pPr>
      <w:r>
        <w:t xml:space="preserve">Mantener intactos canonical y schema (no se tocan).</w:t>
      </w:r>
    </w:p>
    <w:p>
      <w:pPr>
        <w:pStyle w:val="Heading2"/>
      </w:pPr>
      <w:r>
        <w:t xml:space="preserve">Verificación de cobertura en Search Console</w:t>
      </w:r>
    </w:p>
    <w:p>
      <w:pPr>
        <w:pStyle w:val="ListParagraph"/>
        <w:numPr>
          <w:ilvl w:val="0"/>
          <w:numId w:val="2"/>
        </w:numPr>
        <w:spacing w:after="60" w:line="270"/>
      </w:pPr>
      <w:r>
        <w:t xml:space="preserve">Sitemaps: reenviar sitemap-index.xml; confirmar estado “Correcto” y nº de URLs descubiertas por cada hijo.</w:t>
      </w:r>
    </w:p>
    <w:p>
      <w:pPr>
        <w:pStyle w:val="ListParagraph"/>
        <w:numPr>
          <w:ilvl w:val="0"/>
          <w:numId w:val="2"/>
        </w:numPr>
        <w:spacing w:after="60" w:line="270"/>
      </w:pPr>
      <w:r>
        <w:t xml:space="preserve">Indexación de páginas: vigilar que “Indexadas” se acerque al total de directorio; revisar “Descubierta: actualmente sin indexar” y “Rastreada sin indexar”.</w:t>
      </w:r>
    </w:p>
    <w:p>
      <w:pPr>
        <w:pStyle w:val="ListParagraph"/>
        <w:numPr>
          <w:ilvl w:val="0"/>
          <w:numId w:val="2"/>
        </w:numPr>
        <w:spacing w:after="60" w:line="270"/>
      </w:pPr>
      <w:r>
        <w:t xml:space="preserve">Inspección de URL: probar 3-4 páginas de directorio de estados distintos; confirmar “La URL está en Google” y sitemap detectado.</w:t>
      </w:r>
    </w:p>
    <w:p>
      <w:pPr>
        <w:pStyle w:val="ListParagraph"/>
        <w:numPr>
          <w:ilvl w:val="0"/>
          <w:numId w:val="2"/>
        </w:numPr>
        <w:spacing w:after="60" w:line="270"/>
      </w:pPr>
      <w:r>
        <w:t xml:space="preserve">Cotejar: páginas con tráfico (hoy 349) vs. indexadas; cerrar la brecha de las 1,494 - 349 que reciben poco/ningún clic con las fases 2, 3 y 5.</w:t>
      </w:r>
    </w:p>
    <w:p>
      <w:pPr>
        <w:spacing w:after="90" w:line="276"/>
      </w:pPr>
      <w:r>
        <w:rPr>
          <w:b/>
          <w:bCs/>
          <w:color w:val="C0392B"/>
        </w:rPr>
        <w:t xml:space="preserve">Impacto esperado: </w:t>
      </w:r>
      <w:r>
        <w:t xml:space="preserve">Indexación más predecible y mejor presupuesto de rastreo; elimina señales contradictorias. Impacto SEO directo moderado (las páginas ya se indexan), pero base limpia para escalar contenido.</w:t>
      </w:r>
    </w:p>
    <w:p>
      <w:pPr>
        <w:spacing w:after="90" w:line="276"/>
      </w:pPr>
      <w:r>
        <w:rPr>
          <w:b/>
          <w:bCs/>
          <w:color w:val="C0392B"/>
        </w:rPr>
        <w:t xml:space="preserve">Cómo medir: </w:t>
      </w:r>
      <w:r>
        <w:t xml:space="preserve">Informe de Sitemaps y de Indexación en GSC; nº de páginas indexadas y con tráfico a 30/60 días.</w:t>
      </w:r>
    </w:p>
    <w:p>
      <w:pPr>
        <w:spacing w:after="40" w:before="80"/>
      </w:pPr>
      <w:r>
        <w:rPr>
          <w:b/>
          <w:bCs/>
          <w:color w:val="2E75B6"/>
        </w:rPr>
        <w:t xml:space="preserve">Métricas de éxito</w:t>
      </w:r>
    </w:p>
    <w:p>
      <w:pPr>
        <w:pStyle w:val="ListParagraph"/>
        <w:numPr>
          <w:ilvl w:val="0"/>
          <w:numId w:val="2"/>
        </w:numPr>
        <w:spacing w:after="60" w:line="270"/>
      </w:pPr>
      <w:r>
        <w:t xml:space="preserve">Una sola fuente de verdad de sitemaps, sin URLs duplicadas entre hijos.</w:t>
      </w:r>
    </w:p>
    <w:p>
      <w:pPr>
        <w:pStyle w:val="ListParagraph"/>
        <w:numPr>
          <w:ilvl w:val="0"/>
          <w:numId w:val="2"/>
        </w:numPr>
        <w:spacing w:after="60" w:line="270"/>
      </w:pPr>
      <w:r>
        <w:t xml:space="preserve">≥ 95% de las URLs de directorio en estado “Indexada” en GSC.</w:t>
      </w:r>
    </w:p>
    <w:p>
      <w:pPr>
        <w:pStyle w:val="ListParagraph"/>
        <w:numPr>
          <w:ilvl w:val="0"/>
          <w:numId w:val="2"/>
        </w:numPr>
        <w:spacing w:after="60" w:line="270"/>
      </w:pPr>
      <w:r>
        <w:t xml:space="preserve">Sin advertencias de sitemap en Search Console.</w:t>
      </w:r>
    </w:p>
    <w:p>
      <w:pPr>
        <w:shd w:fill="F2F2F2" w:val="clear"/>
        <w:spacing w:after="160" w:before="100"/>
      </w:pPr>
      <w:r>
        <w:rPr>
          <w:b/>
          <w:bCs/>
        </w:rPr>
        <w:t xml:space="preserve">Esfuerzo: </w:t>
      </w:r>
      <w:r>
        <w:t xml:space="preserve">Bajo</w:t>
      </w:r>
      <w:r>
        <w:rPr>
          <w:b/>
          <w:bCs/>
        </w:rPr>
        <w:t xml:space="preserve">    Impacto: </w:t>
      </w:r>
      <w:r>
        <w:t xml:space="preserve">Bajo-Medio</w:t>
      </w:r>
      <w:r>
        <w:rPr>
          <w:b/>
          <w:bCs/>
        </w:rPr>
        <w:t xml:space="preserve">    Horizonte: </w:t>
      </w:r>
      <w:r>
        <w:t xml:space="preserve">Inmediato (semana 1-2)</w:t>
      </w:r>
    </w:p>
    <w:p>
      <w:r>
        <w:br w:type="page"/>
      </w:r>
    </w:p>
    <w:p>
      <w:pPr>
        <w:pStyle w:val="Heading1"/>
      </w:pPr>
      <w:r>
        <w:t xml:space="preserve">Fase 5 — Estrategia de contenido y blog por ciudad</w:t>
      </w:r>
    </w:p>
    <w:p>
      <w:pPr>
        <w:spacing w:after="120" w:line="276"/>
      </w:pPr>
      <w:r>
        <w:t xml:space="preserve">La estrategia de blog por ciudad (bomberos-cdmx-equipo-nfpa, guadalajara, aguascalientes, cancún, ARFF…) ya está iniciada y es la mejor vía para unir las dos capas: cada artículo capta intención local + comercial (“equipo NFPA en {ciudad}”) y conecta directorio con tienda. El plan: ampliarla con un calendario priorizado por tamaño de cuerpo de bomberos y volumen de búsqueda.</w:t>
      </w:r>
    </w:p>
    <w:p>
      <w:pPr>
        <w:pStyle w:val="Heading2"/>
      </w:pPr>
      <w:r>
        <w:t xml:space="preserve">Qué — 18 ciudades objetivo priorizadas</w:t>
      </w:r>
    </w:p>
    <w:p>
      <w:pPr>
        <w:spacing w:after="120" w:line="276"/>
      </w:pPr>
      <w:r>
        <w:t xml:space="preserve">Priorización por población metropolitana, tamaño/actividad del cuerpo de bomberos y demanda comercial de equipo. Las marcadas como “publicado” ya existen y se optimizan; el resto son nuevas.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2400"/>
        <w:gridCol w:w="1760"/>
        <w:gridCol w:w="2000"/>
      </w:tblGrid>
      <w:tr>
        <w:trPr>
          <w:tblHeader/>
        </w:trPr>
        <w:tc>
          <w:tcPr>
            <w:tcW w:type="dxa" w:w="600"/>
            <w:tcBorders>
              <w:top w:val="single" w:color="CCCCCC" w:sz="1"/>
              <w:left w:val="single" w:color="CCCCCC" w:sz="1"/>
              <w:bottom w:val="single" w:color="CCCCCC" w:sz="1"/>
              <w:right w:val="single" w:color="CCCCCC" w:sz="1"/>
            </w:tcBorders>
            <w:shd w:fill="C0392B" w:val="clear"/>
            <w:tcMar>
              <w:top w:type="dxa" w:w="60"/>
              <w:left w:type="dxa" w:w="110"/>
              <w:bottom w:type="dxa" w:w="60"/>
              <w:right w:type="dxa" w:w="110"/>
            </w:tcMar>
          </w:tcPr>
          <w:p>
            <w:pPr>
              <w:jc w:val="left"/>
            </w:pPr>
            <w:r>
              <w:rPr>
                <w:b/>
                <w:bCs/>
                <w:color w:val="FFFFFF"/>
              </w:rPr>
              <w:t xml:space="preserve">#</w:t>
            </w:r>
          </w:p>
        </w:tc>
        <w:tc>
          <w:tcPr>
            <w:tcW w:type="dxa" w:w="2600"/>
            <w:tcBorders>
              <w:top w:val="single" w:color="CCCCCC" w:sz="1"/>
              <w:left w:val="single" w:color="CCCCCC" w:sz="1"/>
              <w:bottom w:val="single" w:color="CCCCCC" w:sz="1"/>
              <w:right w:val="single" w:color="CCCCCC" w:sz="1"/>
            </w:tcBorders>
            <w:shd w:fill="C0392B" w:val="clear"/>
            <w:tcMar>
              <w:top w:type="dxa" w:w="60"/>
              <w:left w:type="dxa" w:w="110"/>
              <w:bottom w:type="dxa" w:w="60"/>
              <w:right w:type="dxa" w:w="110"/>
            </w:tcMar>
          </w:tcPr>
          <w:p>
            <w:pPr>
              <w:jc w:val="left"/>
            </w:pPr>
            <w:r>
              <w:rPr>
                <w:b/>
                <w:bCs/>
                <w:color w:val="FFFFFF"/>
              </w:rPr>
              <w:t xml:space="preserve">Ciudad</w:t>
            </w:r>
          </w:p>
        </w:tc>
        <w:tc>
          <w:tcPr>
            <w:tcW w:type="dxa" w:w="2400"/>
            <w:tcBorders>
              <w:top w:val="single" w:color="CCCCCC" w:sz="1"/>
              <w:left w:val="single" w:color="CCCCCC" w:sz="1"/>
              <w:bottom w:val="single" w:color="CCCCCC" w:sz="1"/>
              <w:right w:val="single" w:color="CCCCCC" w:sz="1"/>
            </w:tcBorders>
            <w:shd w:fill="C0392B" w:val="clear"/>
            <w:tcMar>
              <w:top w:type="dxa" w:w="60"/>
              <w:left w:type="dxa" w:w="110"/>
              <w:bottom w:type="dxa" w:w="60"/>
              <w:right w:type="dxa" w:w="110"/>
            </w:tcMar>
          </w:tcPr>
          <w:p>
            <w:pPr>
              <w:jc w:val="left"/>
            </w:pPr>
            <w:r>
              <w:rPr>
                <w:b/>
                <w:bCs/>
                <w:color w:val="FFFFFF"/>
              </w:rPr>
              <w:t xml:space="preserve">Estado</w:t>
            </w:r>
          </w:p>
        </w:tc>
        <w:tc>
          <w:tcPr>
            <w:tcW w:type="dxa" w:w="1760"/>
            <w:tcBorders>
              <w:top w:val="single" w:color="CCCCCC" w:sz="1"/>
              <w:left w:val="single" w:color="CCCCCC" w:sz="1"/>
              <w:bottom w:val="single" w:color="CCCCCC" w:sz="1"/>
              <w:right w:val="single" w:color="CCCCCC" w:sz="1"/>
            </w:tcBorders>
            <w:shd w:fill="C0392B" w:val="clear"/>
            <w:tcMar>
              <w:top w:type="dxa" w:w="60"/>
              <w:left w:type="dxa" w:w="110"/>
              <w:bottom w:type="dxa" w:w="60"/>
              <w:right w:type="dxa" w:w="110"/>
            </w:tcMar>
          </w:tcPr>
          <w:p>
            <w:pPr>
              <w:jc w:val="left"/>
            </w:pPr>
            <w:r>
              <w:rPr>
                <w:b/>
                <w:bCs/>
                <w:color w:val="FFFFFF"/>
              </w:rPr>
              <w:t xml:space="preserve">Prioridad</w:t>
            </w:r>
          </w:p>
        </w:tc>
        <w:tc>
          <w:tcPr>
            <w:tcW w:type="dxa" w:w="2000"/>
            <w:tcBorders>
              <w:top w:val="single" w:color="CCCCCC" w:sz="1"/>
              <w:left w:val="single" w:color="CCCCCC" w:sz="1"/>
              <w:bottom w:val="single" w:color="CCCCCC" w:sz="1"/>
              <w:right w:val="single" w:color="CCCCCC" w:sz="1"/>
            </w:tcBorders>
            <w:shd w:fill="C0392B" w:val="clear"/>
            <w:tcMar>
              <w:top w:type="dxa" w:w="60"/>
              <w:left w:type="dxa" w:w="110"/>
              <w:bottom w:type="dxa" w:w="60"/>
              <w:right w:type="dxa" w:w="110"/>
            </w:tcMar>
          </w:tcPr>
          <w:p>
            <w:pPr>
              <w:jc w:val="left"/>
            </w:pPr>
            <w:r>
              <w:rPr>
                <w:b/>
                <w:bCs/>
                <w:color w:val="FFFFFF"/>
              </w:rPr>
              <w:t xml:space="preserve">Estado</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1</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Ciudad de México</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CDMX</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Muy alta</w:t>
            </w:r>
          </w:p>
        </w:tc>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Publicado — optimizar</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2</w:t>
            </w:r>
          </w:p>
        </w:tc>
        <w:tc>
          <w:tcPr>
            <w:tcW w:type="dxa" w:w="2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Guadalajara</w:t>
            </w:r>
          </w:p>
        </w:tc>
        <w:tc>
          <w:tcPr>
            <w:tcW w:type="dxa" w:w="24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Jalisco</w:t>
            </w:r>
          </w:p>
        </w:tc>
        <w:tc>
          <w:tcPr>
            <w:tcW w:type="dxa" w:w="176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Muy alta</w:t>
            </w:r>
          </w:p>
        </w:tc>
        <w:tc>
          <w:tcPr>
            <w:tcW w:type="dxa" w:w="20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Publicado — optimizar</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3</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Monterrey</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Nuevo León</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Muy alta</w:t>
            </w:r>
          </w:p>
        </w:tc>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Nuevo</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4</w:t>
            </w:r>
          </w:p>
        </w:tc>
        <w:tc>
          <w:tcPr>
            <w:tcW w:type="dxa" w:w="2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Puebla</w:t>
            </w:r>
          </w:p>
        </w:tc>
        <w:tc>
          <w:tcPr>
            <w:tcW w:type="dxa" w:w="24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Puebla</w:t>
            </w:r>
          </w:p>
        </w:tc>
        <w:tc>
          <w:tcPr>
            <w:tcW w:type="dxa" w:w="176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Alta</w:t>
            </w:r>
          </w:p>
        </w:tc>
        <w:tc>
          <w:tcPr>
            <w:tcW w:type="dxa" w:w="20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Nuevo</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5</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Tijuana</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Baja California</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Alta</w:t>
            </w:r>
          </w:p>
        </w:tc>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Nuevo</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6</w:t>
            </w:r>
          </w:p>
        </w:tc>
        <w:tc>
          <w:tcPr>
            <w:tcW w:type="dxa" w:w="2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León</w:t>
            </w:r>
          </w:p>
        </w:tc>
        <w:tc>
          <w:tcPr>
            <w:tcW w:type="dxa" w:w="24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Guanajuato</w:t>
            </w:r>
          </w:p>
        </w:tc>
        <w:tc>
          <w:tcPr>
            <w:tcW w:type="dxa" w:w="176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Alta</w:t>
            </w:r>
          </w:p>
        </w:tc>
        <w:tc>
          <w:tcPr>
            <w:tcW w:type="dxa" w:w="20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Nuevo</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7</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Ciudad Juárez</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Chihuahua</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Alta</w:t>
            </w:r>
          </w:p>
        </w:tc>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Nuevo</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8</w:t>
            </w:r>
          </w:p>
        </w:tc>
        <w:tc>
          <w:tcPr>
            <w:tcW w:type="dxa" w:w="2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Querétaro</w:t>
            </w:r>
          </w:p>
        </w:tc>
        <w:tc>
          <w:tcPr>
            <w:tcW w:type="dxa" w:w="24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Querétaro</w:t>
            </w:r>
          </w:p>
        </w:tc>
        <w:tc>
          <w:tcPr>
            <w:tcW w:type="dxa" w:w="176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Alta</w:t>
            </w:r>
          </w:p>
        </w:tc>
        <w:tc>
          <w:tcPr>
            <w:tcW w:type="dxa" w:w="20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Nuevo</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9</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Mérida</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Yucatán</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Media-alta</w:t>
            </w:r>
          </w:p>
        </w:tc>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Nuevo</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10</w:t>
            </w:r>
          </w:p>
        </w:tc>
        <w:tc>
          <w:tcPr>
            <w:tcW w:type="dxa" w:w="2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Toluca</w:t>
            </w:r>
          </w:p>
        </w:tc>
        <w:tc>
          <w:tcPr>
            <w:tcW w:type="dxa" w:w="24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Estado de México</w:t>
            </w:r>
          </w:p>
        </w:tc>
        <w:tc>
          <w:tcPr>
            <w:tcW w:type="dxa" w:w="176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Media-alta</w:t>
            </w:r>
          </w:p>
        </w:tc>
        <w:tc>
          <w:tcPr>
            <w:tcW w:type="dxa" w:w="20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Nuevo</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11</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San Luis Potosí</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San Luis Potosí</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Media-alta</w:t>
            </w:r>
          </w:p>
        </w:tc>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Nuevo</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12</w:t>
            </w:r>
          </w:p>
        </w:tc>
        <w:tc>
          <w:tcPr>
            <w:tcW w:type="dxa" w:w="2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Torreón (La Laguna)</w:t>
            </w:r>
          </w:p>
        </w:tc>
        <w:tc>
          <w:tcPr>
            <w:tcW w:type="dxa" w:w="24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Coahuila</w:t>
            </w:r>
          </w:p>
        </w:tc>
        <w:tc>
          <w:tcPr>
            <w:tcW w:type="dxa" w:w="176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Media</w:t>
            </w:r>
          </w:p>
        </w:tc>
        <w:tc>
          <w:tcPr>
            <w:tcW w:type="dxa" w:w="20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Nuevo</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13</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Cancún</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Quintana Roo</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Media</w:t>
            </w:r>
          </w:p>
        </w:tc>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Publicado — optimizar</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14</w:t>
            </w:r>
          </w:p>
        </w:tc>
        <w:tc>
          <w:tcPr>
            <w:tcW w:type="dxa" w:w="2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Aguascalientes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Aguascalientes</w:t>
            </w:r>
          </w:p>
        </w:tc>
        <w:tc>
          <w:tcPr>
            <w:tcW w:type="dxa" w:w="176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Media</w:t>
            </w:r>
          </w:p>
        </w:tc>
        <w:tc>
          <w:tcPr>
            <w:tcW w:type="dxa" w:w="20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Publicado — optimizar</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15</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Mexicali</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Baja California</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Media</w:t>
            </w:r>
          </w:p>
        </w:tc>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Nuevo</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16</w:t>
            </w:r>
          </w:p>
        </w:tc>
        <w:tc>
          <w:tcPr>
            <w:tcW w:type="dxa" w:w="2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Culiacán</w:t>
            </w:r>
          </w:p>
        </w:tc>
        <w:tc>
          <w:tcPr>
            <w:tcW w:type="dxa" w:w="24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Sinaloa</w:t>
            </w:r>
          </w:p>
        </w:tc>
        <w:tc>
          <w:tcPr>
            <w:tcW w:type="dxa" w:w="176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Media</w:t>
            </w:r>
          </w:p>
        </w:tc>
        <w:tc>
          <w:tcPr>
            <w:tcW w:type="dxa" w:w="20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Nuevo</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17</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Chihuahua</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Chihuahua</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Media</w:t>
            </w:r>
          </w:p>
        </w:tc>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Nuevo</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18</w:t>
            </w:r>
          </w:p>
        </w:tc>
        <w:tc>
          <w:tcPr>
            <w:tcW w:type="dxa" w:w="2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Veracruz</w:t>
            </w:r>
          </w:p>
        </w:tc>
        <w:tc>
          <w:tcPr>
            <w:tcW w:type="dxa" w:w="24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Veracruz</w:t>
            </w:r>
          </w:p>
        </w:tc>
        <w:tc>
          <w:tcPr>
            <w:tcW w:type="dxa" w:w="176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Media</w:t>
            </w:r>
          </w:p>
        </w:tc>
        <w:tc>
          <w:tcPr>
            <w:tcW w:type="dxa" w:w="20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Nuevo</w:t>
            </w:r>
          </w:p>
        </w:tc>
      </w:tr>
    </w:tbl>
    <w:p>
      <w:pPr>
        <w:spacing w:after="120" w:line="276"/>
      </w:pPr>
      <w:r>
        <w:rPr>
          <w:i/>
          <w:iCs/>
          <w:color w:val="555555"/>
        </w:rPr>
        <w:t xml:space="preserve">Nota: el ranking por volumen de búsqueda exacto de “equipo bomberos {ciudad}” debería validarse en SEMrush Keyword Magic antes de fijar el orden definitivo; arriba se prioriza por tamaño de mercado y de cuerpo de bomberos, que correlacionan con la demanda. No dispongo de los volúmenes ciudad por ciudad sin esa consulta.</w:t>
      </w:r>
    </w:p>
    <w:p>
      <w:pPr>
        <w:pStyle w:val="Heading2"/>
      </w:pPr>
      <w:r>
        <w:t xml:space="preserve">Cómo — plantilla de artículo por ciudad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C0392B" w:val="clear"/>
            <w:tcMar>
              <w:top w:type="dxa" w:w="60"/>
              <w:left w:type="dxa" w:w="110"/>
              <w:bottom w:type="dxa" w:w="60"/>
              <w:right w:type="dxa" w:w="110"/>
            </w:tcMar>
          </w:tcPr>
          <w:p>
            <w:pPr>
              <w:jc w:val="left"/>
            </w:pPr>
            <w:r>
              <w:rPr>
                <w:b/>
                <w:bCs/>
                <w:color w:val="FFFFFF"/>
              </w:rPr>
              <w:t xml:space="preserve">Bloque</w:t>
            </w:r>
          </w:p>
        </w:tc>
        <w:tc>
          <w:tcPr>
            <w:tcW w:type="dxa" w:w="6360"/>
            <w:tcBorders>
              <w:top w:val="single" w:color="CCCCCC" w:sz="1"/>
              <w:left w:val="single" w:color="CCCCCC" w:sz="1"/>
              <w:bottom w:val="single" w:color="CCCCCC" w:sz="1"/>
              <w:right w:val="single" w:color="CCCCCC" w:sz="1"/>
            </w:tcBorders>
            <w:shd w:fill="C0392B" w:val="clear"/>
            <w:tcMar>
              <w:top w:type="dxa" w:w="60"/>
              <w:left w:type="dxa" w:w="110"/>
              <w:bottom w:type="dxa" w:w="60"/>
              <w:right w:type="dxa" w:w="110"/>
            </w:tcMar>
          </w:tcPr>
          <w:p>
            <w:pPr>
              <w:jc w:val="left"/>
            </w:pPr>
            <w:r>
              <w:rPr>
                <w:b/>
                <w:bCs/>
                <w:color w:val="FFFFFF"/>
              </w:rPr>
              <w:t xml:space="preserve">Contenido y enlaces</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Title / H1</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“Equipo NFPA para Bomberos en {Ciudad} | BOMBERO.MX” / H1 análogo, ≤ 60 car.</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Intro</w:t>
            </w:r>
          </w:p>
        </w:tc>
        <w:tc>
          <w:tcPr>
            <w:tcW w:type="dxa" w:w="636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Contexto local: cuerpo(s) de bomberos de {Ciudad}, retos del clima/riesgo local. Enlaza a /directorio/{estado}/.</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H2 · Estaciones de bomberos en {Ciudad}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Resumen + enlace profundo a la página de directorio del estado/municipio (directorio→artículo→directorio).</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H2 · Equipo NFPA recomendado para {Ciudad}</w:t>
            </w:r>
          </w:p>
        </w:tc>
        <w:tc>
          <w:tcPr>
            <w:tcW w:type="dxa" w:w="636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Traje estructural NFPA 1971, SCBA, casco, guantes, botas. Cada ítem enlaza a su colección/producto en tienda (monetización).</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H2 · Normativa y certificación NFPA</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Contenido E-E-A-T reutilizable; refuerza autoridad temática.</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H2 · Dónde comprar equipo para bomberos en {Ciudad}</w:t>
            </w:r>
          </w:p>
        </w:tc>
        <w:tc>
          <w:tcPr>
            <w:tcW w:type="dxa" w:w="636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CTA comercial: envío a {Ciudad}, contacto. Enlaza a tienda y a página de contacto.</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H2 · Teléfonos de emergencia en {Ciudad}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911 + líneas locales; enlaza a /directorio/{estado}/telefonos/. Utilidad + intención local.</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FAQ</w:t>
            </w:r>
          </w:p>
        </w:tc>
        <w:tc>
          <w:tcPr>
            <w:tcW w:type="dxa" w:w="636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4-6 preguntas locales con FAQPage schema.</w:t>
            </w:r>
          </w:p>
        </w:tc>
      </w:tr>
    </w:tbl>
    <w:p>
      <w:pPr>
        <w:spacing w:after="120" w:line="276"/>
      </w:pPr>
      <w:r>
        <w:t xml:space="preserve">Cada artículo debe enlazar: (1) a la página pilar /bomberos/ (anchor “bomberos en México”), (2) a la página de directorio de su estado, y (3) a 2-4 productos/colecciones de tienda. Así un solo artículo alimenta directorio (informacional) y tienda (transaccional).</w:t>
      </w:r>
    </w:p>
    <w:p>
      <w:pPr>
        <w:pStyle w:val="Heading2"/>
      </w:pPr>
      <w:r>
        <w:t xml:space="preserve">Calendario editorial sugerido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CCCCC" w:sz="1"/>
              <w:left w:val="single" w:color="CCCCCC" w:sz="1"/>
              <w:bottom w:val="single" w:color="CCCCCC" w:sz="1"/>
              <w:right w:val="single" w:color="CCCCCC" w:sz="1"/>
            </w:tcBorders>
            <w:shd w:fill="C0392B" w:val="clear"/>
            <w:tcMar>
              <w:top w:type="dxa" w:w="60"/>
              <w:left w:type="dxa" w:w="110"/>
              <w:bottom w:type="dxa" w:w="60"/>
              <w:right w:type="dxa" w:w="110"/>
            </w:tcMar>
          </w:tcPr>
          <w:p>
            <w:pPr>
              <w:jc w:val="left"/>
            </w:pPr>
            <w:r>
              <w:rPr>
                <w:b/>
                <w:bCs/>
                <w:color w:val="FFFFFF"/>
              </w:rPr>
              <w:t xml:space="preserve">Periodo</w:t>
            </w:r>
          </w:p>
        </w:tc>
        <w:tc>
          <w:tcPr>
            <w:tcW w:type="dxa" w:w="7660"/>
            <w:tcBorders>
              <w:top w:val="single" w:color="CCCCCC" w:sz="1"/>
              <w:left w:val="single" w:color="CCCCCC" w:sz="1"/>
              <w:bottom w:val="single" w:color="CCCCCC" w:sz="1"/>
              <w:right w:val="single" w:color="CCCCCC" w:sz="1"/>
            </w:tcBorders>
            <w:shd w:fill="C0392B" w:val="clear"/>
            <w:tcMar>
              <w:top w:type="dxa" w:w="60"/>
              <w:left w:type="dxa" w:w="110"/>
              <w:bottom w:type="dxa" w:w="60"/>
              <w:right w:type="dxa" w:w="110"/>
            </w:tcMar>
          </w:tcPr>
          <w:p>
            <w:pPr>
              <w:jc w:val="left"/>
            </w:pPr>
            <w:r>
              <w:rPr>
                <w:b/>
                <w:bCs/>
                <w:color w:val="FFFFFF"/>
              </w:rPr>
              <w:t xml:space="preserve">Entregables</w:t>
            </w:r>
          </w:p>
        </w:tc>
      </w:tr>
      <w:t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Mes 1</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Optimizar los 4 artículos publicados (CDMX, GDL, Cancún, Aguascalientes) con la nueva plantilla + enlazado a pilar y tienda. Publicar Monterrey y Puebla.</w:t>
            </w:r>
          </w:p>
        </w:tc>
      </w:tr>
      <w:tr>
        <w:tc>
          <w:tcPr>
            <w:tcW w:type="dxa" w:w="17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Mes 2</w:t>
            </w:r>
          </w:p>
        </w:tc>
        <w:tc>
          <w:tcPr>
            <w:tcW w:type="dxa" w:w="766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Tijuana, León, Ciudad Juárez, Querétaro (1/semana).</w:t>
            </w:r>
          </w:p>
        </w:tc>
      </w:tr>
      <w:t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Mes 3</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Mérida, Toluca, San Luis Potosí, Torreón.</w:t>
            </w:r>
          </w:p>
        </w:tc>
      </w:tr>
      <w:tr>
        <w:tc>
          <w:tcPr>
            <w:tcW w:type="dxa" w:w="17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Mes 4</w:t>
            </w:r>
          </w:p>
        </w:tc>
        <w:tc>
          <w:tcPr>
            <w:tcW w:type="dxa" w:w="766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Mexicali, Culiacán, Chihuahua, Veracruz. Revisar rendimiento de los primeros y reoptimizar.</w:t>
            </w:r>
          </w:p>
        </w:tc>
      </w:tr>
    </w:tbl>
    <w:p>
      <w:pPr>
        <w:spacing w:after="90" w:line="276"/>
      </w:pPr>
      <w:r>
        <w:rPr>
          <w:b/>
          <w:bCs/>
          <w:color w:val="C0392B"/>
        </w:rPr>
        <w:t xml:space="preserve">Impacto esperado: </w:t>
      </w:r>
      <w:r>
        <w:t xml:space="preserve">Captura de demanda local + comercial; tráfico cualificado a tienda. Refuerza el cluster nacional y el enlazado hacia la pilar (apoya Fase 1).</w:t>
      </w:r>
    </w:p>
    <w:p>
      <w:pPr>
        <w:spacing w:after="90" w:line="276"/>
      </w:pPr>
      <w:r>
        <w:rPr>
          <w:b/>
          <w:bCs/>
          <w:color w:val="C0392B"/>
        </w:rPr>
        <w:t xml:space="preserve">Cómo medir: </w:t>
      </w:r>
      <w:r>
        <w:t xml:space="preserve">Tráfico y conversiones por artículo en GSC + analítica; posiciones de “equipo bomberos {ciudad}” en SEMrush; clics salientes a páginas de producto.</w:t>
      </w:r>
    </w:p>
    <w:p>
      <w:pPr>
        <w:spacing w:after="40" w:before="80"/>
      </w:pPr>
      <w:r>
        <w:rPr>
          <w:b/>
          <w:bCs/>
          <w:color w:val="2E75B6"/>
        </w:rPr>
        <w:t xml:space="preserve">Métricas de éxito</w:t>
      </w:r>
    </w:p>
    <w:p>
      <w:pPr>
        <w:pStyle w:val="ListParagraph"/>
        <w:numPr>
          <w:ilvl w:val="0"/>
          <w:numId w:val="2"/>
        </w:numPr>
        <w:spacing w:after="60" w:line="270"/>
      </w:pPr>
      <w:r>
        <w:t xml:space="preserve">≥ 16 ciudades cubiertas y enlazadas a pilar+directorio+tienda en 4 meses.</w:t>
      </w:r>
    </w:p>
    <w:p>
      <w:pPr>
        <w:pStyle w:val="ListParagraph"/>
        <w:numPr>
          <w:ilvl w:val="0"/>
          <w:numId w:val="2"/>
        </w:numPr>
        <w:spacing w:after="60" w:line="270"/>
      </w:pPr>
      <w:r>
        <w:t xml:space="preserve">≥ 50% de los artículos rankeando en top 20 para su keyword local a los 90 días de publicados.</w:t>
      </w:r>
    </w:p>
    <w:p>
      <w:pPr>
        <w:pStyle w:val="ListParagraph"/>
        <w:numPr>
          <w:ilvl w:val="0"/>
          <w:numId w:val="2"/>
        </w:numPr>
        <w:spacing w:after="60" w:line="270"/>
      </w:pPr>
      <w:r>
        <w:t xml:space="preserve">Aumento de clics desde blog hacia páginas de producto (asistencia a conversión).</w:t>
      </w:r>
    </w:p>
    <w:p>
      <w:pPr>
        <w:shd w:fill="F2F2F2" w:val="clear"/>
        <w:spacing w:after="160" w:before="100"/>
      </w:pPr>
      <w:r>
        <w:rPr>
          <w:b/>
          <w:bCs/>
        </w:rPr>
        <w:t xml:space="preserve">Esfuerzo: </w:t>
      </w:r>
      <w:r>
        <w:t xml:space="preserve">Alto</w:t>
      </w:r>
      <w:r>
        <w:rPr>
          <w:b/>
          <w:bCs/>
        </w:rPr>
        <w:t xml:space="preserve">    Impacto: </w:t>
      </w:r>
      <w:r>
        <w:t xml:space="preserve">Medio-Alto</w:t>
      </w:r>
      <w:r>
        <w:rPr>
          <w:b/>
          <w:bCs/>
        </w:rPr>
        <w:t xml:space="preserve">    Horizonte: </w:t>
      </w:r>
      <w:r>
        <w:t xml:space="preserve">Continuo (4+ meses)</w:t>
      </w:r>
    </w:p>
    <w:p>
      <w:r>
        <w:br w:type="page"/>
      </w:r>
    </w:p>
    <w:p>
      <w:pPr>
        <w:pStyle w:val="Heading1"/>
      </w:pPr>
      <w:r>
        <w:t xml:space="preserve">Fase 6 — Construcción de autoridad (backlinks)</w:t>
      </w:r>
    </w:p>
    <w:p>
      <w:pPr>
        <w:spacing w:after="120" w:line="276"/>
      </w:pPr>
      <w:r>
        <w:t xml:space="preserve">Con 116 dominios de referencia y 245 backlinks, la autoridad es el principal techo frente a competidores como fireequipmentmexico.com, copusa.com.mx o atpextintores.com.mx. La estrategia es temática y ética: ganar enlaces relevantes del ecosistema de bomberos y protección civil, sin compra de enlaces ni técnicas black-hat.</w:t>
      </w:r>
    </w:p>
    <w:p>
      <w:pPr>
        <w:pStyle w:val="Heading2"/>
      </w:pPr>
      <w:r>
        <w:t xml:space="preserve">Qué — tipos de sitios a contactar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CCCCCC" w:sz="1"/>
              <w:left w:val="single" w:color="CCCCCC" w:sz="1"/>
              <w:bottom w:val="single" w:color="CCCCCC" w:sz="1"/>
              <w:right w:val="single" w:color="CCCCCC" w:sz="1"/>
            </w:tcBorders>
            <w:shd w:fill="C0392B" w:val="clear"/>
            <w:tcMar>
              <w:top w:type="dxa" w:w="60"/>
              <w:left w:type="dxa" w:w="110"/>
              <w:bottom w:type="dxa" w:w="60"/>
              <w:right w:type="dxa" w:w="110"/>
            </w:tcMar>
          </w:tcPr>
          <w:p>
            <w:pPr>
              <w:jc w:val="left"/>
            </w:pPr>
            <w:r>
              <w:rPr>
                <w:b/>
                <w:bCs/>
                <w:color w:val="FFFFFF"/>
              </w:rPr>
              <w:t xml:space="preserve">Tipo de sitio</w:t>
            </w:r>
          </w:p>
        </w:tc>
        <w:tc>
          <w:tcPr>
            <w:tcW w:type="dxa" w:w="6060"/>
            <w:tcBorders>
              <w:top w:val="single" w:color="CCCCCC" w:sz="1"/>
              <w:left w:val="single" w:color="CCCCCC" w:sz="1"/>
              <w:bottom w:val="single" w:color="CCCCCC" w:sz="1"/>
              <w:right w:val="single" w:color="CCCCCC" w:sz="1"/>
            </w:tcBorders>
            <w:shd w:fill="C0392B" w:val="clear"/>
            <w:tcMar>
              <w:top w:type="dxa" w:w="60"/>
              <w:left w:type="dxa" w:w="110"/>
              <w:bottom w:type="dxa" w:w="60"/>
              <w:right w:type="dxa" w:w="110"/>
            </w:tcMar>
          </w:tcPr>
          <w:p>
            <w:pPr>
              <w:jc w:val="left"/>
            </w:pPr>
            <w:r>
              <w:rPr>
                <w:b/>
                <w:bCs/>
                <w:color w:val="FFFFFF"/>
              </w:rPr>
              <w:t xml:space="preserve">Ángulo / por qué enlazarían</w:t>
            </w:r>
          </w:p>
        </w:tc>
      </w:tr>
      <w:tr>
        <w:tc>
          <w:tcPr>
            <w:tcW w:type="dxa" w:w="3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Protección civil municipal y estatal (.gob.mx)</w:t>
            </w:r>
          </w:p>
        </w:tc>
        <w:tc>
          <w:tcPr>
            <w:tcW w:type="dxa" w:w="60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El directorio es servicio público (teléfonos, direcciones). Pedir inclusión como recurso ciudadano. Enlaces de alta confianza.</w:t>
            </w:r>
          </w:p>
        </w:tc>
      </w:tr>
      <w:tr>
        <w:tc>
          <w:tcPr>
            <w:tcW w:type="dxa" w:w="33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Asociaciones y patronatos de bomberos</w:t>
            </w:r>
          </w:p>
        </w:tc>
        <w:tc>
          <w:tcPr>
            <w:tcW w:type="dxa" w:w="606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Recurso útil para sus miembros; posible colaboración de contenido y datos.</w:t>
            </w:r>
          </w:p>
        </w:tc>
      </w:tr>
      <w:tr>
        <w:tc>
          <w:tcPr>
            <w:tcW w:type="dxa" w:w="3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Proveedores y fabricantes NFPA (no competidores directos)</w:t>
            </w:r>
          </w:p>
        </w:tc>
        <w:tc>
          <w:tcPr>
            <w:tcW w:type="dxa" w:w="60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Intercambio de recursos, fichas técnicas, co-marketing de normativa.</w:t>
            </w:r>
          </w:p>
        </w:tc>
      </w:tr>
      <w:tr>
        <w:tc>
          <w:tcPr>
            <w:tcW w:type="dxa" w:w="33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Prensa local y portales de noticias</w:t>
            </w:r>
          </w:p>
        </w:tc>
        <w:tc>
          <w:tcPr>
            <w:tcW w:type="dxa" w:w="606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Datos noticiables: “mapa nacional de cuerpos de bomberos”, estadísticas por estado.</w:t>
            </w:r>
          </w:p>
        </w:tc>
      </w:tr>
      <w:tr>
        <w:tc>
          <w:tcPr>
            <w:tcW w:type="dxa" w:w="3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Universidades / institutos de seguridad y emergencias</w:t>
            </w:r>
          </w:p>
        </w:tc>
        <w:tc>
          <w:tcPr>
            <w:tcW w:type="dxa" w:w="60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Recurso educativo; páginas de recursos (.edu / programas).</w:t>
            </w:r>
          </w:p>
        </w:tc>
      </w:tr>
      <w:tr>
        <w:tc>
          <w:tcPr>
            <w:tcW w:type="dxa" w:w="33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Blogs de seguridad industrial, EHS y bomberos</w:t>
            </w:r>
          </w:p>
        </w:tc>
        <w:tc>
          <w:tcPr>
            <w:tcW w:type="dxa" w:w="606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Guías de equipamiento, colaboraciones y menciones.</w:t>
            </w:r>
          </w:p>
        </w:tc>
      </w:tr>
    </w:tbl>
    <w:p>
      <w:pPr>
        <w:pStyle w:val="Heading2"/>
      </w:pPr>
      <w:r>
        <w:t xml:space="preserve">Cómo — ángulos de contenido linkeable (link bait)</w:t>
      </w:r>
    </w:p>
    <w:p>
      <w:pPr>
        <w:pStyle w:val="ListParagraph"/>
        <w:numPr>
          <w:ilvl w:val="0"/>
          <w:numId w:val="2"/>
        </w:numPr>
        <w:spacing w:after="60" w:line="270"/>
      </w:pPr>
      <w:r>
        <w:t xml:space="preserve">Estudio de datos: “Estado de los cuerpos de bomberos en México 2026” — nº de estaciones por estado, ratios por habitante, brechas de cobertura. Activo citable por prensa y gobierno.</w:t>
      </w:r>
    </w:p>
    <w:p>
      <w:pPr>
        <w:pStyle w:val="ListParagraph"/>
        <w:numPr>
          <w:ilvl w:val="0"/>
          <w:numId w:val="2"/>
        </w:numPr>
        <w:spacing w:after="60" w:line="270"/>
      </w:pPr>
      <w:r>
        <w:t xml:space="preserve">Mapa/directorio nacional interactivo: posicionarlo como recurso de referencia para enlazar desde páginas de “números de emergencia”.</w:t>
      </w:r>
    </w:p>
    <w:p>
      <w:pPr>
        <w:pStyle w:val="ListParagraph"/>
        <w:numPr>
          <w:ilvl w:val="0"/>
          <w:numId w:val="2"/>
        </w:numPr>
        <w:spacing w:after="60" w:line="270"/>
      </w:pPr>
      <w:r>
        <w:t xml:space="preserve">Guías de equipamiento NFPA: “Guía de selección de traje estructural NFPA 1971”, “Checklist de EPP para bomberos” — recurso técnico que proveedores y blogs citan.</w:t>
      </w:r>
    </w:p>
    <w:p>
      <w:pPr>
        <w:pStyle w:val="ListParagraph"/>
        <w:numPr>
          <w:ilvl w:val="0"/>
          <w:numId w:val="2"/>
        </w:numPr>
        <w:spacing w:after="60" w:line="270"/>
      </w:pPr>
      <w:r>
        <w:t xml:space="preserve">Infografías de seguridad y prevención: descargables para protección civil y escuelas.</w:t>
      </w:r>
    </w:p>
    <w:p>
      <w:pPr>
        <w:pStyle w:val="Heading2"/>
      </w:pPr>
      <w:r>
        <w:t xml:space="preserve">Cómo — proceso de outreach</w:t>
      </w:r>
    </w:p>
    <w:p>
      <w:pPr>
        <w:pStyle w:val="ListParagraph"/>
        <w:numPr>
          <w:ilvl w:val="0"/>
          <w:numId w:val="3"/>
        </w:numPr>
        <w:spacing w:after="60" w:line="270"/>
      </w:pPr>
      <w:r>
        <w:t xml:space="preserve">Prospección: construir lista segmentada por tipo (arriba) con SEMrush + búsqueda manual. Capturar contacto y página objetivo donde encajaría el enlace.</w:t>
      </w:r>
    </w:p>
    <w:p>
      <w:pPr>
        <w:pStyle w:val="ListParagraph"/>
        <w:numPr>
          <w:ilvl w:val="0"/>
          <w:numId w:val="3"/>
        </w:numPr>
        <w:spacing w:after="60" w:line="270"/>
      </w:pPr>
      <w:r>
        <w:t xml:space="preserve">Calificar: priorizar por relevancia temática y autoridad (AS/DR), no por cantidad.</w:t>
      </w:r>
    </w:p>
    <w:p>
      <w:pPr>
        <w:pStyle w:val="ListParagraph"/>
        <w:numPr>
          <w:ilvl w:val="0"/>
          <w:numId w:val="3"/>
        </w:numPr>
        <w:spacing w:after="60" w:line="270"/>
      </w:pPr>
      <w:r>
        <w:t xml:space="preserve">Personalizar: email breve y específico, explicando el valor del recurso para SU audiencia (no plantilla genérica).</w:t>
      </w:r>
    </w:p>
    <w:p>
      <w:pPr>
        <w:pStyle w:val="ListParagraph"/>
        <w:numPr>
          <w:ilvl w:val="0"/>
          <w:numId w:val="3"/>
        </w:numPr>
        <w:spacing w:after="60" w:line="270"/>
      </w:pPr>
      <w:r>
        <w:t xml:space="preserve">Ofrecer valor real: dato exclusivo, recurso gratuito, colaboración. Para .gob.mx, encuadrar como utilidad ciudadana.</w:t>
      </w:r>
    </w:p>
    <w:p>
      <w:pPr>
        <w:pStyle w:val="ListParagraph"/>
        <w:numPr>
          <w:ilvl w:val="0"/>
          <w:numId w:val="3"/>
        </w:numPr>
        <w:spacing w:after="60" w:line="270"/>
      </w:pPr>
      <w:r>
        <w:t xml:space="preserve">Seguimiento: 1-2 follow-ups espaciados. Registrar todo en una hoja (estado, fecha, resultado).</w:t>
      </w:r>
    </w:p>
    <w:p>
      <w:pPr>
        <w:pStyle w:val="ListParagraph"/>
        <w:numPr>
          <w:ilvl w:val="0"/>
          <w:numId w:val="3"/>
        </w:numPr>
        <w:spacing w:after="60" w:line="270"/>
      </w:pPr>
      <w:r>
        <w:t xml:space="preserve">Reforzar con: menciones sin enlace convertidas a enlace, directorios de nicho legítimos, y prensa a partir del estudio de datos (digital PR).</w:t>
      </w:r>
    </w:p>
    <w:p>
      <w:pPr>
        <w:spacing w:after="120" w:line="276"/>
      </w:pPr>
      <w:r>
        <w:rPr>
          <w:b/>
          <w:bCs/>
        </w:rPr>
        <w:t xml:space="preserve">Restricción ética: </w:t>
      </w:r>
      <w:r>
        <w:t xml:space="preserve">nada de compra de enlaces, PBNs, intercambios masivos ni esquemas de enlaces. Solo enlaces editoriales ganados por mérito del recurso. Es más lento pero sostenible y sin riesgo de penalización.</w:t>
      </w:r>
    </w:p>
    <w:p>
      <w:pPr>
        <w:spacing w:after="90" w:line="276"/>
      </w:pPr>
      <w:r>
        <w:rPr>
          <w:b/>
          <w:bCs/>
          <w:color w:val="C0392B"/>
        </w:rPr>
        <w:t xml:space="preserve">Impacto esperado: </w:t>
      </w:r>
      <w:r>
        <w:t xml:space="preserve">Subida de Authority Score y de dominios de referencia; mejor capacidad de rankear keywords competidas (apoya Fases 1 y 2). Efecto a medio-largo plazo.</w:t>
      </w:r>
    </w:p>
    <w:p>
      <w:pPr>
        <w:spacing w:after="90" w:line="276"/>
      </w:pPr>
      <w:r>
        <w:rPr>
          <w:b/>
          <w:bCs/>
          <w:color w:val="C0392B"/>
        </w:rPr>
        <w:t xml:space="preserve">Cómo medir: </w:t>
      </w:r>
      <w:r>
        <w:t xml:space="preserve">Dominios de referencia y backlinks nuevos en SEMrush Backlink Analytics; Authority Score trimestral; enlaces .gob.mx / .edu conseguidos; tracking de outreach (tasa de respuesta y de conversión a enlace).</w:t>
      </w:r>
    </w:p>
    <w:p>
      <w:pPr>
        <w:spacing w:after="40" w:before="80"/>
      </w:pPr>
      <w:r>
        <w:rPr>
          <w:b/>
          <w:bCs/>
          <w:color w:val="2E75B6"/>
        </w:rPr>
        <w:t xml:space="preserve">Métricas de éxito</w:t>
      </w:r>
    </w:p>
    <w:p>
      <w:pPr>
        <w:pStyle w:val="ListParagraph"/>
        <w:numPr>
          <w:ilvl w:val="0"/>
          <w:numId w:val="2"/>
        </w:numPr>
        <w:spacing w:after="60" w:line="270"/>
      </w:pPr>
      <w:r>
        <w:t xml:space="preserve">+25-40 dominios de referencia nuevos y relevantes en 6 meses.</w:t>
      </w:r>
    </w:p>
    <w:p>
      <w:pPr>
        <w:pStyle w:val="ListParagraph"/>
        <w:numPr>
          <w:ilvl w:val="0"/>
          <w:numId w:val="2"/>
        </w:numPr>
        <w:spacing w:after="60" w:line="270"/>
      </w:pPr>
      <w:r>
        <w:t xml:space="preserve">≥ 3 enlaces de alta confianza (.gob.mx / .edu / prensa) desde el estudio de datos.</w:t>
      </w:r>
    </w:p>
    <w:p>
      <w:pPr>
        <w:pStyle w:val="ListParagraph"/>
        <w:numPr>
          <w:ilvl w:val="0"/>
          <w:numId w:val="2"/>
        </w:numPr>
        <w:spacing w:after="60" w:line="270"/>
      </w:pPr>
      <w:r>
        <w:t xml:space="preserve">Authority Score de 24 hacia ≥ 30 en 6-9 meses.</w:t>
      </w:r>
    </w:p>
    <w:p>
      <w:pPr>
        <w:shd w:fill="F2F2F2" w:val="clear"/>
        <w:spacing w:after="160" w:before="100"/>
      </w:pPr>
      <w:r>
        <w:rPr>
          <w:b/>
          <w:bCs/>
        </w:rPr>
        <w:t xml:space="preserve">Esfuerzo: </w:t>
      </w:r>
      <w:r>
        <w:t xml:space="preserve">Alto</w:t>
      </w:r>
      <w:r>
        <w:rPr>
          <w:b/>
          <w:bCs/>
        </w:rPr>
        <w:t xml:space="preserve">    Impacto: </w:t>
      </w:r>
      <w:r>
        <w:t xml:space="preserve">Alto</w:t>
      </w:r>
      <w:r>
        <w:rPr>
          <w:b/>
          <w:bCs/>
        </w:rPr>
        <w:t xml:space="preserve">    Horizonte: </w:t>
      </w:r>
      <w:r>
        <w:t xml:space="preserve">Largo plazo (6-9 meses)</w:t>
      </w:r>
    </w:p>
    <w:p>
      <w:r>
        <w:br w:type="page"/>
      </w:r>
    </w:p>
    <w:p>
      <w:pPr>
        <w:pStyle w:val="Heading1"/>
      </w:pPr>
      <w:r>
        <w:t xml:space="preserve">Tabla maestra de priorización</w:t>
      </w:r>
    </w:p>
    <w:p>
      <w:pPr>
        <w:spacing w:after="120" w:line="276"/>
      </w:pPr>
      <w:r>
        <w:t xml:space="preserve">Acciones ordenadas por ratio impacto/esfuerzo (mayor retorno primero). Las primeras filas son las de ejecución inmediata: máximo efecto, mínimo esfuerzo o urgencia crítica.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700"/>
        <w:gridCol w:w="1350"/>
        <w:gridCol w:w="1350"/>
        <w:gridCol w:w="1100"/>
        <w:gridCol w:w="1160"/>
      </w:tblGrid>
      <w:tr>
        <w:trPr>
          <w:tblHeader/>
        </w:trPr>
        <w:tc>
          <w:tcPr>
            <w:tcW w:type="dxa" w:w="500"/>
            <w:tcBorders>
              <w:top w:val="single" w:color="CCCCCC" w:sz="1"/>
              <w:left w:val="single" w:color="CCCCCC" w:sz="1"/>
              <w:bottom w:val="single" w:color="CCCCCC" w:sz="1"/>
              <w:right w:val="single" w:color="CCCCCC" w:sz="1"/>
            </w:tcBorders>
            <w:shd w:fill="C0392B" w:val="clear"/>
            <w:tcMar>
              <w:top w:type="dxa" w:w="60"/>
              <w:left w:type="dxa" w:w="110"/>
              <w:bottom w:type="dxa" w:w="60"/>
              <w:right w:type="dxa" w:w="110"/>
            </w:tcMar>
          </w:tcPr>
          <w:p>
            <w:pPr>
              <w:jc w:val="left"/>
            </w:pPr>
            <w:r>
              <w:rPr>
                <w:b/>
                <w:bCs/>
                <w:color w:val="FFFFFF"/>
              </w:rPr>
              <w:t xml:space="preserve">#</w:t>
            </w:r>
          </w:p>
        </w:tc>
        <w:tc>
          <w:tcPr>
            <w:tcW w:type="dxa" w:w="3200"/>
            <w:tcBorders>
              <w:top w:val="single" w:color="CCCCCC" w:sz="1"/>
              <w:left w:val="single" w:color="CCCCCC" w:sz="1"/>
              <w:bottom w:val="single" w:color="CCCCCC" w:sz="1"/>
              <w:right w:val="single" w:color="CCCCCC" w:sz="1"/>
            </w:tcBorders>
            <w:shd w:fill="C0392B" w:val="clear"/>
            <w:tcMar>
              <w:top w:type="dxa" w:w="60"/>
              <w:left w:type="dxa" w:w="110"/>
              <w:bottom w:type="dxa" w:w="60"/>
              <w:right w:type="dxa" w:w="110"/>
            </w:tcMar>
          </w:tcPr>
          <w:p>
            <w:pPr>
              <w:jc w:val="left"/>
            </w:pPr>
            <w:r>
              <w:rPr>
                <w:b/>
                <w:bCs/>
                <w:color w:val="FFFFFF"/>
              </w:rPr>
              <w:t xml:space="preserve">Acción</w:t>
            </w:r>
          </w:p>
        </w:tc>
        <w:tc>
          <w:tcPr>
            <w:tcW w:type="dxa" w:w="700"/>
            <w:tcBorders>
              <w:top w:val="single" w:color="CCCCCC" w:sz="1"/>
              <w:left w:val="single" w:color="CCCCCC" w:sz="1"/>
              <w:bottom w:val="single" w:color="CCCCCC" w:sz="1"/>
              <w:right w:val="single" w:color="CCCCCC" w:sz="1"/>
            </w:tcBorders>
            <w:shd w:fill="C0392B" w:val="clear"/>
            <w:tcMar>
              <w:top w:type="dxa" w:w="60"/>
              <w:left w:type="dxa" w:w="110"/>
              <w:bottom w:type="dxa" w:w="60"/>
              <w:right w:type="dxa" w:w="110"/>
            </w:tcMar>
          </w:tcPr>
          <w:p>
            <w:pPr>
              <w:jc w:val="left"/>
            </w:pPr>
            <w:r>
              <w:rPr>
                <w:b/>
                <w:bCs/>
                <w:color w:val="FFFFFF"/>
              </w:rPr>
              <w:t xml:space="preserve">Fase</w:t>
            </w:r>
          </w:p>
        </w:tc>
        <w:tc>
          <w:tcPr>
            <w:tcW w:type="dxa" w:w="1350"/>
            <w:tcBorders>
              <w:top w:val="single" w:color="CCCCCC" w:sz="1"/>
              <w:left w:val="single" w:color="CCCCCC" w:sz="1"/>
              <w:bottom w:val="single" w:color="CCCCCC" w:sz="1"/>
              <w:right w:val="single" w:color="CCCCCC" w:sz="1"/>
            </w:tcBorders>
            <w:shd w:fill="C0392B" w:val="clear"/>
            <w:tcMar>
              <w:top w:type="dxa" w:w="60"/>
              <w:left w:type="dxa" w:w="110"/>
              <w:bottom w:type="dxa" w:w="60"/>
              <w:right w:type="dxa" w:w="110"/>
            </w:tcMar>
          </w:tcPr>
          <w:p>
            <w:pPr>
              <w:jc w:val="left"/>
            </w:pPr>
            <w:r>
              <w:rPr>
                <w:b/>
                <w:bCs/>
                <w:color w:val="FFFFFF"/>
              </w:rPr>
              <w:t xml:space="preserve">Impacto</w:t>
            </w:r>
          </w:p>
        </w:tc>
        <w:tc>
          <w:tcPr>
            <w:tcW w:type="dxa" w:w="1350"/>
            <w:tcBorders>
              <w:top w:val="single" w:color="CCCCCC" w:sz="1"/>
              <w:left w:val="single" w:color="CCCCCC" w:sz="1"/>
              <w:bottom w:val="single" w:color="CCCCCC" w:sz="1"/>
              <w:right w:val="single" w:color="CCCCCC" w:sz="1"/>
            </w:tcBorders>
            <w:shd w:fill="C0392B" w:val="clear"/>
            <w:tcMar>
              <w:top w:type="dxa" w:w="60"/>
              <w:left w:type="dxa" w:w="110"/>
              <w:bottom w:type="dxa" w:w="60"/>
              <w:right w:type="dxa" w:w="110"/>
            </w:tcMar>
          </w:tcPr>
          <w:p>
            <w:pPr>
              <w:jc w:val="left"/>
            </w:pPr>
            <w:r>
              <w:rPr>
                <w:b/>
                <w:bCs/>
                <w:color w:val="FFFFFF"/>
              </w:rPr>
              <w:t xml:space="preserve">Esfuerzo</w:t>
            </w:r>
          </w:p>
        </w:tc>
        <w:tc>
          <w:tcPr>
            <w:tcW w:type="dxa" w:w="1100"/>
            <w:tcBorders>
              <w:top w:val="single" w:color="CCCCCC" w:sz="1"/>
              <w:left w:val="single" w:color="CCCCCC" w:sz="1"/>
              <w:bottom w:val="single" w:color="CCCCCC" w:sz="1"/>
              <w:right w:val="single" w:color="CCCCCC" w:sz="1"/>
            </w:tcBorders>
            <w:shd w:fill="C0392B" w:val="clear"/>
            <w:tcMar>
              <w:top w:type="dxa" w:w="60"/>
              <w:left w:type="dxa" w:w="110"/>
              <w:bottom w:type="dxa" w:w="60"/>
              <w:right w:type="dxa" w:w="110"/>
            </w:tcMar>
          </w:tcPr>
          <w:p>
            <w:pPr>
              <w:jc w:val="left"/>
            </w:pPr>
            <w:r>
              <w:rPr>
                <w:b/>
                <w:bCs/>
                <w:color w:val="FFFFFF"/>
              </w:rPr>
              <w:t xml:space="preserve">Ratio</w:t>
            </w:r>
          </w:p>
        </w:tc>
        <w:tc>
          <w:tcPr>
            <w:tcW w:type="dxa" w:w="1160"/>
            <w:tcBorders>
              <w:top w:val="single" w:color="CCCCCC" w:sz="1"/>
              <w:left w:val="single" w:color="CCCCCC" w:sz="1"/>
              <w:bottom w:val="single" w:color="CCCCCC" w:sz="1"/>
              <w:right w:val="single" w:color="CCCCCC" w:sz="1"/>
            </w:tcBorders>
            <w:shd w:fill="C0392B" w:val="clear"/>
            <w:tcMar>
              <w:top w:type="dxa" w:w="60"/>
              <w:left w:type="dxa" w:w="110"/>
              <w:bottom w:type="dxa" w:w="60"/>
              <w:right w:type="dxa" w:w="110"/>
            </w:tcMar>
          </w:tcPr>
          <w:p>
            <w:pPr>
              <w:jc w:val="left"/>
            </w:pPr>
            <w:r>
              <w:rPr>
                <w:b/>
                <w:bCs/>
                <w:color w:val="FFFFFF"/>
              </w:rPr>
              <w:t xml:space="preserve">Horizonte</w:t>
            </w:r>
          </w:p>
        </w:tc>
      </w:tr>
      <w:tr>
        <w:tc>
          <w:tcPr>
            <w:tcW w:type="dxa" w:w="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1</w:t>
            </w:r>
          </w:p>
        </w:tc>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Diagnosticar y frenar la caída -14%</w:t>
            </w:r>
          </w:p>
        </w:tc>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0</w:t>
            </w:r>
          </w:p>
        </w:tc>
        <w:tc>
          <w:tcPr>
            <w:tcW w:type="dxa" w:w="13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1E7B34"/>
              </w:rPr>
              <w:t xml:space="preserve">Alto</w:t>
            </w:r>
          </w:p>
        </w:tc>
        <w:tc>
          <w:tcPr>
            <w:tcW w:type="dxa" w:w="13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color w:val="555555"/>
              </w:rPr>
              <w:t xml:space="preserve">Bajo</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1E7B34"/>
              </w:rPr>
              <w:t xml:space="preserve">★★★★★</w:t>
            </w:r>
          </w:p>
        </w:tc>
        <w:tc>
          <w:tcPr>
            <w:tcW w:type="dxa" w:w="1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t xml:space="preserve">Semana 1</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2</w:t>
            </w:r>
          </w:p>
        </w:tc>
        <w:tc>
          <w:tcPr>
            <w:tcW w:type="dxa" w:w="32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Acortar ~1,230 title tags del directorio</w:t>
            </w:r>
          </w:p>
        </w:tc>
        <w:tc>
          <w:tcPr>
            <w:tcW w:type="dxa" w:w="7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3</w:t>
            </w:r>
          </w:p>
        </w:tc>
        <w:tc>
          <w:tcPr>
            <w:tcW w:type="dxa" w:w="135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center"/>
            </w:pPr>
            <w:r>
              <w:rPr>
                <w:color w:val="B7791F"/>
              </w:rPr>
              <w:t xml:space="preserve">Medio-Alto</w:t>
            </w:r>
          </w:p>
        </w:tc>
        <w:tc>
          <w:tcPr>
            <w:tcW w:type="dxa" w:w="135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center"/>
            </w:pPr>
            <w:r>
              <w:rPr>
                <w:color w:val="555555"/>
              </w:rPr>
              <w:t xml:space="preserve">Bajo</w:t>
            </w:r>
          </w:p>
        </w:tc>
        <w:tc>
          <w:tcPr>
            <w:tcW w:type="dxa" w:w="11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center"/>
            </w:pPr>
            <w:r>
              <w:rPr>
                <w:b/>
                <w:bCs/>
                <w:color w:val="1E7B34"/>
              </w:rPr>
              <w:t xml:space="preser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center"/>
            </w:pPr>
            <w:r>
              <w:t xml:space="preserve">Sem 1-2</w:t>
            </w:r>
          </w:p>
        </w:tc>
      </w:tr>
      <w:tr>
        <w:tc>
          <w:tcPr>
            <w:tcW w:type="dxa" w:w="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3</w:t>
            </w:r>
          </w:p>
        </w:tc>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Unificar sitemaps / saneamiento técnico</w:t>
            </w:r>
          </w:p>
        </w:tc>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4</w:t>
            </w:r>
          </w:p>
        </w:tc>
        <w:tc>
          <w:tcPr>
            <w:tcW w:type="dxa" w:w="13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color w:val="555555"/>
              </w:rPr>
              <w:t xml:space="preserve">Bajo-Medio</w:t>
            </w:r>
          </w:p>
        </w:tc>
        <w:tc>
          <w:tcPr>
            <w:tcW w:type="dxa" w:w="13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color w:val="555555"/>
              </w:rPr>
              <w:t xml:space="preserve">Bajo</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1E7B34"/>
              </w:rPr>
              <w:t xml:space="preserve">★★★★</w:t>
            </w:r>
          </w:p>
        </w:tc>
        <w:tc>
          <w:tcPr>
            <w:tcW w:type="dxa" w:w="1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t xml:space="preserve">Sem 1-2</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4</w:t>
            </w:r>
          </w:p>
        </w:tc>
        <w:tc>
          <w:tcPr>
            <w:tcW w:type="dxa" w:w="32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Optimizar keywords en posiciones 11-20</w:t>
            </w:r>
          </w:p>
        </w:tc>
        <w:tc>
          <w:tcPr>
            <w:tcW w:type="dxa" w:w="7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2</w:t>
            </w:r>
          </w:p>
        </w:tc>
        <w:tc>
          <w:tcPr>
            <w:tcW w:type="dxa" w:w="135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center"/>
            </w:pPr>
            <w:r>
              <w:rPr>
                <w:b/>
                <w:bCs/>
                <w:color w:val="1E7B34"/>
              </w:rPr>
              <w:t xml:space="preserve">Alto</w:t>
            </w:r>
          </w:p>
        </w:tc>
        <w:tc>
          <w:tcPr>
            <w:tcW w:type="dxa" w:w="135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center"/>
            </w:pPr>
            <w:r>
              <w:rPr>
                <w:color w:val="B7791F"/>
              </w:rPr>
              <w:t xml:space="preserve">Medio</w:t>
            </w:r>
          </w:p>
        </w:tc>
        <w:tc>
          <w:tcPr>
            <w:tcW w:type="dxa" w:w="11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center"/>
            </w:pPr>
            <w:r>
              <w:rPr>
                <w:b/>
                <w:bCs/>
                <w:color w:val="1E7B34"/>
              </w:rPr>
              <w:t xml:space="preser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center"/>
            </w:pPr>
            <w:r>
              <w:t xml:space="preserve">1-3 meses</w:t>
            </w:r>
          </w:p>
        </w:tc>
      </w:tr>
      <w:tr>
        <w:tc>
          <w:tcPr>
            <w:tcW w:type="dxa" w:w="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5</w:t>
            </w:r>
          </w:p>
        </w:tc>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Página pilar nacional “bomberos”</w:t>
            </w:r>
          </w:p>
        </w:tc>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1</w:t>
            </w:r>
          </w:p>
        </w:tc>
        <w:tc>
          <w:tcPr>
            <w:tcW w:type="dxa" w:w="13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1E7B34"/>
              </w:rPr>
              <w:t xml:space="preserve">Alto</w:t>
            </w:r>
          </w:p>
        </w:tc>
        <w:tc>
          <w:tcPr>
            <w:tcW w:type="dxa" w:w="13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1E7B34"/>
              </w:rPr>
              <w:t xml:space="preserve">Alto</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color w:val="B7791F"/>
              </w:rPr>
              <w:t xml:space="preserve">★★★</w:t>
            </w:r>
          </w:p>
        </w:tc>
        <w:tc>
          <w:tcPr>
            <w:tcW w:type="dxa" w:w="1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t xml:space="preserve">3-5 meses</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6</w:t>
            </w:r>
          </w:p>
        </w:tc>
        <w:tc>
          <w:tcPr>
            <w:tcW w:type="dxa" w:w="32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Blog por ciudad (18 ciudades)</w:t>
            </w:r>
          </w:p>
        </w:tc>
        <w:tc>
          <w:tcPr>
            <w:tcW w:type="dxa" w:w="7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b w:val="false"/>
                <w:bCs w:val="false"/>
                <w:color w:val="1A1A1A"/>
              </w:rPr>
              <w:t xml:space="preserve">5</w:t>
            </w:r>
          </w:p>
        </w:tc>
        <w:tc>
          <w:tcPr>
            <w:tcW w:type="dxa" w:w="135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center"/>
            </w:pPr>
            <w:r>
              <w:rPr>
                <w:color w:val="B7791F"/>
              </w:rPr>
              <w:t xml:space="preserve">Medio-Alto</w:t>
            </w:r>
          </w:p>
        </w:tc>
        <w:tc>
          <w:tcPr>
            <w:tcW w:type="dxa" w:w="135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center"/>
            </w:pPr>
            <w:r>
              <w:rPr>
                <w:b/>
                <w:bCs/>
                <w:color w:val="1E7B34"/>
              </w:rPr>
              <w:t xml:space="preserve">Alto</w:t>
            </w:r>
          </w:p>
        </w:tc>
        <w:tc>
          <w:tcPr>
            <w:tcW w:type="dxa" w:w="11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center"/>
            </w:pPr>
            <w:r>
              <w:rPr>
                <w:color w:val="B7791F"/>
              </w:rPr>
              <w:t xml:space="preserve">★★★</w:t>
            </w:r>
          </w:p>
        </w:tc>
        <w:tc>
          <w:tcPr>
            <w:tcW w:type="dxa" w:w="116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center"/>
            </w:pPr>
            <w:r>
              <w:t xml:space="preserve">4+ meses</w:t>
            </w:r>
          </w:p>
        </w:tc>
      </w:tr>
      <w:tr>
        <w:tc>
          <w:tcPr>
            <w:tcW w:type="dxa" w:w="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7</w:t>
            </w:r>
          </w:p>
        </w:tc>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Link building temático y ético</w:t>
            </w:r>
          </w:p>
        </w:tc>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1A1A1A"/>
              </w:rPr>
              <w:t xml:space="preserve">6</w:t>
            </w:r>
          </w:p>
        </w:tc>
        <w:tc>
          <w:tcPr>
            <w:tcW w:type="dxa" w:w="13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1E7B34"/>
              </w:rPr>
              <w:t xml:space="preserve">Alto</w:t>
            </w:r>
          </w:p>
        </w:tc>
        <w:tc>
          <w:tcPr>
            <w:tcW w:type="dxa" w:w="13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1E7B34"/>
              </w:rPr>
              <w:t xml:space="preserve">Alto</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color w:val="B7791F"/>
              </w:rPr>
              <w:t xml:space="preserve">★★★</w:t>
            </w:r>
          </w:p>
        </w:tc>
        <w:tc>
          <w:tcPr>
            <w:tcW w:type="dxa" w:w="1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t xml:space="preserve">6-9 meses</w:t>
            </w:r>
          </w:p>
        </w:tc>
      </w:tr>
    </w:tbl>
    <w:p>
      <w:pPr>
        <w:spacing w:after="80"/>
      </w:pPr>
    </w:p>
    <w:p>
      <w:pPr>
        <w:pStyle w:val="Heading2"/>
      </w:pPr>
      <w:r>
        <w:t xml:space="preserve">Secuencia recomendada de ejecución</w:t>
      </w:r>
    </w:p>
    <w:p>
      <w:pPr>
        <w:pStyle w:val="ListParagraph"/>
        <w:numPr>
          <w:ilvl w:val="0"/>
          <w:numId w:val="3"/>
        </w:numPr>
        <w:spacing w:after="60" w:line="270"/>
      </w:pPr>
      <w:r>
        <w:t xml:space="preserve">Semana 1-2: Fase 0 (diagnóstico caída) + Fase 3 (titles) + Fase 4 (sitemaps). Quick wins y base limpia.</w:t>
      </w:r>
    </w:p>
    <w:p>
      <w:pPr>
        <w:pStyle w:val="ListParagraph"/>
        <w:numPr>
          <w:ilvl w:val="0"/>
          <w:numId w:val="3"/>
        </w:numPr>
        <w:spacing w:after="60" w:line="270"/>
      </w:pPr>
      <w:r>
        <w:t xml:space="preserve">Mes 1-3: Fase 2 (cluster 11-20) en paralelo con el arranque de Fase 1 (pilar) y los primeros artículos de Fase 5.</w:t>
      </w:r>
    </w:p>
    <w:p>
      <w:pPr>
        <w:pStyle w:val="ListParagraph"/>
        <w:numPr>
          <w:ilvl w:val="0"/>
          <w:numId w:val="3"/>
        </w:numPr>
        <w:spacing w:after="60" w:line="270"/>
      </w:pPr>
      <w:r>
        <w:t xml:space="preserve">Mes 3-6: consolidar Fase 1, escalar Fase 5 e iniciar Fase 6 (autoridad) de forma continua.</w:t>
      </w:r>
    </w:p>
    <w:p>
      <w:pPr>
        <w:spacing w:after="80"/>
      </w:pPr>
    </w:p>
    <w:p>
      <w:pPr>
        <w:spacing w:after="120" w:line="276"/>
      </w:pPr>
      <w:r>
        <w:rPr>
          <w:b/>
          <w:bCs/>
          <w:color w:val="C0392B"/>
        </w:rPr>
        <w:t xml:space="preserve">Recordatorio de preservación: </w:t>
      </w:r>
      <w:r>
        <w:t xml:space="preserve">no se modifica el schema markup, el canonical, la estructura técnica ni el bloqueo de robots.txt (decisión de negocio). Todas las acciones son aditivas o sobre títulos/contenido/sitemaps, sin riesgo para lo que ya funciona.</w:t>
      </w:r>
    </w:p>
    <w:p>
      <w:pPr>
        <w:spacing w:after="120" w:line="276"/>
      </w:pPr>
      <w:r>
        <w:rPr>
          <w:i/>
          <w:iCs/>
          <w:color w:val="555555"/>
        </w:rPr>
        <w:t xml:space="preserve">Dato que requiere tu validación: volúmenes de búsqueda ciudad por ciudad (Fase 5) y la causa exacta de la caída (Fase 0) dependen de tus paneles de SEMrush y Search Console, a los que no tengo acceso directo.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55555"/>
        <w:sz w:val="16"/>
        <w:szCs w:val="16"/>
      </w:rPr>
      <w:t xml:space="preserve">Confidencial · Consultoría SEO técnica</w:t>
    </w:r>
    <w:r>
      <w:rPr>
        <w:color w:val="555555"/>
        <w:sz w:val="16"/>
        <w:szCs w:val="16"/>
      </w:rPr>
      <w:t xml:space="preserve">	Página </w:t>
    </w:r>
    <w:r>
      <w:rPr>
        <w:color w:val="555555"/>
        <w:sz w:val="16"/>
        <w:szCs w:val="16"/>
      </w:rPr>
      <w:fldChar w:fldCharType="begin"/>
      <w:instrText xml:space="preserve">PAGE</w:instrText>
      <w:fldChar w:fldCharType="separate"/>
      <w:fldChar w:fldCharType="end"/>
    </w:r>
    <w:r>
      <w:rPr>
        <w:color w:val="555555"/>
        <w:sz w:val="16"/>
        <w:szCs w:val="16"/>
      </w:rPr>
      <w:t xml:space="preserve"> de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2"/>
      </w:pBdr>
    </w:pPr>
    <w:r>
      <w:rPr>
        <w:color w:val="555555"/>
        <w:sz w:val="16"/>
        <w:szCs w:val="16"/>
      </w:rPr>
      <w:t xml:space="preserve">Plan de Optimización SEO · bombero.mx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lvl w:ilvl="1" w15:tentative="1">
      <w:start w:val="1"/>
      <w:numFmt w:val="bullet"/>
      <w:lvlText w:val="◦"/>
      <w:lvlJc w:val="left"/>
      <w:pPr>
        <w:ind w:left="1100" w:hanging="280"/>
      </w:pPr>
    </w:lvl>
  </w:abstractNum>
  <w:abstractNum w:abstractNumId="3" w15:restartNumberingAfterBreak="0">
    <w:multiLevelType w:val="hybridMultilevel"/>
    <w:lvl w:ilvl="0" w15:tentative="1">
      <w:start w:val="1"/>
      <w:numFmt w:val="decimal"/>
      <w:lvlText w:val="%1."/>
      <w:lvlJc w:val="left"/>
      <w:pPr>
        <w:ind w:left="6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0392B" w:sz="4" w:space="4"/>
      </w:pBdr>
      <w:spacing w:after="160" w:before="240"/>
      <w:outlineLvl w:val="0"/>
    </w:pPr>
    <w:rPr>
      <w:rFonts w:ascii="Arial" w:cs="Arial" w:eastAsia="Arial" w:hAnsi="Arial"/>
      <w:b/>
      <w:bCs/>
      <w:color w:val="C0392B"/>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A1A1A"/>
      <w:sz w:val="25"/>
      <w:szCs w:val="25"/>
    </w:rPr>
  </w:style>
  <w:style w:type="paragraph" w:styleId="Heading3">
    <w:name w:val="Heading 3"/>
    <w:basedOn w:val="Normal"/>
    <w:next w:val="Normal"/>
    <w:qFormat/>
    <w:pPr>
      <w:spacing w:after="80" w:before="14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Optimización SEO — bombero.mx</dc:title>
  <dc:creator>Consultoría SEO</dc:creator>
  <cp:lastModifiedBy>Un-named</cp:lastModifiedBy>
  <cp:revision>1</cp:revision>
  <dcterms:created xsi:type="dcterms:W3CDTF">2026-06-01T01:46:43.460Z</dcterms:created>
  <dcterms:modified xsi:type="dcterms:W3CDTF">2026-06-01T01:46:43.460Z</dcterms:modified>
</cp:coreProperties>
</file>

<file path=docProps/custom.xml><?xml version="1.0" encoding="utf-8"?>
<Properties xmlns="http://schemas.openxmlformats.org/officeDocument/2006/custom-properties" xmlns:vt="http://schemas.openxmlformats.org/officeDocument/2006/docPropsVTypes"/>
</file>