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100"/>
      </w:pPr>
      <w:r>
        <w:rPr>
          <w:b/>
          <w:bCs/>
          <w:color w:val="C0392B"/>
          <w:sz w:val="50"/>
          <w:szCs w:val="50"/>
        </w:rPr>
        <w:t xml:space="preserve">PLAN SEO — ANEXO</w:t>
      </w:r>
    </w:p>
    <w:p>
      <w:pPr>
        <w:spacing w:after="160"/>
      </w:pPr>
      <w:r>
        <w:rPr>
          <w:b/>
          <w:bCs/>
          <w:color w:val="1A1A1A"/>
          <w:sz w:val="40"/>
          <w:szCs w:val="40"/>
        </w:rPr>
        <w:t xml:space="preserve">bombero.mx · Fases 7-13</w:t>
      </w:r>
    </w:p>
    <w:p>
      <w:pPr>
        <w:spacing w:after="80"/>
      </w:pPr>
      <w:r>
        <w:rPr>
          <w:color w:val="555555"/>
          <w:sz w:val="24"/>
          <w:szCs w:val="24"/>
        </w:rPr>
        <w:t xml:space="preserve">Optimización integral del sitio: monetización, schema, GEO, local, calidad y datos</w:t>
      </w:r>
    </w:p>
    <w:p>
      <w:pPr>
        <w:spacing w:after="500"/>
      </w:pPr>
      <w:r>
        <w:rPr>
          <w:color w:val="555555"/>
          <w:sz w:val="22"/>
          <w:szCs w:val="22"/>
        </w:rPr>
        <w:t xml:space="preserve">Continuación del Plan de Optimización SEO · 31 may 2026</w:t>
      </w:r>
    </w:p>
    <w:p>
      <w:pPr>
        <w:pBdr>
          <w:top w:val="single" w:color="C0392B" w:sz="6" w:space="4"/>
          <w:bottom w:val="single" w:color="C0392B" w:sz="6" w:space="4"/>
        </w:pBdr>
        <w:spacing w:after="200" w:before="200"/>
      </w:pPr>
      <w:r>
        <w:rPr>
          <w:i/>
          <w:iCs/>
          <w:color w:val="1A1A1A"/>
          <w:sz w:val="22"/>
          <w:szCs w:val="22"/>
        </w:rPr>
        <w:t xml:space="preserve">Verificado en vivo: schema de producto y modelo de cotización confirmados antes de redactar</w:t>
      </w:r>
    </w:p>
    <w:p>
      <w:r>
        <w:br w:type="page"/>
      </w:r>
    </w:p>
    <w:p>
      <w:pPr>
        <w:pStyle w:val="Heading1"/>
      </w:pPr>
      <w:r>
        <w:t xml:space="preserve">Cómo leer este anexo</w:t>
      </w:r>
    </w:p>
    <w:p>
      <w:pPr>
        <w:spacing w:after="120" w:line="276"/>
      </w:pPr>
      <w:r>
        <w:t xml:space="preserve">Las Fases 0-6 del plan principal cubren la captura de tráfico (keywords, contenido, técnica, autoridad). Este anexo completa la optimización del sitio entero: convertir ese tráfico en negocio, blindar la calidad y abrir GEO y SEO local. Mantiene el mismo formato: qué, cómo, impacto, medición, métricas de éxito y esfuerzo/impacto.</w:t>
      </w:r>
    </w:p>
    <w:p>
      <w:pPr>
        <w:pStyle w:val="Heading2"/>
      </w:pPr>
      <w:r>
        <w:t xml:space="preserve">Verificación previa (en vivo, 31 may 2026)</w:t>
      </w:r>
    </w:p>
    <w:p>
      <w:pPr>
        <w:spacing w:after="120" w:line="276"/>
      </w:pPr>
      <w:r>
        <w:t xml:space="preserve">Antes de recomendar comprobé la tienda para no proponer cosas ya hechas. Hallazgos que reencuadran el anexo:</w:t>
      </w:r>
    </w:p>
    <w:p>
      <w:pPr>
        <w:pStyle w:val="ListParagraph"/>
        <w:numPr>
          <w:ilvl w:val="0"/>
          <w:numId w:val="2"/>
        </w:numPr>
        <w:spacing w:after="60" w:line="270"/>
      </w:pPr>
      <w:r>
        <w:rPr>
          <w:b/>
          <w:bCs/>
        </w:rPr>
        <w:t xml:space="preserve">Schema de producto YA existe. </w:t>
      </w:r>
      <w:r>
        <w:t xml:space="preserve">Las páginas de producto y categoría incluyen Product, AggregateRating, precio, BreadcrumbList y FAQPage. La recomendación no es “añadir”, sino validar y blindar (ver Fase 8).</w:t>
      </w:r>
    </w:p>
    <w:p>
      <w:pPr>
        <w:pStyle w:val="ListParagraph"/>
        <w:numPr>
          <w:ilvl w:val="0"/>
          <w:numId w:val="2"/>
        </w:numPr>
        <w:spacing w:after="60" w:line="270"/>
      </w:pPr>
      <w:r>
        <w:rPr>
          <w:b/>
          <w:bCs/>
        </w:rPr>
        <w:t xml:space="preserve">La tienda es por cotización, no carrito. </w:t>
      </w:r>
      <w:r>
        <w:t xml:space="preserve">La conversión es /cotizar/ (“Cotizaciones sin compromiso”). El modelo es lead-gen B2B; la Fase 7 optimiza hacia la cotización, no hacia un checkout.</w:t>
      </w:r>
    </w:p>
    <w:p>
      <w:pPr>
        <w:pStyle w:val="ListParagraph"/>
        <w:numPr>
          <w:ilvl w:val="0"/>
          <w:numId w:val="2"/>
        </w:numPr>
        <w:spacing w:after="60" w:line="270"/>
      </w:pPr>
      <w:r>
        <w:rPr>
          <w:b/>
          <w:bCs/>
        </w:rPr>
        <w:t xml:space="preserve">Catálogo facetado profundo. </w:t>
      </w:r>
      <w:r>
        <w:t xml:space="preserve">Ej.: /productos/botas-para-bomberos/caucho/antiestatica-esd/. Muchas combinaciones de facetas; riesgo de thin content y presupuesto de rastreo (ver Fase 11).</w:t>
      </w:r>
    </w:p>
    <w:p>
      <w:pPr>
        <w:pStyle w:val="ListParagraph"/>
        <w:numPr>
          <w:ilvl w:val="0"/>
          <w:numId w:val="2"/>
        </w:numPr>
        <w:spacing w:after="60" w:line="270"/>
      </w:pPr>
      <w:r>
        <w:rPr>
          <w:b/>
          <w:bCs/>
        </w:rPr>
        <w:t xml:space="preserve">llms.txt existe (HTTP 200). </w:t>
      </w:r>
      <w:r>
        <w:t xml:space="preserve">Buena base GEO; la Fase 9 la aprovecha y resuelve el conflicto de robots.txt.</w:t>
      </w:r>
    </w:p>
    <w:p>
      <w:pPr>
        <w:pBdr>
          <w:bottom w:val="single" w:color="C0392B" w:sz="6" w:space="1"/>
        </w:pBdr>
        <w:spacing w:after="160"/>
      </w:pP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Fase 7 — Monetizar el tráfico del directorio (CRO → cotización)</w:t>
      </w:r>
    </w:p>
    <w:p>
      <w:pPr>
        <w:spacing w:after="120" w:line="276"/>
      </w:pPr>
      <w:r>
        <w:t xml:space="preserve">Es la palanca de mayor retorno: actúa sobre tráfico que YA tienes. El directorio capta intención informacional (1,219 URLs), pero el dinero está en /cotizar/ y /productos/. Hoy esos dos mundos probablemente no se conectan dentro de la página. El objetivo no es más tráfico, sino más cotizaciones por la misma visita.</w:t>
      </w:r>
    </w:p>
    <w:p>
      <w:pPr>
        <w:pStyle w:val="Heading2"/>
      </w:pPr>
      <w:r>
        <w:t xml:space="preserve">Qué — puentes de conversión dentro del directorio</w:t>
      </w:r>
    </w:p>
    <w:p>
      <w:pPr>
        <w:pStyle w:val="ListParagraph"/>
        <w:numPr>
          <w:ilvl w:val="0"/>
          <w:numId w:val="2"/>
        </w:numPr>
        <w:spacing w:after="60" w:line="270"/>
      </w:pPr>
      <w:r>
        <w:t xml:space="preserve">Bloque contextual “Equipo NFPA para tu estación” en cada página de estado/municipio, con 3-4 productos representativos (traje 1971, SCBA, casco, botas) y CTA a /cotizar/.</w:t>
      </w:r>
    </w:p>
    <w:p>
      <w:pPr>
        <w:pStyle w:val="ListParagraph"/>
        <w:numPr>
          <w:ilvl w:val="0"/>
          <w:numId w:val="2"/>
        </w:numPr>
        <w:spacing w:after="60" w:line="270"/>
      </w:pPr>
      <w:r>
        <w:t xml:space="preserve">CTA persistente (sticky o final de contenido): “Solicita una cotización sin compromiso para tu cuerpo de bomberos”. Encaja con compra institucional/municipal.</w:t>
      </w:r>
    </w:p>
    <w:p>
      <w:pPr>
        <w:pStyle w:val="ListParagraph"/>
        <w:numPr>
          <w:ilvl w:val="0"/>
          <w:numId w:val="2"/>
        </w:numPr>
        <w:spacing w:after="60" w:line="270"/>
      </w:pPr>
      <w:r>
        <w:t xml:space="preserve">Banner de confianza: NFPA, envío a todo México, atención a dependencias de gobierno. Reduce fricción del comprador B2B.</w:t>
      </w:r>
    </w:p>
    <w:p>
      <w:pPr>
        <w:pStyle w:val="Heading2"/>
      </w:pPr>
      <w:r>
        <w:t xml:space="preserve">Cómo — implementación</w:t>
      </w:r>
    </w:p>
    <w:p>
      <w:pPr>
        <w:pStyle w:val="ListParagraph"/>
        <w:numPr>
          <w:ilvl w:val="0"/>
          <w:numId w:val="3"/>
        </w:numPr>
        <w:spacing w:after="60" w:line="270"/>
      </w:pPr>
      <w:r>
        <w:t xml:space="preserve">Insertar el bloque vía plantilla del directorio (una vez, aplica a las ~1,219 páginas).</w:t>
      </w:r>
    </w:p>
    <w:p>
      <w:pPr>
        <w:pStyle w:val="ListParagraph"/>
        <w:numPr>
          <w:ilvl w:val="0"/>
          <w:numId w:val="3"/>
        </w:numPr>
        <w:spacing w:after="60" w:line="270"/>
      </w:pPr>
      <w:r>
        <w:t xml:space="preserve">Pasar parámetro de contexto a /cotizar/ (estado/ciudad de origen) para pre-rellenar y medir qué páginas generan leads.</w:t>
      </w:r>
    </w:p>
    <w:p>
      <w:pPr>
        <w:pStyle w:val="ListParagraph"/>
        <w:numPr>
          <w:ilvl w:val="0"/>
          <w:numId w:val="3"/>
        </w:numPr>
        <w:spacing w:after="60" w:line="270"/>
      </w:pPr>
      <w:r>
        <w:t xml:space="preserve">Diferenciar por intención: en /telefonos/ (emergencia pura) el CTA comercial debe ser discreto; en /especialidades/ puede ser más prominente (equipo por especialidad).</w:t>
      </w:r>
    </w:p>
    <w:p>
      <w:pPr>
        <w:pStyle w:val="ListParagraph"/>
        <w:numPr>
          <w:ilvl w:val="0"/>
          <w:numId w:val="3"/>
        </w:numPr>
        <w:spacing w:after="60" w:line="270"/>
      </w:pPr>
      <w:r>
        <w:t xml:space="preserve">A/B test del CTA (texto, posición, color) si el volumen lo permite.</w:t>
      </w:r>
    </w:p>
    <w:p>
      <w:pPr>
        <w:spacing w:after="90" w:line="276"/>
      </w:pPr>
      <w:r>
        <w:rPr>
          <w:b/>
          <w:bCs/>
          <w:color w:val="C0392B"/>
        </w:rPr>
        <w:t xml:space="preserve">Impacto esperado: </w:t>
      </w:r>
      <w:r>
        <w:t xml:space="preserve">Aumento directo de cotizaciones sobre el tráfico actual (349 páginas con tráfico). El mayor ratio impacto/esfuerzo del proyecto, porque no depende de ganar posiciones.</w:t>
      </w:r>
    </w:p>
    <w:p>
      <w:pPr>
        <w:spacing w:after="90" w:line="276"/>
      </w:pPr>
      <w:r>
        <w:rPr>
          <w:b/>
          <w:bCs/>
          <w:color w:val="C0392B"/>
        </w:rPr>
        <w:t xml:space="preserve">Cómo medir: </w:t>
      </w:r>
      <w:r>
        <w:t xml:space="preserve">Nº de envíos de /cotizar/ por origen (directorio vs. resto); tasa de conversión visita→cotización; analítica de clics en el bloque y CTA.</w:t>
      </w:r>
    </w:p>
    <w:p>
      <w:pPr>
        <w:spacing w:after="40" w:before="80"/>
      </w:pPr>
      <w:r>
        <w:rPr>
          <w:b/>
          <w:bCs/>
          <w:color w:val="2E75B6"/>
        </w:rPr>
        <w:t xml:space="preserve">Métricas de éxito</w:t>
      </w:r>
    </w:p>
    <w:p>
      <w:pPr>
        <w:pStyle w:val="ListParagraph"/>
        <w:numPr>
          <w:ilvl w:val="0"/>
          <w:numId w:val="2"/>
        </w:numPr>
        <w:spacing w:after="60" w:line="270"/>
      </w:pPr>
      <w:r>
        <w:t xml:space="preserve">Tasa de conversión a cotización medible y atribuible al directorio en 60 días.</w:t>
      </w:r>
    </w:p>
    <w:p>
      <w:pPr>
        <w:pStyle w:val="ListParagraph"/>
        <w:numPr>
          <w:ilvl w:val="0"/>
          <w:numId w:val="2"/>
        </w:numPr>
        <w:spacing w:after="60" w:line="270"/>
      </w:pPr>
      <w:r>
        <w:t xml:space="preserve">≥ X cotizaciones/mes provenientes de páginas de directorio (fijar baseline al inicio).</w:t>
      </w:r>
    </w:p>
    <w:p>
      <w:pPr>
        <w:pStyle w:val="ListParagraph"/>
        <w:numPr>
          <w:ilvl w:val="0"/>
          <w:numId w:val="2"/>
        </w:numPr>
        <w:spacing w:after="60" w:line="270"/>
      </w:pPr>
      <w:r>
        <w:t xml:space="preserve">Mejora de la tasa visita→/cotizar/ del segmento directorio.</w:t>
      </w:r>
    </w:p>
    <w:p>
      <w:pPr>
        <w:shd w:fill="F2F2F2" w:val="clear"/>
        <w:spacing w:after="160" w:before="100"/>
      </w:pPr>
      <w:r>
        <w:rPr>
          <w:b/>
          <w:bCs/>
        </w:rPr>
        <w:t xml:space="preserve">Esfuerzo: </w:t>
      </w:r>
      <w:r>
        <w:t xml:space="preserve">Bajo-Medio</w:t>
      </w:r>
      <w:r>
        <w:rPr>
          <w:b/>
          <w:bCs/>
        </w:rPr>
        <w:t xml:space="preserve">    Impacto: </w:t>
      </w:r>
      <w:r>
        <w:t xml:space="preserve">Alto</w:t>
      </w:r>
      <w:r>
        <w:rPr>
          <w:b/>
          <w:bCs/>
        </w:rPr>
        <w:t xml:space="preserve">    Horizonte: </w:t>
      </w:r>
      <w:r>
        <w:t xml:space="preserve">Corto plazo (semanas 2-6)</w:t>
      </w:r>
    </w:p>
    <w:p>
      <w:r>
        <w:br w:type="page"/>
      </w:r>
    </w:p>
    <w:p>
      <w:pPr>
        <w:pStyle w:val="Heading1"/>
      </w:pPr>
      <w:r>
        <w:t xml:space="preserve">Fase 8 — Validar y blindar el schema de producto (+ feed)</w:t>
      </w:r>
    </w:p>
    <w:p>
      <w:pPr>
        <w:spacing w:after="120" w:line="276"/>
      </w:pPr>
      <w:r>
        <w:t xml:space="preserve">El schema de producto ya está implementado con AggregateRating y precio. Bien hecho — pero ese mismo schema, si las reseñas no son reales o los datos no cuadran, es un riesgo de penalización manual de Google por marcado engañoso. Esta fase es de verificación y blindaje, no de creación.</w:t>
      </w:r>
    </w:p>
    <w:p>
      <w:pPr>
        <w:pStyle w:val="Heading2"/>
      </w:pPr>
      <w:r>
        <w:t xml:space="preserve">Qué — auditoría de marcado</w:t>
      </w:r>
    </w:p>
    <w:p>
      <w:pPr>
        <w:pStyle w:val="ListParagraph"/>
        <w:numPr>
          <w:ilvl w:val="0"/>
          <w:numId w:val="2"/>
        </w:numPr>
        <w:spacing w:after="60" w:line="270"/>
      </w:pPr>
      <w:r>
        <w:rPr>
          <w:b/>
          <w:bCs/>
        </w:rPr>
        <w:t xml:space="preserve">Reseñas reales. </w:t>
      </w:r>
      <w:r>
        <w:t xml:space="preserve">Confirmar que AggregateRating refleja reseñas genuinas de clientes. Estrellas inventadas en SERP son causa frecuente de acción manual. Si no hay reseñas reales aún, retirar AggregateRating hasta tenerlas.</w:t>
      </w:r>
    </w:p>
    <w:p>
      <w:pPr>
        <w:pStyle w:val="ListParagraph"/>
        <w:numPr>
          <w:ilvl w:val="0"/>
          <w:numId w:val="2"/>
        </w:numPr>
        <w:spacing w:after="60" w:line="270"/>
      </w:pPr>
      <w:r>
        <w:rPr>
          <w:b/>
          <w:bCs/>
        </w:rPr>
        <w:t xml:space="preserve">Consistencia precio/disponibilidad. </w:t>
      </w:r>
      <w:r>
        <w:t xml:space="preserve">offers debe coincidir con lo que ve el usuario. En modelo de cotización, usar priceSpecification o quote adecuado; evitar precio fijo si en realidad se cotiza.</w:t>
      </w:r>
    </w:p>
    <w:p>
      <w:pPr>
        <w:pStyle w:val="ListParagraph"/>
        <w:numPr>
          <w:ilvl w:val="0"/>
          <w:numId w:val="2"/>
        </w:numPr>
        <w:spacing w:after="60" w:line="270"/>
      </w:pPr>
      <w:r>
        <w:rPr>
          <w:b/>
          <w:bCs/>
        </w:rPr>
        <w:t xml:space="preserve">Campos completos. </w:t>
      </w:r>
      <w:r>
        <w:t xml:space="preserve">brand, sku/mpn, gtin si aplica, image, availability. Más campos válidos = mejor elegibilidad a rich results y Merchant.</w:t>
      </w:r>
    </w:p>
    <w:p>
      <w:pPr>
        <w:pStyle w:val="Heading2"/>
      </w:pPr>
      <w:r>
        <w:t xml:space="preserve">Cómo — proceso</w:t>
      </w:r>
    </w:p>
    <w:p>
      <w:pPr>
        <w:pStyle w:val="ListParagraph"/>
        <w:numPr>
          <w:ilvl w:val="0"/>
          <w:numId w:val="3"/>
        </w:numPr>
        <w:spacing w:after="60" w:line="270"/>
      </w:pPr>
      <w:r>
        <w:t xml:space="preserve">Pasar 8-10 URLs de producto por Rich Results Test y Schema Markup Validator; registrar errores/advertencias.</w:t>
      </w:r>
    </w:p>
    <w:p>
      <w:pPr>
        <w:pStyle w:val="ListParagraph"/>
        <w:numPr>
          <w:ilvl w:val="0"/>
          <w:numId w:val="3"/>
        </w:numPr>
        <w:spacing w:after="60" w:line="270"/>
      </w:pPr>
      <w:r>
        <w:t xml:space="preserve">Revisar en GSC &gt; Mejoras/Fragmentos el estado de los items de producto y reseñas.</w:t>
      </w:r>
    </w:p>
    <w:p>
      <w:pPr>
        <w:pStyle w:val="ListParagraph"/>
        <w:numPr>
          <w:ilvl w:val="0"/>
          <w:numId w:val="3"/>
        </w:numPr>
        <w:spacing w:after="60" w:line="270"/>
      </w:pPr>
      <w:r>
        <w:t xml:space="preserve">Si vendes a gobierno/empresa por cotización, alinear el schema al modelo real (oferta cotizable) para no enviar señales falsas.</w:t>
      </w:r>
    </w:p>
    <w:p>
      <w:pPr>
        <w:pStyle w:val="ListParagraph"/>
        <w:numPr>
          <w:ilvl w:val="0"/>
          <w:numId w:val="3"/>
        </w:numPr>
        <w:spacing w:after="60" w:line="270"/>
      </w:pPr>
      <w:r>
        <w:t xml:space="preserve">Opcional: crear feed de productos para Google Merchant Center (Shopping orgánico y, si se desea, Performance Max a futuro). Hoy no hay inversión paga, pero las fichas gratuitas de Merchant dan visibilidad.</w:t>
      </w:r>
    </w:p>
    <w:p>
      <w:pPr>
        <w:spacing w:after="90" w:line="276"/>
      </w:pPr>
      <w:r>
        <w:rPr>
          <w:b/>
          <w:bCs/>
          <w:color w:val="C0392B"/>
        </w:rPr>
        <w:t xml:space="preserve">Impacto esperado: </w:t>
      </w:r>
      <w:r>
        <w:t xml:space="preserve">Protege los rich snippets actuales (precio+estrellas) frente a penalización y maximiza su elegibilidad. Evita un riesgo, además de sumar CTR.</w:t>
      </w:r>
    </w:p>
    <w:p>
      <w:pPr>
        <w:spacing w:after="90" w:line="276"/>
      </w:pPr>
      <w:r>
        <w:rPr>
          <w:b/>
          <w:bCs/>
          <w:color w:val="C0392B"/>
        </w:rPr>
        <w:t xml:space="preserve">Cómo medir: </w:t>
      </w:r>
      <w:r>
        <w:t xml:space="preserve">0 errores en Rich Results Test; estado “válido” en GSC; presencia estable de rich snippets en SERP; impresiones de productos en Merchant si se activa.</w:t>
      </w:r>
    </w:p>
    <w:p>
      <w:pPr>
        <w:spacing w:after="40" w:before="80"/>
      </w:pPr>
      <w:r>
        <w:rPr>
          <w:b/>
          <w:bCs/>
          <w:color w:val="2E75B6"/>
        </w:rPr>
        <w:t xml:space="preserve">Métricas de éxito</w:t>
      </w:r>
    </w:p>
    <w:p>
      <w:pPr>
        <w:pStyle w:val="ListParagraph"/>
        <w:numPr>
          <w:ilvl w:val="0"/>
          <w:numId w:val="2"/>
        </w:numPr>
        <w:spacing w:after="60" w:line="270"/>
      </w:pPr>
      <w:r>
        <w:t xml:space="preserve">100% de URLs de producto auditadas sin errores de schema.</w:t>
      </w:r>
    </w:p>
    <w:p>
      <w:pPr>
        <w:pStyle w:val="ListParagraph"/>
        <w:numPr>
          <w:ilvl w:val="0"/>
          <w:numId w:val="2"/>
        </w:numPr>
        <w:spacing w:after="60" w:line="270"/>
      </w:pPr>
      <w:r>
        <w:t xml:space="preserve">AggregateRating respaldado por reseñas reales o retirado.</w:t>
      </w:r>
    </w:p>
    <w:p>
      <w:pPr>
        <w:pStyle w:val="ListParagraph"/>
        <w:numPr>
          <w:ilvl w:val="0"/>
          <w:numId w:val="2"/>
        </w:numPr>
        <w:spacing w:after="60" w:line="270"/>
      </w:pPr>
      <w:r>
        <w:t xml:space="preserve">Sin acciones manuales por datos estructurados en GSC.</w:t>
      </w:r>
    </w:p>
    <w:p>
      <w:pPr>
        <w:shd w:fill="F2F2F2" w:val="clear"/>
        <w:spacing w:after="160" w:before="100"/>
      </w:pPr>
      <w:r>
        <w:rPr>
          <w:b/>
          <w:bCs/>
        </w:rPr>
        <w:t xml:space="preserve">Esfuerzo: </w:t>
      </w:r>
      <w:r>
        <w:t xml:space="preserve">Bajo</w:t>
      </w:r>
      <w:r>
        <w:rPr>
          <w:b/>
          <w:bCs/>
        </w:rPr>
        <w:t xml:space="preserve">    Impacto: </w:t>
      </w:r>
      <w:r>
        <w:t xml:space="preserve">Medio</w:t>
      </w:r>
      <w:r>
        <w:rPr>
          <w:b/>
          <w:bCs/>
        </w:rPr>
        <w:t xml:space="preserve">    Horizonte: </w:t>
      </w:r>
      <w:r>
        <w:t xml:space="preserve">Inmediato (semana 1-2)</w:t>
      </w:r>
    </w:p>
    <w:p>
      <w:r>
        <w:br w:type="page"/>
      </w:r>
    </w:p>
    <w:p>
      <w:pPr>
        <w:pStyle w:val="Heading1"/>
      </w:pPr>
      <w:r>
        <w:t xml:space="preserve">Fase 9 — GEO / AEO: citabilidad en motores de IA</w:t>
      </w:r>
    </w:p>
    <w:p>
      <w:pPr>
        <w:spacing w:after="120" w:line="276"/>
      </w:pPr>
      <w:r>
        <w:t xml:space="preserve">El directorio (info pública: teléfonos de emergencia, direcciones de los 32 estados) es contenido ideal para ser citado por ChatGPT, Gemini, Perplexity y AI Overviews. Tienes llms.txt e intención GEO declarada — pero hoy queda neutralizada por la contradicción de robots.txt. Esta fase la desbloquea y refuerza.</w:t>
      </w:r>
    </w:p>
    <w:p>
      <w:pPr>
        <w:pStyle w:val="Heading2"/>
      </w:pPr>
      <w:r>
        <w:t xml:space="preserve">Qué — resolver el conflicto y reforzar</w:t>
      </w:r>
    </w:p>
    <w:p>
      <w:pPr>
        <w:spacing w:after="120" w:line="276"/>
      </w:pPr>
      <w:r>
        <w:rPr>
          <w:b/>
          <w:bCs/>
          <w:color w:val="C0392B"/>
        </w:rPr>
        <w:t xml:space="preserve">Decisión de negocio (no la tomo por ti): </w:t>
      </w:r>
      <w:r>
        <w:t xml:space="preserve">robots.txt tiene un bloque Cloudflare Managed que hace Disallow a GPTBot/ClaudeBot/CCBot/Google-Extended y un bloque manual que los hace Allow. Mientras coexistan, el resultado para esos user-agents es ambiguo y, en la práctica, el bloque gestionado suele ganar. Si quieres GEO, hay que dejar una sola directiva coherente (permitir). Si NO quieres GEO, retira el bloque manual y llms.txt para no enviar señales mixtas.</w:t>
      </w:r>
    </w:p>
    <w:p>
      <w:pPr>
        <w:pStyle w:val="Heading2"/>
      </w:pPr>
      <w:r>
        <w:t xml:space="preserve">Cómo — si se opta por GEO (recomendado para el directorio)</w:t>
      </w:r>
    </w:p>
    <w:p>
      <w:pPr>
        <w:pStyle w:val="ListParagraph"/>
        <w:numPr>
          <w:ilvl w:val="0"/>
          <w:numId w:val="2"/>
        </w:numPr>
        <w:spacing w:after="60" w:line="270"/>
      </w:pPr>
      <w:r>
        <w:t xml:space="preserve">Unificar robots.txt en una sola política por user-agent (eliminar la duplicidad de grupos contradictorios).</w:t>
      </w:r>
    </w:p>
    <w:p>
      <w:pPr>
        <w:pStyle w:val="ListParagraph"/>
        <w:numPr>
          <w:ilvl w:val="0"/>
          <w:numId w:val="2"/>
        </w:numPr>
        <w:spacing w:after="60" w:line="270"/>
      </w:pPr>
      <w:r>
        <w:t xml:space="preserve">Mantener y enriquecer llms.txt / llms-full.txt: descripción del sitio, secciones clave, URLs canónicas del directorio y de cotización.</w:t>
      </w:r>
    </w:p>
    <w:p>
      <w:pPr>
        <w:pStyle w:val="ListParagraph"/>
        <w:numPr>
          <w:ilvl w:val="0"/>
          <w:numId w:val="2"/>
        </w:numPr>
        <w:spacing w:after="60" w:line="270"/>
      </w:pPr>
      <w:r>
        <w:t xml:space="preserve">Contenido extractable: respuestas directas y concisas al inicio de cada página (definición, teléfono, dato), formato Q&amp;A, tablas y FAQPage. Los motores citan fragmentos auto-contenidos.</w:t>
      </w:r>
    </w:p>
    <w:p>
      <w:pPr>
        <w:pStyle w:val="ListParagraph"/>
        <w:numPr>
          <w:ilvl w:val="0"/>
          <w:numId w:val="2"/>
        </w:numPr>
        <w:spacing w:after="60" w:line="270"/>
      </w:pPr>
      <w:r>
        <w:t xml:space="preserve">Datos verificables y fechados (“verificado a {fecha}”) — aumenta la confianza de citación.</w:t>
      </w:r>
    </w:p>
    <w:p>
      <w:pPr>
        <w:spacing w:after="90" w:line="276"/>
      </w:pPr>
      <w:r>
        <w:rPr>
          <w:b/>
          <w:bCs/>
          <w:color w:val="C0392B"/>
        </w:rPr>
        <w:t xml:space="preserve">Impacto esperado: </w:t>
      </w:r>
      <w:r>
        <w:t xml:space="preserve">Aparición como fuente citada en respuestas de IA y AI Overviews para consultas de bomberos/emergencias en México. Tráfico y marca incrementales difíciles de capturar de otra forma.</w:t>
      </w:r>
    </w:p>
    <w:p>
      <w:pPr>
        <w:spacing w:after="90" w:line="276"/>
      </w:pPr>
      <w:r>
        <w:rPr>
          <w:b/>
          <w:bCs/>
          <w:color w:val="C0392B"/>
        </w:rPr>
        <w:t xml:space="preserve">Cómo medir: </w:t>
      </w:r>
      <w:r>
        <w:t xml:space="preserve">Referencias desde IA en analítica (ChatGPT, Perplexity como referrers); pruebas manuales de prompts (“teléfono de bomberos en {ciudad}”) viendo si te citan; impresiones en AI Overviews donde GSC lo reporte.</w:t>
      </w:r>
    </w:p>
    <w:p>
      <w:pPr>
        <w:spacing w:after="40" w:before="80"/>
      </w:pPr>
      <w:r>
        <w:rPr>
          <w:b/>
          <w:bCs/>
          <w:color w:val="2E75B6"/>
        </w:rPr>
        <w:t xml:space="preserve">Métricas de éxito</w:t>
      </w:r>
    </w:p>
    <w:p>
      <w:pPr>
        <w:pStyle w:val="ListParagraph"/>
        <w:numPr>
          <w:ilvl w:val="0"/>
          <w:numId w:val="2"/>
        </w:numPr>
        <w:spacing w:after="60" w:line="270"/>
      </w:pPr>
      <w:r>
        <w:t xml:space="preserve">robots.txt coherente, sin grupos contradictorios.</w:t>
      </w:r>
    </w:p>
    <w:p>
      <w:pPr>
        <w:pStyle w:val="ListParagraph"/>
        <w:numPr>
          <w:ilvl w:val="0"/>
          <w:numId w:val="2"/>
        </w:numPr>
        <w:spacing w:after="60" w:line="270"/>
      </w:pPr>
      <w:r>
        <w:t xml:space="preserve">Citaciones de bombero.mx en ≥ 2 motores de IA para consultas objetivo.</w:t>
      </w:r>
    </w:p>
    <w:p>
      <w:pPr>
        <w:pStyle w:val="ListParagraph"/>
        <w:numPr>
          <w:ilvl w:val="0"/>
          <w:numId w:val="2"/>
        </w:numPr>
        <w:spacing w:after="60" w:line="270"/>
      </w:pPr>
      <w:r>
        <w:t xml:space="preserve">Tráfico de referencia desde asistentes de IA medible.</w:t>
      </w:r>
    </w:p>
    <w:p>
      <w:pPr>
        <w:shd w:fill="F2F2F2" w:val="clear"/>
        <w:spacing w:after="160" w:before="100"/>
      </w:pPr>
      <w:r>
        <w:rPr>
          <w:b/>
          <w:bCs/>
        </w:rPr>
        <w:t xml:space="preserve">Esfuerzo: </w:t>
      </w:r>
      <w:r>
        <w:t xml:space="preserve">Bajo (decisión) / Medio (contenido)</w:t>
      </w:r>
      <w:r>
        <w:rPr>
          <w:b/>
          <w:bCs/>
        </w:rPr>
        <w:t xml:space="preserve">    Impacto: </w:t>
      </w:r>
      <w:r>
        <w:t xml:space="preserve">Medio-Alto</w:t>
      </w:r>
      <w:r>
        <w:rPr>
          <w:b/>
          <w:bCs/>
        </w:rPr>
        <w:t xml:space="preserve">    Horizonte: </w:t>
      </w:r>
      <w:r>
        <w:t xml:space="preserve">Medio plazo</w:t>
      </w:r>
    </w:p>
    <w:p>
      <w:r>
        <w:br w:type="page"/>
      </w:r>
    </w:p>
    <w:p>
      <w:pPr>
        <w:pStyle w:val="Heading1"/>
      </w:pPr>
      <w:r>
        <w:t xml:space="preserve">Fase 10 — SEO local y Google Business Profile</w:t>
      </w:r>
    </w:p>
    <w:p>
      <w:pPr>
        <w:spacing w:after="120" w:line="276"/>
      </w:pPr>
      <w:r>
        <w:t xml:space="preserve">Para un distribuidor B2B de equipo, el SEO local capta búsquedas comerciales con intención de compra (“comprar equipo de bomberos”, “proveedor NFPA México”) y abre el paquete local + Maps, otra fuente de leads independiente del orgánico clásico.</w:t>
      </w:r>
    </w:p>
    <w:p>
      <w:pPr>
        <w:pStyle w:val="Heading2"/>
      </w:pPr>
      <w:r>
        <w:t xml:space="preserve">Qué — presencia local</w:t>
      </w:r>
    </w:p>
    <w:p>
      <w:pPr>
        <w:pStyle w:val="ListParagraph"/>
        <w:numPr>
          <w:ilvl w:val="0"/>
          <w:numId w:val="2"/>
        </w:numPr>
        <w:spacing w:after="60" w:line="270"/>
      </w:pPr>
      <w:r>
        <w:t xml:space="preserve">Crear/optimizar Google Business Profile de la empresa (categoría: tienda de equipo de seguridad / proveedor industrial). Fotos, horarios, servicios, área de cobertura nacional.</w:t>
      </w:r>
    </w:p>
    <w:p>
      <w:pPr>
        <w:pStyle w:val="ListParagraph"/>
        <w:numPr>
          <w:ilvl w:val="0"/>
          <w:numId w:val="2"/>
        </w:numPr>
        <w:spacing w:after="60" w:line="270"/>
      </w:pPr>
      <w:r>
        <w:t xml:space="preserve">NAP consistente (nombre, dirección, teléfono) en el sitio (footer, /contacto/) y en directorios de negocio relevantes.</w:t>
      </w:r>
    </w:p>
    <w:p>
      <w:pPr>
        <w:pStyle w:val="ListParagraph"/>
        <w:numPr>
          <w:ilvl w:val="0"/>
          <w:numId w:val="2"/>
        </w:numPr>
        <w:spacing w:after="60" w:line="270"/>
      </w:pPr>
      <w:r>
        <w:t xml:space="preserve">Página /contacto/ con LocalBusiness schema, mapa y datos completos.</w:t>
      </w:r>
    </w:p>
    <w:p>
      <w:pPr>
        <w:pStyle w:val="Heading2"/>
      </w:pPr>
      <w:r>
        <w:t xml:space="preserve">Cómo — implementación</w:t>
      </w:r>
    </w:p>
    <w:p>
      <w:pPr>
        <w:pStyle w:val="ListParagraph"/>
        <w:numPr>
          <w:ilvl w:val="0"/>
          <w:numId w:val="3"/>
        </w:numPr>
        <w:spacing w:after="60" w:line="270"/>
      </w:pPr>
      <w:r>
        <w:t xml:space="preserve">Verificar el GBP (proceso de Google). No requiere cambios en el sitio para empezar.</w:t>
      </w:r>
    </w:p>
    <w:p>
      <w:pPr>
        <w:pStyle w:val="ListParagraph"/>
        <w:numPr>
          <w:ilvl w:val="0"/>
          <w:numId w:val="3"/>
        </w:numPr>
        <w:spacing w:after="60" w:line="270"/>
      </w:pPr>
      <w:r>
        <w:t xml:space="preserve">Solicitar reseñas reales a clientes institucionales — alimenta también el AggregateRating de Fase 8 de forma legítima.</w:t>
      </w:r>
    </w:p>
    <w:p>
      <w:pPr>
        <w:pStyle w:val="ListParagraph"/>
        <w:numPr>
          <w:ilvl w:val="0"/>
          <w:numId w:val="3"/>
        </w:numPr>
        <w:spacing w:after="60" w:line="270"/>
      </w:pPr>
      <w:r>
        <w:t xml:space="preserve">Asegurar coherencia NAP y añadir LocalBusiness/Organization con datos de contacto en el sitio.</w:t>
      </w:r>
    </w:p>
    <w:p>
      <w:pPr>
        <w:pStyle w:val="ListParagraph"/>
        <w:numPr>
          <w:ilvl w:val="0"/>
          <w:numId w:val="3"/>
        </w:numPr>
        <w:spacing w:after="60" w:line="270"/>
      </w:pPr>
      <w:r>
        <w:t xml:space="preserve">Si hay punto físico o almacén, reforzar señales locales de esa ubicación.</w:t>
      </w:r>
    </w:p>
    <w:p>
      <w:pPr>
        <w:spacing w:after="90" w:line="276"/>
      </w:pPr>
      <w:r>
        <w:rPr>
          <w:b/>
          <w:bCs/>
          <w:color w:val="C0392B"/>
        </w:rPr>
        <w:t xml:space="preserve">Impacto esperado: </w:t>
      </w:r>
      <w:r>
        <w:t xml:space="preserve">Visibilidad en Maps y paquete local para consultas comerciales; canal de leads adicional; refuerzo de confianza (reseñas) que apoya conversión y schema.</w:t>
      </w:r>
    </w:p>
    <w:p>
      <w:pPr>
        <w:spacing w:after="90" w:line="276"/>
      </w:pPr>
      <w:r>
        <w:rPr>
          <w:b/>
          <w:bCs/>
          <w:color w:val="C0392B"/>
        </w:rPr>
        <w:t xml:space="preserve">Cómo medir: </w:t>
      </w:r>
      <w:r>
        <w:t xml:space="preserve">Estadísticas de GBP (vistas, llamadas, solicitudes de ruta, clics a web); leads atribuidos a local; nº y nota media de reseñas.</w:t>
      </w:r>
    </w:p>
    <w:p>
      <w:pPr>
        <w:spacing w:after="40" w:before="80"/>
      </w:pPr>
      <w:r>
        <w:rPr>
          <w:b/>
          <w:bCs/>
          <w:color w:val="2E75B6"/>
        </w:rPr>
        <w:t xml:space="preserve">Métricas de éxito</w:t>
      </w:r>
    </w:p>
    <w:p>
      <w:pPr>
        <w:pStyle w:val="ListParagraph"/>
        <w:numPr>
          <w:ilvl w:val="0"/>
          <w:numId w:val="2"/>
        </w:numPr>
        <w:spacing w:after="60" w:line="270"/>
      </w:pPr>
      <w:r>
        <w:t xml:space="preserve">GBP verificado y completo al 100%.</w:t>
      </w:r>
    </w:p>
    <w:p>
      <w:pPr>
        <w:pStyle w:val="ListParagraph"/>
        <w:numPr>
          <w:ilvl w:val="0"/>
          <w:numId w:val="2"/>
        </w:numPr>
        <w:spacing w:after="60" w:line="270"/>
      </w:pPr>
      <w:r>
        <w:t xml:space="preserve">≥ 10 reseñas reales en 3 meses.</w:t>
      </w:r>
    </w:p>
    <w:p>
      <w:pPr>
        <w:pStyle w:val="ListParagraph"/>
        <w:numPr>
          <w:ilvl w:val="0"/>
          <w:numId w:val="2"/>
        </w:numPr>
        <w:spacing w:after="60" w:line="270"/>
      </w:pPr>
      <w:r>
        <w:t xml:space="preserve">Leads/llamadas medibles desde el perfil local.</w:t>
      </w:r>
    </w:p>
    <w:p>
      <w:pPr>
        <w:shd w:fill="F2F2F2" w:val="clear"/>
        <w:spacing w:after="160" w:before="100"/>
      </w:pPr>
      <w:r>
        <w:rPr>
          <w:b/>
          <w:bCs/>
        </w:rPr>
        <w:t xml:space="preserve">Esfuerzo: </w:t>
      </w:r>
      <w:r>
        <w:t xml:space="preserve">Medio</w:t>
      </w:r>
      <w:r>
        <w:rPr>
          <w:b/>
          <w:bCs/>
        </w:rPr>
        <w:t xml:space="preserve">    Impacto: </w:t>
      </w:r>
      <w:r>
        <w:t xml:space="preserve">Medio</w:t>
      </w:r>
      <w:r>
        <w:rPr>
          <w:b/>
          <w:bCs/>
        </w:rPr>
        <w:t xml:space="preserve">    Horizonte: </w:t>
      </w:r>
      <w:r>
        <w:t xml:space="preserve">Corto-medio plazo</w:t>
      </w:r>
    </w:p>
    <w:p>
      <w:r>
        <w:br w:type="page"/>
      </w:r>
    </w:p>
    <w:p>
      <w:pPr>
        <w:pStyle w:val="Heading1"/>
      </w:pPr>
      <w:r>
        <w:t xml:space="preserve">Fase 11 — Calidad: páginas thin y facetas del catálogo</w:t>
      </w:r>
    </w:p>
    <w:p>
      <w:pPr>
        <w:spacing w:after="120" w:line="276"/>
      </w:pPr>
      <w:r>
        <w:t xml:space="preserve">Solo 349 de ~1,494 URLs reciben tráfico. Dos focos de riesgo: páginas thin del directorio (/municipios/, /especialidades/ casi vacías o duplicadas) y la profundidad de facetas del catálogo (/productos/.../caucho/antiestatica-esd/...), que multiplica URLs de bajo valor. En Core Updates, el contenido delgado a escala pesa contra todo el dominio. Sanear calidad protege el sitio entero.</w:t>
      </w:r>
    </w:p>
    <w:p>
      <w:pPr>
        <w:pStyle w:val="Heading2"/>
      </w:pPr>
      <w:r>
        <w:t xml:space="preserve">Qué — auditar y decidir por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CCCCCC" w:sz="1"/>
              <w:left w:val="single" w:color="CCCCCC" w:sz="1"/>
              <w:bottom w:val="single" w:color="CCCCCC" w:sz="1"/>
              <w:right w:val="single" w:color="CCCCCC" w:sz="1"/>
            </w:tcBorders>
            <w:shd w:fill="C0392B" w:val="clear"/>
            <w:tcMar>
              <w:top w:type="dxa" w:w="60"/>
              <w:left w:type="dxa" w:w="110"/>
              <w:bottom w:type="dxa" w:w="60"/>
              <w:right w:type="dxa" w:w="110"/>
            </w:tcMar>
          </w:tcPr>
          <w:p>
            <w:pPr>
              <w:jc w:val="left"/>
            </w:pPr>
            <w:r>
              <w:rPr>
                <w:b/>
                <w:bCs/>
                <w:color w:val="FFFFFF"/>
              </w:rPr>
              <w:t xml:space="preserve">Situación</w:t>
            </w:r>
          </w:p>
        </w:tc>
        <w:tc>
          <w:tcPr>
            <w:tcW w:type="dxa" w:w="5660"/>
            <w:tcBorders>
              <w:top w:val="single" w:color="CCCCCC" w:sz="1"/>
              <w:left w:val="single" w:color="CCCCCC" w:sz="1"/>
              <w:bottom w:val="single" w:color="CCCCCC" w:sz="1"/>
              <w:right w:val="single" w:color="CCCCCC" w:sz="1"/>
            </w:tcBorders>
            <w:shd w:fill="C0392B" w:val="clear"/>
            <w:tcMar>
              <w:top w:type="dxa" w:w="60"/>
              <w:left w:type="dxa" w:w="110"/>
              <w:bottom w:type="dxa" w:w="60"/>
              <w:right w:type="dxa" w:w="110"/>
            </w:tcMar>
          </w:tcPr>
          <w:p>
            <w:pPr>
              <w:jc w:val="left"/>
            </w:pPr>
            <w:r>
              <w:rPr>
                <w:b/>
                <w:bCs/>
                <w:color w:val="FFFFFF"/>
              </w:rPr>
              <w:t xml:space="preserve">Decisión</w:t>
            </w:r>
          </w:p>
        </w:tc>
      </w:tr>
      <w:tr>
        <w:tc>
          <w:tcPr>
            <w:tcW w:type="dxa" w:w="3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color w:val="1A1A1A"/>
              </w:rPr>
              <w:t xml:space="preserve">Página con contenido único y demanda (estado con datos reales)</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color w:val="1A1A1A"/>
              </w:rPr>
              <w:t xml:space="preserve">Mantener y enriquecer (Fases 2/3).</w:t>
            </w:r>
          </w:p>
        </w:tc>
      </w:tr>
      <w:tr>
        <w:tc>
          <w:tcPr>
            <w:tcW w:type="dxa" w:w="37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color w:val="1A1A1A"/>
              </w:rPr>
              <w:t xml:space="preserve">Faceta/sub-faceta sin demanda ni contenido diferenciado</w:t>
            </w:r>
          </w:p>
        </w:tc>
        <w:tc>
          <w:tcPr>
            <w:tcW w:type="dxa" w:w="56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color w:val="1A1A1A"/>
              </w:rPr>
              <w:t xml:space="preserve">noindex, follow o canonical a la categoría padre. Mantener rastreable para navegación, fuera del índice.</w:t>
            </w:r>
          </w:p>
        </w:tc>
      </w:tr>
      <w:tr>
        <w:tc>
          <w:tcPr>
            <w:tcW w:type="dxa" w:w="3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color w:val="1A1A1A"/>
              </w:rPr>
              <w:t xml:space="preserve">Páginas casi duplicadas (municipios sin datos propios)</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color w:val="1A1A1A"/>
              </w:rPr>
              <w:t xml:space="preserve">Consolidar en la del estado o enriquecer con dato único (teléfono/dirección).</w:t>
            </w:r>
          </w:p>
        </w:tc>
      </w:tr>
      <w:tr>
        <w:tc>
          <w:tcPr>
            <w:tcW w:type="dxa" w:w="37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color w:val="1A1A1A"/>
              </w:rPr>
              <w:t xml:space="preserve">Combinaciones de facetas infinitas</w:t>
            </w:r>
          </w:p>
        </w:tc>
        <w:tc>
          <w:tcPr>
            <w:tcW w:type="dxa" w:w="56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color w:val="1A1A1A"/>
              </w:rPr>
              <w:t xml:space="preserve">Definir reglas: indexar solo facetas con demanda; bloquear el resto vía canonical/robots a nivel de patrón.</w:t>
            </w:r>
          </w:p>
        </w:tc>
      </w:tr>
    </w:tbl>
    <w:p>
      <w:pPr>
        <w:pStyle w:val="Heading2"/>
      </w:pPr>
      <w:r>
        <w:t xml:space="preserve">Cómo — proceso</w:t>
      </w:r>
    </w:p>
    <w:p>
      <w:pPr>
        <w:pStyle w:val="ListParagraph"/>
        <w:numPr>
          <w:ilvl w:val="0"/>
          <w:numId w:val="3"/>
        </w:numPr>
        <w:spacing w:after="60" w:line="270"/>
      </w:pPr>
      <w:r>
        <w:t xml:space="preserve">Cruzar sitemap (1,494) con páginas con tráfico/impresiones en GSC: aislar las que llevan meses sin impresiones.</w:t>
      </w:r>
    </w:p>
    <w:p>
      <w:pPr>
        <w:pStyle w:val="ListParagraph"/>
        <w:numPr>
          <w:ilvl w:val="0"/>
          <w:numId w:val="3"/>
        </w:numPr>
        <w:spacing w:after="60" w:line="270"/>
      </w:pPr>
      <w:r>
        <w:t xml:space="preserve">Clasificar por la tabla anterior. Priorizar facetas del catálogo (suelen ser el grueso de URLs de bajo valor).</w:t>
      </w:r>
    </w:p>
    <w:p>
      <w:pPr>
        <w:pStyle w:val="ListParagraph"/>
        <w:numPr>
          <w:ilvl w:val="0"/>
          <w:numId w:val="3"/>
        </w:numPr>
        <w:spacing w:after="60" w:line="270"/>
      </w:pPr>
      <w:r>
        <w:t xml:space="preserve">Aplicar canonical/noindex por plantilla y reglas de patrón, no URL a URL.</w:t>
      </w:r>
    </w:p>
    <w:p>
      <w:pPr>
        <w:pStyle w:val="ListParagraph"/>
        <w:numPr>
          <w:ilvl w:val="0"/>
          <w:numId w:val="3"/>
        </w:numPr>
        <w:spacing w:after="60" w:line="270"/>
      </w:pPr>
      <w:r>
        <w:t xml:space="preserve">Verificar en GSC que las URLs salen del índice de forma controlada y que el presupuesto de rastreo se redirige a páginas valiosas.</w:t>
      </w:r>
    </w:p>
    <w:p>
      <w:pPr>
        <w:spacing w:after="90" w:line="276"/>
      </w:pPr>
      <w:r>
        <w:rPr>
          <w:b/>
          <w:bCs/>
          <w:color w:val="C0392B"/>
        </w:rPr>
        <w:t xml:space="preserve">Impacto esperado: </w:t>
      </w:r>
      <w:r>
        <w:t xml:space="preserve">Mejor percepción de calidad del dominio (defensa ante Core Updates), rastreo concentrado en lo que convierte, menos canibalización.</w:t>
      </w:r>
    </w:p>
    <w:p>
      <w:pPr>
        <w:spacing w:after="90" w:line="276"/>
      </w:pPr>
      <w:r>
        <w:rPr>
          <w:b/>
          <w:bCs/>
          <w:color w:val="C0392B"/>
        </w:rPr>
        <w:t xml:space="preserve">Cómo medir: </w:t>
      </w:r>
      <w:r>
        <w:t xml:space="preserve">Ratio páginas con tráfico / indexadas al alza; estadísticas de rastreo en GSC; estabilidad/recuperación en próximas actualizaciones.</w:t>
      </w:r>
    </w:p>
    <w:p>
      <w:pPr>
        <w:spacing w:after="40" w:before="80"/>
      </w:pPr>
      <w:r>
        <w:rPr>
          <w:b/>
          <w:bCs/>
          <w:color w:val="2E75B6"/>
        </w:rPr>
        <w:t xml:space="preserve">Métricas de éxito</w:t>
      </w:r>
    </w:p>
    <w:p>
      <w:pPr>
        <w:pStyle w:val="ListParagraph"/>
        <w:numPr>
          <w:ilvl w:val="0"/>
          <w:numId w:val="2"/>
        </w:numPr>
        <w:spacing w:after="60" w:line="270"/>
      </w:pPr>
      <w:r>
        <w:t xml:space="preserve">Decisión tomada (mantener/consolidar/noindex) para el 100% de patrones de URL.</w:t>
      </w:r>
    </w:p>
    <w:p>
      <w:pPr>
        <w:pStyle w:val="ListParagraph"/>
        <w:numPr>
          <w:ilvl w:val="0"/>
          <w:numId w:val="2"/>
        </w:numPr>
        <w:spacing w:after="60" w:line="270"/>
      </w:pPr>
      <w:r>
        <w:t xml:space="preserve">Aumento del % de URLs indexadas que reciben tráfico (hoy 349/1,494).</w:t>
      </w:r>
    </w:p>
    <w:p>
      <w:pPr>
        <w:pStyle w:val="ListParagraph"/>
        <w:numPr>
          <w:ilvl w:val="0"/>
          <w:numId w:val="2"/>
        </w:numPr>
        <w:spacing w:after="60" w:line="270"/>
      </w:pPr>
      <w:r>
        <w:t xml:space="preserve">Sin caídas en Core Updates posteriores.</w:t>
      </w:r>
    </w:p>
    <w:p>
      <w:pPr>
        <w:shd w:fill="F2F2F2" w:val="clear"/>
        <w:spacing w:after="160" w:before="100"/>
      </w:pPr>
      <w:r>
        <w:rPr>
          <w:b/>
          <w:bCs/>
        </w:rPr>
        <w:t xml:space="preserve">Esfuerzo: </w:t>
      </w:r>
      <w:r>
        <w:t xml:space="preserve">Medio</w:t>
      </w:r>
      <w:r>
        <w:rPr>
          <w:b/>
          <w:bCs/>
        </w:rPr>
        <w:t xml:space="preserve">    Impacto: </w:t>
      </w:r>
      <w:r>
        <w:t xml:space="preserve">Medio-Alto</w:t>
      </w:r>
      <w:r>
        <w:rPr>
          <w:b/>
          <w:bCs/>
        </w:rPr>
        <w:t xml:space="preserve">    Horizonte: </w:t>
      </w:r>
      <w:r>
        <w:t xml:space="preserve">Medio plazo</w:t>
      </w:r>
    </w:p>
    <w:p>
      <w:r>
        <w:br w:type="page"/>
      </w:r>
    </w:p>
    <w:p>
      <w:pPr>
        <w:pStyle w:val="Heading1"/>
      </w:pPr>
      <w:r>
        <w:t xml:space="preserve">Fase 12 — Búsqueda interna y UX de navegación</w:t>
      </w:r>
    </w:p>
    <w:p>
      <w:pPr>
        <w:spacing w:after="120" w:line="276"/>
      </w:pPr>
      <w:r>
        <w:t xml:space="preserve">Con 1,230 páginas de directorio y un catálogo facetado, ayudar al usuario a encontrar su estación o su producto mejora engagement, dwell time y conversión — señales que apoyan indirectamente el ranking y directamente las cotizaciones.</w:t>
      </w:r>
    </w:p>
    <w:p>
      <w:pPr>
        <w:pStyle w:val="Heading2"/>
      </w:pPr>
      <w:r>
        <w:t xml:space="preserve">Qué</w:t>
      </w:r>
    </w:p>
    <w:p>
      <w:pPr>
        <w:pStyle w:val="ListParagraph"/>
        <w:numPr>
          <w:ilvl w:val="0"/>
          <w:numId w:val="2"/>
        </w:numPr>
        <w:spacing w:after="60" w:line="270"/>
      </w:pPr>
      <w:r>
        <w:t xml:space="preserve">Buscador interno “Encuentra bomberos en tu ciudad” en el home y en el hub del directorio (apoya la pilar de la Fase 1).</w:t>
      </w:r>
    </w:p>
    <w:p>
      <w:pPr>
        <w:pStyle w:val="ListParagraph"/>
        <w:numPr>
          <w:ilvl w:val="0"/>
          <w:numId w:val="2"/>
        </w:numPr>
        <w:spacing w:after="60" w:line="270"/>
      </w:pPr>
      <w:r>
        <w:t xml:space="preserve">Filtros claros en catálogo (por norma NFPA, tipo de equipo) sin generar URLs indexables nuevas (usar parámetros controlados / JS).</w:t>
      </w:r>
    </w:p>
    <w:p>
      <w:pPr>
        <w:pStyle w:val="ListParagraph"/>
        <w:numPr>
          <w:ilvl w:val="0"/>
          <w:numId w:val="2"/>
        </w:numPr>
        <w:spacing w:after="60" w:line="270"/>
      </w:pPr>
      <w:r>
        <w:t xml:space="preserve">Breadcrumbs navegables visibles (ya tienes BreadcrumbList schema) para moverse por estado→municipio y categoría→subcategoría.</w:t>
      </w:r>
    </w:p>
    <w:p>
      <w:pPr>
        <w:pStyle w:val="ListParagraph"/>
        <w:numPr>
          <w:ilvl w:val="0"/>
          <w:numId w:val="2"/>
        </w:numPr>
        <w:spacing w:after="60" w:line="270"/>
      </w:pPr>
      <w:r>
        <w:t xml:space="preserve">Enlaces relacionados al pie de cada página (estados vecinos, productos relacionados) para distribuir autoridad y retener al usuario.</w:t>
      </w:r>
    </w:p>
    <w:p>
      <w:pPr>
        <w:pStyle w:val="Heading2"/>
      </w:pPr>
      <w:r>
        <w:t xml:space="preserve">Cómo</w:t>
      </w:r>
    </w:p>
    <w:p>
      <w:pPr>
        <w:pStyle w:val="ListParagraph"/>
        <w:numPr>
          <w:ilvl w:val="0"/>
          <w:numId w:val="3"/>
        </w:numPr>
        <w:spacing w:after="60" w:line="270"/>
      </w:pPr>
      <w:r>
        <w:t xml:space="preserve">Implementar buscador (interno, sin exponer páginas de resultados al índice: noindex en /buscar?).</w:t>
      </w:r>
    </w:p>
    <w:p>
      <w:pPr>
        <w:pStyle w:val="ListParagraph"/>
        <w:numPr>
          <w:ilvl w:val="0"/>
          <w:numId w:val="3"/>
        </w:numPr>
        <w:spacing w:after="60" w:line="270"/>
      </w:pPr>
      <w:r>
        <w:t xml:space="preserve">Registrar búsquedas internas en analítica para detectar demanda no cubierta (nuevas páginas/productos).</w:t>
      </w:r>
    </w:p>
    <w:p>
      <w:pPr>
        <w:pStyle w:val="ListParagraph"/>
        <w:numPr>
          <w:ilvl w:val="0"/>
          <w:numId w:val="3"/>
        </w:numPr>
        <w:spacing w:after="60" w:line="270"/>
      </w:pPr>
      <w:r>
        <w:t xml:space="preserve">Revisar que los filtros de catálogo no creen URLs rastreables duplicadas (coordina con Fase 11).</w:t>
      </w:r>
    </w:p>
    <w:p>
      <w:pPr>
        <w:spacing w:after="90" w:line="276"/>
      </w:pPr>
      <w:r>
        <w:rPr>
          <w:b/>
          <w:bCs/>
          <w:color w:val="C0392B"/>
        </w:rPr>
        <w:t xml:space="preserve">Impacto esperado: </w:t>
      </w:r>
      <w:r>
        <w:t xml:space="preserve">Más páginas por sesión, menor rebote, más caminos hacia /cotizar/. Datos de búsqueda interna como input de contenido y producto.</w:t>
      </w:r>
    </w:p>
    <w:p>
      <w:pPr>
        <w:spacing w:after="90" w:line="276"/>
      </w:pPr>
      <w:r>
        <w:rPr>
          <w:b/>
          <w:bCs/>
          <w:color w:val="C0392B"/>
        </w:rPr>
        <w:t xml:space="preserve">Cómo medir: </w:t>
      </w:r>
      <w:r>
        <w:t xml:space="preserve">Páginas/sesión, profundidad de scroll, uso del buscador, conversión asistida por navegación; términos de búsqueda interna sin resultado.</w:t>
      </w:r>
    </w:p>
    <w:p>
      <w:pPr>
        <w:spacing w:after="40" w:before="80"/>
      </w:pPr>
      <w:r>
        <w:rPr>
          <w:b/>
          <w:bCs/>
          <w:color w:val="2E75B6"/>
        </w:rPr>
        <w:t xml:space="preserve">Métricas de éxito</w:t>
      </w:r>
    </w:p>
    <w:p>
      <w:pPr>
        <w:pStyle w:val="ListParagraph"/>
        <w:numPr>
          <w:ilvl w:val="0"/>
          <w:numId w:val="2"/>
        </w:numPr>
        <w:spacing w:after="60" w:line="270"/>
      </w:pPr>
      <w:r>
        <w:t xml:space="preserve">Buscador en uso medible y sin páginas de resultados indexadas.</w:t>
      </w:r>
    </w:p>
    <w:p>
      <w:pPr>
        <w:pStyle w:val="ListParagraph"/>
        <w:numPr>
          <w:ilvl w:val="0"/>
          <w:numId w:val="2"/>
        </w:numPr>
        <w:spacing w:after="60" w:line="270"/>
      </w:pPr>
      <w:r>
        <w:t xml:space="preserve">Mejora de páginas/sesión y rebote en el directorio.</w:t>
      </w:r>
    </w:p>
    <w:p>
      <w:pPr>
        <w:pStyle w:val="ListParagraph"/>
        <w:numPr>
          <w:ilvl w:val="0"/>
          <w:numId w:val="2"/>
        </w:numPr>
        <w:spacing w:after="60" w:line="270"/>
      </w:pPr>
      <w:r>
        <w:t xml:space="preserve">Backlog de contenido alimentado por búsquedas internas sin resultado.</w:t>
      </w:r>
    </w:p>
    <w:p>
      <w:pPr>
        <w:shd w:fill="F2F2F2" w:val="clear"/>
        <w:spacing w:after="160" w:before="100"/>
      </w:pPr>
      <w:r>
        <w:rPr>
          <w:b/>
          <w:bCs/>
        </w:rPr>
        <w:t xml:space="preserve">Esfuerzo: </w:t>
      </w:r>
      <w:r>
        <w:t xml:space="preserve">Medio</w:t>
      </w:r>
      <w:r>
        <w:rPr>
          <w:b/>
          <w:bCs/>
        </w:rPr>
        <w:t xml:space="preserve">    Impacto: </w:t>
      </w:r>
      <w:r>
        <w:t xml:space="preserve">Medio</w:t>
      </w:r>
      <w:r>
        <w:rPr>
          <w:b/>
          <w:bCs/>
        </w:rPr>
        <w:t xml:space="preserve">    Horizonte: </w:t>
      </w:r>
      <w:r>
        <w:t xml:space="preserve">Medio plazo</w:t>
      </w:r>
    </w:p>
    <w:p>
      <w:r>
        <w:br w:type="page"/>
      </w:r>
    </w:p>
    <w:p>
      <w:pPr>
        <w:pStyle w:val="Heading1"/>
      </w:pPr>
      <w:r>
        <w:t xml:space="preserve">Fase 13 — Activo de datos recurrente (digital PR)</w:t>
      </w:r>
    </w:p>
    <w:p>
      <w:pPr>
        <w:spacing w:after="120" w:line="276"/>
      </w:pPr>
      <w:r>
        <w:t xml:space="preserve">Conviertes tu mayor diferencial — el directorio nacional verificado — en un activo de relaciones públicas que genera backlinks y citaciones año tras año con costo marginal bajo. Es la versión escalable y compuesta de la Fase 6.</w:t>
      </w:r>
    </w:p>
    <w:p>
      <w:pPr>
        <w:pStyle w:val="Heading2"/>
      </w:pPr>
      <w:r>
        <w:t xml:space="preserve">Qué</w:t>
      </w:r>
    </w:p>
    <w:p>
      <w:pPr>
        <w:pStyle w:val="ListParagraph"/>
        <w:numPr>
          <w:ilvl w:val="0"/>
          <w:numId w:val="2"/>
        </w:numPr>
        <w:spacing w:after="60" w:line="270"/>
      </w:pPr>
      <w:r>
        <w:t xml:space="preserve">Informe anual “Estado de los cuerpos de bomberos en México {año}”: estaciones por estado, ratio por habitante, brechas de cobertura, especialidades. Datos que ya tienes en el directorio.</w:t>
      </w:r>
    </w:p>
    <w:p>
      <w:pPr>
        <w:pStyle w:val="ListParagraph"/>
        <w:numPr>
          <w:ilvl w:val="0"/>
          <w:numId w:val="2"/>
        </w:numPr>
        <w:spacing w:after="60" w:line="270"/>
      </w:pPr>
      <w:r>
        <w:t xml:space="preserve">Página de prensa/recursos con gráficos descargables y datos citables (embed + atribución a bombero.mx).</w:t>
      </w:r>
    </w:p>
    <w:p>
      <w:pPr>
        <w:pStyle w:val="ListParagraph"/>
        <w:numPr>
          <w:ilvl w:val="0"/>
          <w:numId w:val="2"/>
        </w:numPr>
        <w:spacing w:after="60" w:line="270"/>
      </w:pPr>
      <w:r>
        <w:t xml:space="preserve">Notas de datos locales por estado, reutilizables por prensa regional (apoya Fase 5 de blog por ciudad).</w:t>
      </w:r>
    </w:p>
    <w:p>
      <w:pPr>
        <w:pStyle w:val="Heading2"/>
      </w:pPr>
      <w:r>
        <w:t xml:space="preserve">Cómo</w:t>
      </w:r>
    </w:p>
    <w:p>
      <w:pPr>
        <w:pStyle w:val="ListParagraph"/>
        <w:numPr>
          <w:ilvl w:val="0"/>
          <w:numId w:val="3"/>
        </w:numPr>
        <w:spacing w:after="60" w:line="270"/>
      </w:pPr>
      <w:r>
        <w:t xml:space="preserve">Compilar y normalizar los datos del directorio en un dataset publicable.</w:t>
      </w:r>
    </w:p>
    <w:p>
      <w:pPr>
        <w:pStyle w:val="ListParagraph"/>
        <w:numPr>
          <w:ilvl w:val="0"/>
          <w:numId w:val="3"/>
        </w:numPr>
        <w:spacing w:after="60" w:line="270"/>
      </w:pPr>
      <w:r>
        <w:t xml:space="preserve">Diseñar el informe + visualizaciones; publicar con schema (Dataset/Article) y fecha.</w:t>
      </w:r>
    </w:p>
    <w:p>
      <w:pPr>
        <w:pStyle w:val="ListParagraph"/>
        <w:numPr>
          <w:ilvl w:val="0"/>
          <w:numId w:val="3"/>
        </w:numPr>
        <w:spacing w:after="60" w:line="270"/>
      </w:pPr>
      <w:r>
        <w:t xml:space="preserve">Outreach de digital PR a prensa nacional/regional y protección civil (proceso de la Fase 6).</w:t>
      </w:r>
    </w:p>
    <w:p>
      <w:pPr>
        <w:pStyle w:val="ListParagraph"/>
        <w:numPr>
          <w:ilvl w:val="0"/>
          <w:numId w:val="3"/>
        </w:numPr>
        <w:spacing w:after="60" w:line="270"/>
      </w:pPr>
      <w:r>
        <w:t xml:space="preserve">Repetir cada año; cada edición renueva enlaces y posiciona a bombero.mx como fuente de referencia.</w:t>
      </w:r>
    </w:p>
    <w:p>
      <w:pPr>
        <w:spacing w:after="90" w:line="276"/>
      </w:pPr>
      <w:r>
        <w:rPr>
          <w:b/>
          <w:bCs/>
          <w:color w:val="C0392B"/>
        </w:rPr>
        <w:t xml:space="preserve">Impacto esperado: </w:t>
      </w:r>
      <w:r>
        <w:t xml:space="preserve">Backlinks de alta confianza (prensa, .gob.mx, .edu), citaciones GEO, y autoridad temática compuesta. Refuerza Fases 1, 2 y 6.</w:t>
      </w:r>
    </w:p>
    <w:p>
      <w:pPr>
        <w:spacing w:after="90" w:line="276"/>
      </w:pPr>
      <w:r>
        <w:rPr>
          <w:b/>
          <w:bCs/>
          <w:color w:val="C0392B"/>
        </w:rPr>
        <w:t xml:space="preserve">Cómo medir: </w:t>
      </w:r>
      <w:r>
        <w:t xml:space="preserve">Backlinks y dominios de referencia ganados por edición; menciones de prensa; tráfico a la página del informe; evolución de Authority Score.</w:t>
      </w:r>
    </w:p>
    <w:p>
      <w:pPr>
        <w:spacing w:after="40" w:before="80"/>
      </w:pPr>
      <w:r>
        <w:rPr>
          <w:b/>
          <w:bCs/>
          <w:color w:val="2E75B6"/>
        </w:rPr>
        <w:t xml:space="preserve">Métricas de éxito</w:t>
      </w:r>
    </w:p>
    <w:p>
      <w:pPr>
        <w:pStyle w:val="ListParagraph"/>
        <w:numPr>
          <w:ilvl w:val="0"/>
          <w:numId w:val="2"/>
        </w:numPr>
        <w:spacing w:after="60" w:line="270"/>
      </w:pPr>
      <w:r>
        <w:t xml:space="preserve">≥ 10 enlaces editoriales por edición del informe.</w:t>
      </w:r>
    </w:p>
    <w:p>
      <w:pPr>
        <w:pStyle w:val="ListParagraph"/>
        <w:numPr>
          <w:ilvl w:val="0"/>
          <w:numId w:val="2"/>
        </w:numPr>
        <w:spacing w:after="60" w:line="270"/>
      </w:pPr>
      <w:r>
        <w:t xml:space="preserve">≥ 3 menciones de prensa con enlace.</w:t>
      </w:r>
    </w:p>
    <w:p>
      <w:pPr>
        <w:pStyle w:val="ListParagraph"/>
        <w:numPr>
          <w:ilvl w:val="0"/>
          <w:numId w:val="2"/>
        </w:numPr>
        <w:spacing w:after="60" w:line="270"/>
      </w:pPr>
      <w:r>
        <w:t xml:space="preserve">El informe entre las páginas con más backlinks del dominio.</w:t>
      </w:r>
    </w:p>
    <w:p>
      <w:pPr>
        <w:shd w:fill="F2F2F2" w:val="clear"/>
        <w:spacing w:after="160" w:before="100"/>
      </w:pPr>
      <w:r>
        <w:rPr>
          <w:b/>
          <w:bCs/>
        </w:rPr>
        <w:t xml:space="preserve">Esfuerzo: </w:t>
      </w:r>
      <w:r>
        <w:t xml:space="preserve">Alto</w:t>
      </w:r>
      <w:r>
        <w:rPr>
          <w:b/>
          <w:bCs/>
        </w:rPr>
        <w:t xml:space="preserve">    Impacto: </w:t>
      </w:r>
      <w:r>
        <w:t xml:space="preserve">Alto</w:t>
      </w:r>
      <w:r>
        <w:rPr>
          <w:b/>
          <w:bCs/>
        </w:rPr>
        <w:t xml:space="preserve">    Horizonte: </w:t>
      </w:r>
      <w:r>
        <w:t xml:space="preserve">Largo plazo / anual</w:t>
      </w:r>
    </w:p>
    <w:p>
      <w:r>
        <w:br w:type="page"/>
      </w:r>
    </w:p>
    <w:p>
      <w:pPr>
        <w:pStyle w:val="Heading1"/>
      </w:pPr>
      <w:r>
        <w:t xml:space="preserve">Tabla maestra integrada (Fases 0-13)</w:t>
      </w:r>
    </w:p>
    <w:p>
      <w:pPr>
        <w:spacing w:after="120" w:line="276"/>
      </w:pPr>
      <w:r>
        <w:t xml:space="preserve">Todas las acciones del plan principal y del anexo, ordenadas por ratio impacto/esfuerzo. Las primeras filas son ejecución inmediata (quick wins o urgencia). Verde = anexo nuevo.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
        <w:gridCol w:w="3050"/>
        <w:gridCol w:w="620"/>
        <w:gridCol w:w="1300"/>
        <w:gridCol w:w="1250"/>
        <w:gridCol w:w="1100"/>
        <w:gridCol w:w="1610"/>
      </w:tblGrid>
      <w:tr>
        <w:trPr>
          <w:tblHeader/>
        </w:trPr>
        <w:tc>
          <w:tcPr>
            <w:tcW w:type="dxa" w:w="430"/>
            <w:tcBorders>
              <w:top w:val="single" w:color="CCCCCC" w:sz="1"/>
              <w:left w:val="single" w:color="CCCCCC" w:sz="1"/>
              <w:bottom w:val="single" w:color="CCCCCC" w:sz="1"/>
              <w:right w:val="single" w:color="CCCCCC" w:sz="1"/>
            </w:tcBorders>
            <w:shd w:fill="C0392B" w:val="clear"/>
            <w:tcMar>
              <w:top w:type="dxa" w:w="60"/>
              <w:left w:type="dxa" w:w="110"/>
              <w:bottom w:type="dxa" w:w="60"/>
              <w:right w:type="dxa" w:w="110"/>
            </w:tcMar>
          </w:tcPr>
          <w:p>
            <w:pPr>
              <w:jc w:val="left"/>
            </w:pPr>
            <w:r>
              <w:rPr>
                <w:b/>
                <w:bCs/>
                <w:color w:val="FFFFFF"/>
              </w:rPr>
              <w:t xml:space="preserve">#</w:t>
            </w:r>
          </w:p>
        </w:tc>
        <w:tc>
          <w:tcPr>
            <w:tcW w:type="dxa" w:w="3050"/>
            <w:tcBorders>
              <w:top w:val="single" w:color="CCCCCC" w:sz="1"/>
              <w:left w:val="single" w:color="CCCCCC" w:sz="1"/>
              <w:bottom w:val="single" w:color="CCCCCC" w:sz="1"/>
              <w:right w:val="single" w:color="CCCCCC" w:sz="1"/>
            </w:tcBorders>
            <w:shd w:fill="C0392B" w:val="clear"/>
            <w:tcMar>
              <w:top w:type="dxa" w:w="60"/>
              <w:left w:type="dxa" w:w="110"/>
              <w:bottom w:type="dxa" w:w="60"/>
              <w:right w:type="dxa" w:w="110"/>
            </w:tcMar>
          </w:tcPr>
          <w:p>
            <w:pPr>
              <w:jc w:val="left"/>
            </w:pPr>
            <w:r>
              <w:rPr>
                <w:b/>
                <w:bCs/>
                <w:color w:val="FFFFFF"/>
              </w:rPr>
              <w:t xml:space="preserve">Acción</w:t>
            </w:r>
          </w:p>
        </w:tc>
        <w:tc>
          <w:tcPr>
            <w:tcW w:type="dxa" w:w="620"/>
            <w:tcBorders>
              <w:top w:val="single" w:color="CCCCCC" w:sz="1"/>
              <w:left w:val="single" w:color="CCCCCC" w:sz="1"/>
              <w:bottom w:val="single" w:color="CCCCCC" w:sz="1"/>
              <w:right w:val="single" w:color="CCCCCC" w:sz="1"/>
            </w:tcBorders>
            <w:shd w:fill="C0392B" w:val="clear"/>
            <w:tcMar>
              <w:top w:type="dxa" w:w="60"/>
              <w:left w:type="dxa" w:w="110"/>
              <w:bottom w:type="dxa" w:w="60"/>
              <w:right w:type="dxa" w:w="110"/>
            </w:tcMar>
          </w:tcPr>
          <w:p>
            <w:pPr>
              <w:jc w:val="left"/>
            </w:pPr>
            <w:r>
              <w:rPr>
                <w:b/>
                <w:bCs/>
                <w:color w:val="FFFFFF"/>
              </w:rPr>
              <w:t xml:space="preserve">Fase</w:t>
            </w:r>
          </w:p>
        </w:tc>
        <w:tc>
          <w:tcPr>
            <w:tcW w:type="dxa" w:w="1300"/>
            <w:tcBorders>
              <w:top w:val="single" w:color="CCCCCC" w:sz="1"/>
              <w:left w:val="single" w:color="CCCCCC" w:sz="1"/>
              <w:bottom w:val="single" w:color="CCCCCC" w:sz="1"/>
              <w:right w:val="single" w:color="CCCCCC" w:sz="1"/>
            </w:tcBorders>
            <w:shd w:fill="C0392B" w:val="clear"/>
            <w:tcMar>
              <w:top w:type="dxa" w:w="60"/>
              <w:left w:type="dxa" w:w="110"/>
              <w:bottom w:type="dxa" w:w="60"/>
              <w:right w:type="dxa" w:w="110"/>
            </w:tcMar>
          </w:tcPr>
          <w:p>
            <w:pPr>
              <w:jc w:val="left"/>
            </w:pPr>
            <w:r>
              <w:rPr>
                <w:b/>
                <w:bCs/>
                <w:color w:val="FFFFFF"/>
              </w:rPr>
              <w:t xml:space="preserve">Impacto</w:t>
            </w:r>
          </w:p>
        </w:tc>
        <w:tc>
          <w:tcPr>
            <w:tcW w:type="dxa" w:w="1250"/>
            <w:tcBorders>
              <w:top w:val="single" w:color="CCCCCC" w:sz="1"/>
              <w:left w:val="single" w:color="CCCCCC" w:sz="1"/>
              <w:bottom w:val="single" w:color="CCCCCC" w:sz="1"/>
              <w:right w:val="single" w:color="CCCCCC" w:sz="1"/>
            </w:tcBorders>
            <w:shd w:fill="C0392B" w:val="clear"/>
            <w:tcMar>
              <w:top w:type="dxa" w:w="60"/>
              <w:left w:type="dxa" w:w="110"/>
              <w:bottom w:type="dxa" w:w="60"/>
              <w:right w:type="dxa" w:w="110"/>
            </w:tcMar>
          </w:tcPr>
          <w:p>
            <w:pPr>
              <w:jc w:val="left"/>
            </w:pPr>
            <w:r>
              <w:rPr>
                <w:b/>
                <w:bCs/>
                <w:color w:val="FFFFFF"/>
              </w:rPr>
              <w:t xml:space="preserve">Esfuerzo</w:t>
            </w:r>
          </w:p>
        </w:tc>
        <w:tc>
          <w:tcPr>
            <w:tcW w:type="dxa" w:w="1100"/>
            <w:tcBorders>
              <w:top w:val="single" w:color="CCCCCC" w:sz="1"/>
              <w:left w:val="single" w:color="CCCCCC" w:sz="1"/>
              <w:bottom w:val="single" w:color="CCCCCC" w:sz="1"/>
              <w:right w:val="single" w:color="CCCCCC" w:sz="1"/>
            </w:tcBorders>
            <w:shd w:fill="C0392B" w:val="clear"/>
            <w:tcMar>
              <w:top w:type="dxa" w:w="60"/>
              <w:left w:type="dxa" w:w="110"/>
              <w:bottom w:type="dxa" w:w="60"/>
              <w:right w:type="dxa" w:w="110"/>
            </w:tcMar>
          </w:tcPr>
          <w:p>
            <w:pPr>
              <w:jc w:val="left"/>
            </w:pPr>
            <w:r>
              <w:rPr>
                <w:b/>
                <w:bCs/>
                <w:color w:val="FFFFFF"/>
              </w:rPr>
              <w:t xml:space="preserve">Ratio</w:t>
            </w:r>
          </w:p>
        </w:tc>
        <w:tc>
          <w:tcPr>
            <w:tcW w:type="dxa" w:w="1610"/>
            <w:tcBorders>
              <w:top w:val="single" w:color="CCCCCC" w:sz="1"/>
              <w:left w:val="single" w:color="CCCCCC" w:sz="1"/>
              <w:bottom w:val="single" w:color="CCCCCC" w:sz="1"/>
              <w:right w:val="single" w:color="CCCCCC" w:sz="1"/>
            </w:tcBorders>
            <w:shd w:fill="C0392B" w:val="clear"/>
            <w:tcMar>
              <w:top w:type="dxa" w:w="60"/>
              <w:left w:type="dxa" w:w="110"/>
              <w:bottom w:type="dxa" w:w="60"/>
              <w:right w:type="dxa" w:w="110"/>
            </w:tcMar>
          </w:tcPr>
          <w:p>
            <w:pPr>
              <w:jc w:val="left"/>
            </w:pPr>
            <w:r>
              <w:rPr>
                <w:b/>
                <w:bCs/>
                <w:color w:val="FFFFFF"/>
              </w:rPr>
              <w:t xml:space="preserve">Horizonte</w:t>
            </w:r>
          </w:p>
        </w:tc>
      </w:tr>
      <w:tr>
        <w:tc>
          <w:tcPr>
            <w:tcW w:type="dxa" w:w="43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color w:val="1A1A1A"/>
              </w:rPr>
              <w:t xml:space="preserve">1</w:t>
            </w:r>
          </w:p>
        </w:tc>
        <w:tc>
          <w:tcPr>
            <w:tcW w:type="dxa" w:w="30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color w:val="1A1A1A"/>
              </w:rPr>
              <w:t xml:space="preserve">Diagnosticar y frenar la caída -14%</w:t>
            </w:r>
          </w:p>
        </w:tc>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color w:val="1A1A1A"/>
              </w:rPr>
              <w:t xml:space="preserve">0</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E7B34"/>
              </w:rPr>
              <w:t xml:space="preserve">Alto</w:t>
            </w:r>
          </w:p>
        </w:tc>
        <w:tc>
          <w:tcPr>
            <w:tcW w:type="dxa" w:w="12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color w:val="555555"/>
              </w:rPr>
              <w:t xml:space="preserve">Bajo</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E7B34"/>
              </w:rPr>
              <w:t xml:space="preserve">★★★★★</w:t>
            </w:r>
          </w:p>
        </w:tc>
        <w:tc>
          <w:tcPr>
            <w:tcW w:type="dxa" w:w="16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t xml:space="preserve">Semana 1</w:t>
            </w:r>
          </w:p>
        </w:tc>
      </w:tr>
      <w:tr>
        <w:tc>
          <w:tcPr>
            <w:tcW w:type="dxa" w:w="43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color w:val="1A1A1A"/>
              </w:rPr>
              <w:t xml:space="preserve">2</w:t>
            </w:r>
          </w:p>
        </w:tc>
        <w:tc>
          <w:tcPr>
            <w:tcW w:type="dxa" w:w="305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color w:val="1A1A1A"/>
              </w:rPr>
              <w:t xml:space="preserve">CRO directorio → cotización</w:t>
            </w:r>
          </w:p>
        </w:tc>
        <w:tc>
          <w:tcPr>
            <w:tcW w:type="dxa" w:w="62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center"/>
            </w:pPr>
            <w:r>
              <w:rPr>
                <w:b/>
                <w:bCs/>
                <w:color w:val="1E7B34"/>
              </w:rPr>
              <w:t xml:space="preserve">7</w:t>
            </w:r>
          </w:p>
        </w:tc>
        <w:tc>
          <w:tcPr>
            <w:tcW w:type="dxa" w:w="13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center"/>
            </w:pPr>
            <w:r>
              <w:rPr>
                <w:b/>
                <w:bCs/>
                <w:color w:val="1E7B34"/>
              </w:rPr>
              <w:t xml:space="preserve">Alto</w:t>
            </w:r>
          </w:p>
        </w:tc>
        <w:tc>
          <w:tcPr>
            <w:tcW w:type="dxa" w:w="125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center"/>
            </w:pPr>
            <w:r>
              <w:rPr>
                <w:color w:val="555555"/>
              </w:rPr>
              <w:t xml:space="preserve">Bajo-Med</w:t>
            </w:r>
          </w:p>
        </w:tc>
        <w:tc>
          <w:tcPr>
            <w:tcW w:type="dxa" w:w="11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center"/>
            </w:pPr>
            <w:r>
              <w:rPr>
                <w:b/>
                <w:bCs/>
                <w:color w:val="1E7B34"/>
              </w:rPr>
              <w:t xml:space="preserve">★★★★★</w:t>
            </w:r>
          </w:p>
        </w:tc>
        <w:tc>
          <w:tcPr>
            <w:tcW w:type="dxa" w:w="161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center"/>
            </w:pPr>
            <w:r>
              <w:t xml:space="preserve">Sem 2-6</w:t>
            </w:r>
          </w:p>
        </w:tc>
      </w:tr>
      <w:tr>
        <w:tc>
          <w:tcPr>
            <w:tcW w:type="dxa" w:w="43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color w:val="1A1A1A"/>
              </w:rPr>
              <w:t xml:space="preserve">3</w:t>
            </w:r>
          </w:p>
        </w:tc>
        <w:tc>
          <w:tcPr>
            <w:tcW w:type="dxa" w:w="30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color w:val="1A1A1A"/>
              </w:rPr>
              <w:t xml:space="preserve">Acortar ~1,230 title tags del directorio</w:t>
            </w:r>
          </w:p>
        </w:tc>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color w:val="1A1A1A"/>
              </w:rPr>
              <w:t xml:space="preserve">3</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color w:val="B7791F"/>
              </w:rPr>
              <w:t xml:space="preserve">Medio-Alto</w:t>
            </w:r>
          </w:p>
        </w:tc>
        <w:tc>
          <w:tcPr>
            <w:tcW w:type="dxa" w:w="12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color w:val="555555"/>
              </w:rPr>
              <w:t xml:space="preserve">Bajo</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E7B34"/>
              </w:rPr>
              <w:t xml:space="preserve">★★★★★</w:t>
            </w:r>
          </w:p>
        </w:tc>
        <w:tc>
          <w:tcPr>
            <w:tcW w:type="dxa" w:w="16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t xml:space="preserve">Sem 1-2</w:t>
            </w:r>
          </w:p>
        </w:tc>
      </w:tr>
      <w:tr>
        <w:tc>
          <w:tcPr>
            <w:tcW w:type="dxa" w:w="43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color w:val="1A1A1A"/>
              </w:rPr>
              <w:t xml:space="preserve">4</w:t>
            </w:r>
          </w:p>
        </w:tc>
        <w:tc>
          <w:tcPr>
            <w:tcW w:type="dxa" w:w="305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color w:val="1A1A1A"/>
              </w:rPr>
              <w:t xml:space="preserve">Validar/blindar schema de producto</w:t>
            </w:r>
          </w:p>
        </w:tc>
        <w:tc>
          <w:tcPr>
            <w:tcW w:type="dxa" w:w="62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center"/>
            </w:pPr>
            <w:r>
              <w:rPr>
                <w:b/>
                <w:bCs/>
                <w:color w:val="1E7B34"/>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center"/>
            </w:pPr>
            <w:r>
              <w:rPr>
                <w:color w:val="B7791F"/>
              </w:rPr>
              <w:t xml:space="preserve">Medio</w:t>
            </w:r>
          </w:p>
        </w:tc>
        <w:tc>
          <w:tcPr>
            <w:tcW w:type="dxa" w:w="125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center"/>
            </w:pPr>
            <w:r>
              <w:rPr>
                <w:color w:val="555555"/>
              </w:rPr>
              <w:t xml:space="preserve">Bajo</w:t>
            </w:r>
          </w:p>
        </w:tc>
        <w:tc>
          <w:tcPr>
            <w:tcW w:type="dxa" w:w="11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center"/>
            </w:pPr>
            <w:r>
              <w:rPr>
                <w:b/>
                <w:bCs/>
                <w:color w:val="1E7B34"/>
              </w:rPr>
              <w:t xml:space="preserve">★★★★</w:t>
            </w:r>
          </w:p>
        </w:tc>
        <w:tc>
          <w:tcPr>
            <w:tcW w:type="dxa" w:w="161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center"/>
            </w:pPr>
            <w:r>
              <w:t xml:space="preserve">Sem 1-2</w:t>
            </w:r>
          </w:p>
        </w:tc>
      </w:tr>
      <w:tr>
        <w:tc>
          <w:tcPr>
            <w:tcW w:type="dxa" w:w="43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color w:val="1A1A1A"/>
              </w:rPr>
              <w:t xml:space="preserve">5</w:t>
            </w:r>
          </w:p>
        </w:tc>
        <w:tc>
          <w:tcPr>
            <w:tcW w:type="dxa" w:w="30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color w:val="1A1A1A"/>
              </w:rPr>
              <w:t xml:space="preserve">Unificar sitemaps / saneamiento</w:t>
            </w:r>
          </w:p>
        </w:tc>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color w:val="1A1A1A"/>
              </w:rPr>
              <w:t xml:space="preserve">4</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color w:val="555555"/>
              </w:rPr>
              <w:t xml:space="preserve">Bajo-Med</w:t>
            </w:r>
          </w:p>
        </w:tc>
        <w:tc>
          <w:tcPr>
            <w:tcW w:type="dxa" w:w="12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color w:val="555555"/>
              </w:rPr>
              <w:t xml:space="preserve">Bajo</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E7B34"/>
              </w:rPr>
              <w:t xml:space="preserve">★★★★</w:t>
            </w:r>
          </w:p>
        </w:tc>
        <w:tc>
          <w:tcPr>
            <w:tcW w:type="dxa" w:w="16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t xml:space="preserve">Sem 1-2</w:t>
            </w:r>
          </w:p>
        </w:tc>
      </w:tr>
      <w:tr>
        <w:tc>
          <w:tcPr>
            <w:tcW w:type="dxa" w:w="43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color w:val="1A1A1A"/>
              </w:rPr>
              <w:t xml:space="preserve">6</w:t>
            </w:r>
          </w:p>
        </w:tc>
        <w:tc>
          <w:tcPr>
            <w:tcW w:type="dxa" w:w="305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color w:val="1A1A1A"/>
              </w:rPr>
              <w:t xml:space="preserve">Keywords en posiciones 11-20</w:t>
            </w:r>
          </w:p>
        </w:tc>
        <w:tc>
          <w:tcPr>
            <w:tcW w:type="dxa" w:w="62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color w:val="1A1A1A"/>
              </w:rPr>
              <w:t xml:space="preserve">2</w:t>
            </w:r>
          </w:p>
        </w:tc>
        <w:tc>
          <w:tcPr>
            <w:tcW w:type="dxa" w:w="13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center"/>
            </w:pPr>
            <w:r>
              <w:rPr>
                <w:b/>
                <w:bCs/>
                <w:color w:val="1E7B34"/>
              </w:rPr>
              <w:t xml:space="preserve">Alto</w:t>
            </w:r>
          </w:p>
        </w:tc>
        <w:tc>
          <w:tcPr>
            <w:tcW w:type="dxa" w:w="125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center"/>
            </w:pPr>
            <w:r>
              <w:rPr>
                <w:color w:val="B7791F"/>
              </w:rPr>
              <w:t xml:space="preserve">Medio</w:t>
            </w:r>
          </w:p>
        </w:tc>
        <w:tc>
          <w:tcPr>
            <w:tcW w:type="dxa" w:w="11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center"/>
            </w:pPr>
            <w:r>
              <w:rPr>
                <w:b/>
                <w:bCs/>
                <w:color w:val="1E7B34"/>
              </w:rPr>
              <w:t xml:space="preserve">★★★★</w:t>
            </w:r>
          </w:p>
        </w:tc>
        <w:tc>
          <w:tcPr>
            <w:tcW w:type="dxa" w:w="161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center"/>
            </w:pPr>
            <w:r>
              <w:t xml:space="preserve">1-3 meses</w:t>
            </w:r>
          </w:p>
        </w:tc>
      </w:tr>
      <w:tr>
        <w:tc>
          <w:tcPr>
            <w:tcW w:type="dxa" w:w="43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color w:val="1A1A1A"/>
              </w:rPr>
              <w:t xml:space="preserve">7</w:t>
            </w:r>
          </w:p>
        </w:tc>
        <w:tc>
          <w:tcPr>
            <w:tcW w:type="dxa" w:w="30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color w:val="1A1A1A"/>
              </w:rPr>
              <w:t xml:space="preserve">GEO/AEO + resolver robots.txt</w:t>
            </w:r>
          </w:p>
        </w:tc>
        <w:tc>
          <w:tcPr>
            <w:tcW w:type="dxa" w:w="62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center"/>
            </w:pPr>
            <w:r>
              <w:rPr>
                <w:b/>
                <w:bCs/>
                <w:color w:val="1E7B34"/>
              </w:rPr>
              <w:t xml:space="preserve">9</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color w:val="B7791F"/>
              </w:rPr>
              <w:t xml:space="preserve">Medio-Alto</w:t>
            </w:r>
          </w:p>
        </w:tc>
        <w:tc>
          <w:tcPr>
            <w:tcW w:type="dxa" w:w="12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color w:val="555555"/>
              </w:rPr>
              <w:t xml:space="preserve">Bajo/Med</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E7B34"/>
              </w:rPr>
              <w:t xml:space="preserve">★★★★</w:t>
            </w:r>
          </w:p>
        </w:tc>
        <w:tc>
          <w:tcPr>
            <w:tcW w:type="dxa" w:w="16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t xml:space="preserve">Medio</w:t>
            </w:r>
          </w:p>
        </w:tc>
      </w:tr>
      <w:tr>
        <w:tc>
          <w:tcPr>
            <w:tcW w:type="dxa" w:w="43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color w:val="1A1A1A"/>
              </w:rPr>
              <w:t xml:space="preserve">8</w:t>
            </w:r>
          </w:p>
        </w:tc>
        <w:tc>
          <w:tcPr>
            <w:tcW w:type="dxa" w:w="305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color w:val="1A1A1A"/>
              </w:rPr>
              <w:t xml:space="preserve">Calidad: thin pages + facetas</w:t>
            </w:r>
          </w:p>
        </w:tc>
        <w:tc>
          <w:tcPr>
            <w:tcW w:type="dxa" w:w="62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center"/>
            </w:pPr>
            <w:r>
              <w:rPr>
                <w:b/>
                <w:bCs/>
                <w:color w:val="1E7B34"/>
              </w:rPr>
              <w:t xml:space="preserve">11</w:t>
            </w:r>
          </w:p>
        </w:tc>
        <w:tc>
          <w:tcPr>
            <w:tcW w:type="dxa" w:w="13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center"/>
            </w:pPr>
            <w:r>
              <w:rPr>
                <w:color w:val="B7791F"/>
              </w:rPr>
              <w:t xml:space="preserve">Medio-Alto</w:t>
            </w:r>
          </w:p>
        </w:tc>
        <w:tc>
          <w:tcPr>
            <w:tcW w:type="dxa" w:w="125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center"/>
            </w:pPr>
            <w:r>
              <w:rPr>
                <w:color w:val="B7791F"/>
              </w:rPr>
              <w:t xml:space="preserve">Medio</w:t>
            </w:r>
          </w:p>
        </w:tc>
        <w:tc>
          <w:tcPr>
            <w:tcW w:type="dxa" w:w="11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center"/>
            </w:pPr>
            <w:r>
              <w:rPr>
                <w:color w:val="B7791F"/>
              </w:rPr>
              <w:t xml:space="preserve">★★★</w:t>
            </w:r>
          </w:p>
        </w:tc>
        <w:tc>
          <w:tcPr>
            <w:tcW w:type="dxa" w:w="161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center"/>
            </w:pPr>
            <w:r>
              <w:t xml:space="preserve">Medio</w:t>
            </w:r>
          </w:p>
        </w:tc>
      </w:tr>
      <w:tr>
        <w:tc>
          <w:tcPr>
            <w:tcW w:type="dxa" w:w="43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color w:val="1A1A1A"/>
              </w:rPr>
              <w:t xml:space="preserve">9</w:t>
            </w:r>
          </w:p>
        </w:tc>
        <w:tc>
          <w:tcPr>
            <w:tcW w:type="dxa" w:w="30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color w:val="1A1A1A"/>
              </w:rPr>
              <w:t xml:space="preserve">SEO local / Google Business Profile</w:t>
            </w:r>
          </w:p>
        </w:tc>
        <w:tc>
          <w:tcPr>
            <w:tcW w:type="dxa" w:w="62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center"/>
            </w:pPr>
            <w:r>
              <w:rPr>
                <w:b/>
                <w:bCs/>
                <w:color w:val="1E7B34"/>
              </w:rPr>
              <w:t xml:space="preserve">10</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color w:val="B7791F"/>
              </w:rPr>
              <w:t xml:space="preserve">Medio</w:t>
            </w:r>
          </w:p>
        </w:tc>
        <w:tc>
          <w:tcPr>
            <w:tcW w:type="dxa" w:w="12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color w:val="B7791F"/>
              </w:rPr>
              <w:t xml:space="preserve">Medio</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color w:val="B7791F"/>
              </w:rPr>
              <w:t xml:space="preserve">★★★</w:t>
            </w:r>
          </w:p>
        </w:tc>
        <w:tc>
          <w:tcPr>
            <w:tcW w:type="dxa" w:w="16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t xml:space="preserve">Corto-Med</w:t>
            </w:r>
          </w:p>
        </w:tc>
      </w:tr>
      <w:tr>
        <w:tc>
          <w:tcPr>
            <w:tcW w:type="dxa" w:w="43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color w:val="1A1A1A"/>
              </w:rPr>
              <w:t xml:space="preserve">10</w:t>
            </w:r>
          </w:p>
        </w:tc>
        <w:tc>
          <w:tcPr>
            <w:tcW w:type="dxa" w:w="305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color w:val="1A1A1A"/>
              </w:rPr>
              <w:t xml:space="preserve">Página pilar nacional “bomberos”</w:t>
            </w:r>
          </w:p>
        </w:tc>
        <w:tc>
          <w:tcPr>
            <w:tcW w:type="dxa" w:w="62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color w:val="1A1A1A"/>
              </w:rPr>
              <w:t xml:space="preserve">1</w:t>
            </w:r>
          </w:p>
        </w:tc>
        <w:tc>
          <w:tcPr>
            <w:tcW w:type="dxa" w:w="13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center"/>
            </w:pPr>
            <w:r>
              <w:rPr>
                <w:b/>
                <w:bCs/>
                <w:color w:val="1E7B34"/>
              </w:rPr>
              <w:t xml:space="preserve">Alto</w:t>
            </w:r>
          </w:p>
        </w:tc>
        <w:tc>
          <w:tcPr>
            <w:tcW w:type="dxa" w:w="125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center"/>
            </w:pPr>
            <w:r>
              <w:rPr>
                <w:b/>
                <w:bCs/>
                <w:color w:val="1E7B34"/>
              </w:rPr>
              <w:t xml:space="preserve">Alto</w:t>
            </w:r>
          </w:p>
        </w:tc>
        <w:tc>
          <w:tcPr>
            <w:tcW w:type="dxa" w:w="11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center"/>
            </w:pPr>
            <w:r>
              <w:rPr>
                <w:color w:val="B7791F"/>
              </w:rPr>
              <w:t xml:space="preserve">★★★</w:t>
            </w:r>
          </w:p>
        </w:tc>
        <w:tc>
          <w:tcPr>
            <w:tcW w:type="dxa" w:w="161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center"/>
            </w:pPr>
            <w:r>
              <w:t xml:space="preserve">3-5 meses</w:t>
            </w:r>
          </w:p>
        </w:tc>
      </w:tr>
      <w:tr>
        <w:tc>
          <w:tcPr>
            <w:tcW w:type="dxa" w:w="43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color w:val="1A1A1A"/>
              </w:rPr>
              <w:t xml:space="preserve">11</w:t>
            </w:r>
          </w:p>
        </w:tc>
        <w:tc>
          <w:tcPr>
            <w:tcW w:type="dxa" w:w="30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color w:val="1A1A1A"/>
              </w:rPr>
              <w:t xml:space="preserve">Búsqueda interna + UX</w:t>
            </w:r>
          </w:p>
        </w:tc>
        <w:tc>
          <w:tcPr>
            <w:tcW w:type="dxa" w:w="62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center"/>
            </w:pPr>
            <w:r>
              <w:rPr>
                <w:b/>
                <w:bCs/>
                <w:color w:val="1E7B34"/>
              </w:rPr>
              <w:t xml:space="preserve">12</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color w:val="B7791F"/>
              </w:rPr>
              <w:t xml:space="preserve">Medio</w:t>
            </w:r>
          </w:p>
        </w:tc>
        <w:tc>
          <w:tcPr>
            <w:tcW w:type="dxa" w:w="12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color w:val="B7791F"/>
              </w:rPr>
              <w:t xml:space="preserve">Medio</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color w:val="B7791F"/>
              </w:rPr>
              <w:t xml:space="preserve">★★★</w:t>
            </w:r>
          </w:p>
        </w:tc>
        <w:tc>
          <w:tcPr>
            <w:tcW w:type="dxa" w:w="16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t xml:space="preserve">Medio</w:t>
            </w:r>
          </w:p>
        </w:tc>
      </w:tr>
      <w:tr>
        <w:tc>
          <w:tcPr>
            <w:tcW w:type="dxa" w:w="43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color w:val="1A1A1A"/>
              </w:rPr>
              <w:t xml:space="preserve">12</w:t>
            </w:r>
          </w:p>
        </w:tc>
        <w:tc>
          <w:tcPr>
            <w:tcW w:type="dxa" w:w="305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color w:val="1A1A1A"/>
              </w:rPr>
              <w:t xml:space="preserve">Blog por ciudad (18 ciudades)</w:t>
            </w:r>
          </w:p>
        </w:tc>
        <w:tc>
          <w:tcPr>
            <w:tcW w:type="dxa" w:w="62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color w:val="1A1A1A"/>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center"/>
            </w:pPr>
            <w:r>
              <w:rPr>
                <w:color w:val="B7791F"/>
              </w:rPr>
              <w:t xml:space="preserve">Medio-Alto</w:t>
            </w:r>
          </w:p>
        </w:tc>
        <w:tc>
          <w:tcPr>
            <w:tcW w:type="dxa" w:w="125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center"/>
            </w:pPr>
            <w:r>
              <w:rPr>
                <w:b/>
                <w:bCs/>
                <w:color w:val="1E7B34"/>
              </w:rPr>
              <w:t xml:space="preserve">Alto</w:t>
            </w:r>
          </w:p>
        </w:tc>
        <w:tc>
          <w:tcPr>
            <w:tcW w:type="dxa" w:w="11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center"/>
            </w:pPr>
            <w:r>
              <w:rPr>
                <w:color w:val="B7791F"/>
              </w:rPr>
              <w:t xml:space="preserve">★★★</w:t>
            </w:r>
          </w:p>
        </w:tc>
        <w:tc>
          <w:tcPr>
            <w:tcW w:type="dxa" w:w="161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center"/>
            </w:pPr>
            <w:r>
              <w:t xml:space="preserve">4+ meses</w:t>
            </w:r>
          </w:p>
        </w:tc>
      </w:tr>
      <w:tr>
        <w:tc>
          <w:tcPr>
            <w:tcW w:type="dxa" w:w="43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color w:val="1A1A1A"/>
              </w:rPr>
              <w:t xml:space="preserve">13</w:t>
            </w:r>
          </w:p>
        </w:tc>
        <w:tc>
          <w:tcPr>
            <w:tcW w:type="dxa" w:w="30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color w:val="1A1A1A"/>
              </w:rPr>
              <w:t xml:space="preserve">Link building temático y ético</w:t>
            </w:r>
          </w:p>
        </w:tc>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color w:val="1A1A1A"/>
              </w:rPr>
              <w:t xml:space="preserve">6</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E7B34"/>
              </w:rPr>
              <w:t xml:space="preserve">Alto</w:t>
            </w:r>
          </w:p>
        </w:tc>
        <w:tc>
          <w:tcPr>
            <w:tcW w:type="dxa" w:w="12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E7B34"/>
              </w:rPr>
              <w:t xml:space="preserve">Alto</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color w:val="B7791F"/>
              </w:rPr>
              <w:t xml:space="preserve">★★★</w:t>
            </w:r>
          </w:p>
        </w:tc>
        <w:tc>
          <w:tcPr>
            <w:tcW w:type="dxa" w:w="16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t xml:space="preserve">6-9 meses</w:t>
            </w:r>
          </w:p>
        </w:tc>
      </w:tr>
      <w:tr>
        <w:tc>
          <w:tcPr>
            <w:tcW w:type="dxa" w:w="43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color w:val="1A1A1A"/>
              </w:rPr>
              <w:t xml:space="preserve">14</w:t>
            </w:r>
          </w:p>
        </w:tc>
        <w:tc>
          <w:tcPr>
            <w:tcW w:type="dxa" w:w="305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left"/>
            </w:pPr>
            <w:r>
              <w:rPr>
                <w:color w:val="1A1A1A"/>
              </w:rPr>
              <w:t xml:space="preserve">Activo de datos recurrente (PR)</w:t>
            </w:r>
          </w:p>
        </w:tc>
        <w:tc>
          <w:tcPr>
            <w:tcW w:type="dxa" w:w="62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center"/>
            </w:pPr>
            <w:r>
              <w:rPr>
                <w:b/>
                <w:bCs/>
                <w:color w:val="1E7B34"/>
              </w:rPr>
              <w:t xml:space="preserve">13</w:t>
            </w:r>
          </w:p>
        </w:tc>
        <w:tc>
          <w:tcPr>
            <w:tcW w:type="dxa" w:w="13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center"/>
            </w:pPr>
            <w:r>
              <w:rPr>
                <w:b/>
                <w:bCs/>
                <w:color w:val="1E7B34"/>
              </w:rPr>
              <w:t xml:space="preserve">Alto</w:t>
            </w:r>
          </w:p>
        </w:tc>
        <w:tc>
          <w:tcPr>
            <w:tcW w:type="dxa" w:w="125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center"/>
            </w:pPr>
            <w:r>
              <w:rPr>
                <w:b/>
                <w:bCs/>
                <w:color w:val="1E7B34"/>
              </w:rPr>
              <w:t xml:space="preserve">Alto</w:t>
            </w:r>
          </w:p>
        </w:tc>
        <w:tc>
          <w:tcPr>
            <w:tcW w:type="dxa" w:w="11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center"/>
            </w:pPr>
            <w:r>
              <w:rPr>
                <w:color w:val="B7791F"/>
              </w:rPr>
              <w:t xml:space="preserve">★★★</w:t>
            </w:r>
          </w:p>
        </w:tc>
        <w:tc>
          <w:tcPr>
            <w:tcW w:type="dxa" w:w="161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jc w:val="center"/>
            </w:pPr>
            <w:r>
              <w:t xml:space="preserve">Anual</w:t>
            </w:r>
          </w:p>
        </w:tc>
      </w:tr>
    </w:tbl>
    <w:p>
      <w:pPr>
        <w:spacing w:after="80"/>
      </w:pPr>
    </w:p>
    <w:p>
      <w:pPr>
        <w:pStyle w:val="Heading2"/>
      </w:pPr>
      <w:r>
        <w:t xml:space="preserve">Hoja de ruta consolidada</w:t>
      </w:r>
    </w:p>
    <w:p>
      <w:pPr>
        <w:pStyle w:val="ListParagraph"/>
        <w:numPr>
          <w:ilvl w:val="0"/>
          <w:numId w:val="3"/>
        </w:numPr>
        <w:spacing w:after="60" w:line="270"/>
      </w:pPr>
      <w:r>
        <w:t xml:space="preserve">Semana 1-2 (quick wins): Fase 0 + Fase 3 + Fase 4 + Fase 8 + arranque Fase 7. Recuperación, higiene y monetización inmediata.</w:t>
      </w:r>
    </w:p>
    <w:p>
      <w:pPr>
        <w:pStyle w:val="ListParagraph"/>
        <w:numPr>
          <w:ilvl w:val="0"/>
          <w:numId w:val="3"/>
        </w:numPr>
        <w:spacing w:after="60" w:line="270"/>
      </w:pPr>
      <w:r>
        <w:t xml:space="preserve">Mes 1-2: Fase 7 a fondo + Fase 2 (11-20) + Fase 9 (decisión robots + llms) + Fase 10 (GBP).</w:t>
      </w:r>
    </w:p>
    <w:p>
      <w:pPr>
        <w:pStyle w:val="ListParagraph"/>
        <w:numPr>
          <w:ilvl w:val="0"/>
          <w:numId w:val="3"/>
        </w:numPr>
        <w:spacing w:after="60" w:line="270"/>
      </w:pPr>
      <w:r>
        <w:t xml:space="preserve">Mes 2-4: Fase 1 (pilar) + Fase 11 (calidad/facetas) + Fase 5 (blog) + Fase 12 (UX).</w:t>
      </w:r>
    </w:p>
    <w:p>
      <w:pPr>
        <w:pStyle w:val="ListParagraph"/>
        <w:numPr>
          <w:ilvl w:val="0"/>
          <w:numId w:val="3"/>
        </w:numPr>
        <w:spacing w:after="60" w:line="270"/>
      </w:pPr>
      <w:r>
        <w:t xml:space="preserve">Mes 4+: Fase 6 y Fase 13 (autoridad y datos) de forma continua.</w:t>
      </w:r>
    </w:p>
    <w:p>
      <w:pPr>
        <w:spacing w:after="80"/>
      </w:pPr>
    </w:p>
    <w:p>
      <w:pPr>
        <w:spacing w:after="120" w:line="276"/>
      </w:pPr>
      <w:r>
        <w:rPr>
          <w:b/>
          <w:bCs/>
          <w:color w:val="C0392B"/>
        </w:rPr>
        <w:t xml:space="preserve">Preservación: </w:t>
      </w:r>
      <w:r>
        <w:t xml:space="preserve">ninguna acción rompe el schema, canonical ni la estructura que funciona. robots.txt solo se toca si el negocio decide la dirección GEO (Fase 9). Todo lo demás es aditivo o sobre contenido, titles, sitemaps y conversión.</w:t>
      </w:r>
    </w:p>
    <w:p>
      <w:pPr>
        <w:spacing w:after="120" w:line="276"/>
      </w:pPr>
      <w:r>
        <w:rPr>
          <w:i/>
          <w:iCs/>
          <w:color w:val="555555"/>
        </w:rPr>
        <w:t xml:space="preserve">Datos que dependen de tus paneles/decisiones: baseline de cotizaciones (Fase 7), autenticidad de reseñas (Fase 8), dirección GEO (Fase 9) y datos del directorio para el informe (Fase 13).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55555"/>
        <w:sz w:val="16"/>
        <w:szCs w:val="16"/>
      </w:rPr>
      <w:t xml:space="preserve">Confidencial · Consultoría SEO técnica</w:t>
    </w:r>
    <w:r>
      <w:rPr>
        <w:color w:val="555555"/>
        <w:sz w:val="16"/>
        <w:szCs w:val="16"/>
      </w:rPr>
      <w:t xml:space="preserve">	Página </w:t>
    </w:r>
    <w:r>
      <w:rPr>
        <w:color w:val="555555"/>
        <w:sz w:val="16"/>
        <w:szCs w:val="16"/>
      </w:rPr>
      <w:fldChar w:fldCharType="begin"/>
      <w:instrText xml:space="preserve">PAGE</w:instrText>
      <w:fldChar w:fldCharType="separate"/>
      <w:fldChar w:fldCharType="end"/>
    </w:r>
    <w:r>
      <w:rPr>
        <w:color w:val="555555"/>
        <w:sz w:val="16"/>
        <w:szCs w:val="16"/>
      </w:rPr>
      <w:t xml:space="preserve"> de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pPr>
    <w:r>
      <w:rPr>
        <w:color w:val="555555"/>
        <w:sz w:val="16"/>
        <w:szCs w:val="16"/>
      </w:rPr>
      <w:t xml:space="preserve">Plan SEO · bombero.mx · Anexo Fases 7-13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392B" w:sz="4" w:space="4"/>
      </w:pBdr>
      <w:spacing w:after="160" w:before="240"/>
      <w:outlineLvl w:val="0"/>
    </w:pPr>
    <w:rPr>
      <w:rFonts w:ascii="Arial" w:cs="Arial" w:eastAsia="Arial" w:hAnsi="Arial"/>
      <w:b/>
      <w:bCs/>
      <w:color w:val="C0392B"/>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A1A1A"/>
      <w:sz w:val="25"/>
      <w:szCs w:val="25"/>
    </w:rPr>
  </w:style>
  <w:style w:type="paragraph" w:styleId="Heading3">
    <w:name w:val="Heading 3"/>
    <w:basedOn w:val="Normal"/>
    <w:next w:val="Normal"/>
    <w:qFormat/>
    <w:pPr>
      <w:spacing w:after="80" w:before="14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SEO bombero.mx — Anexo Fases 7-13</dc:title>
  <dc:creator>Consultoría SEO</dc:creator>
  <cp:lastModifiedBy>Un-named</cp:lastModifiedBy>
  <cp:revision>1</cp:revision>
  <dcterms:created xsi:type="dcterms:W3CDTF">2026-06-01T01:58:27.332Z</dcterms:created>
  <dcterms:modified xsi:type="dcterms:W3CDTF">2026-06-01T01:58:27.333Z</dcterms:modified>
</cp:coreProperties>
</file>

<file path=docProps/custom.xml><?xml version="1.0" encoding="utf-8"?>
<Properties xmlns="http://schemas.openxmlformats.org/officeDocument/2006/custom-properties" xmlns:vt="http://schemas.openxmlformats.org/officeDocument/2006/docPropsVTypes"/>
</file>