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DC3C7" w:sz="1"/>
              <w:left w:val="single" w:color="BDC3C7" w:sz="1"/>
              <w:bottom w:val="single" w:color="BDC3C7" w:sz="1"/>
              <w:right w:val="single" w:color="BDC3C7" w:sz="1"/>
            </w:tcBorders>
            <w:shd w:fill="C0392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ANÁLISIS DE CATÁLOGO</w:t>
            </w:r>
          </w:p>
        </w:tc>
      </w:tr>
      <w:tr>
        <w:tc>
          <w:tcPr>
            <w:tcW w:type="dxa" w:w="9360"/>
            <w:tcBorders>
              <w:top w:val="none" w:color="FFFFFF" w:sz="0"/>
              <w:left w:val="none" w:color="FFFFFF" w:sz="0"/>
              <w:bottom w:val="none" w:color="FFFFFF" w:sz="0"/>
              <w:right w:val="none" w:color="FFFFFF" w:sz="0"/>
            </w:tcBorders>
            <w:shd w:fill="2C3E50" w:val="clear"/>
            <w:tcMar>
              <w:top w:type="dxa" w:w="200"/>
              <w:left w:type="dxa" w:w="300"/>
              <w:bottom w:type="dxa" w:w="200"/>
              <w:right w:type="dxa" w:w="300"/>
            </w:tcMar>
          </w:tcPr>
          <w:p>
            <w:pPr>
              <w:jc w:val="center"/>
            </w:pPr>
            <w:r>
              <w:rPr>
                <w:rFonts w:ascii="Arial" w:cs="Arial" w:eastAsia="Arial" w:hAnsi="Arial"/>
                <w:b/>
                <w:bCs/>
                <w:color w:val="FFFFFF"/>
                <w:sz w:val="48"/>
                <w:szCs w:val="48"/>
              </w:rPr>
              <w:t xml:space="preserve">Extintores de Polvo Seco (PQS)</w:t>
            </w:r>
          </w:p>
        </w:tc>
      </w:tr>
      <w:tr>
        <w:tc>
          <w:tcPr>
            <w:tcW w:type="dxa" w:w="9360"/>
            <w:gridSpan w:val="1"/>
            <w:tcBorders>
              <w:top w:val="single" w:color="BDC3C7" w:sz="1"/>
              <w:left w:val="single" w:color="BDC3C7" w:sz="1"/>
              <w:bottom w:val="single" w:color="BDC3C7" w:sz="1"/>
              <w:right w:val="single" w:color="BDC3C7" w:sz="1"/>
            </w:tcBorders>
            <w:shd w:fill="C0392B" w:val="clear"/>
            <w:tcMar>
              <w:top w:type="dxa" w:w="100"/>
              <w:left w:type="dxa" w:w="150"/>
              <w:bottom w:type="dxa" w:w="100"/>
              <w:right w:type="dxa" w:w="150"/>
            </w:tcMar>
            <w:vAlign w:val="center"/>
          </w:tcPr>
          <w:p>
            <w:pPr>
              <w:jc w:val="center"/>
            </w:pPr>
            <w:r>
              <w:rPr>
                <w:rFonts w:ascii="Arial" w:cs="Arial" w:eastAsia="Arial" w:hAnsi="Arial"/>
                <w:b w:val="false"/>
                <w:bCs w:val="false"/>
                <w:color w:val="FFFFFF"/>
                <w:sz w:val="20"/>
                <w:szCs w:val="20"/>
              </w:rPr>
              <w:t xml:space="preserve">Oportunidades de Ampliación de Catálogo</w:t>
            </w:r>
          </w:p>
        </w:tc>
      </w:tr>
    </w:tbl>
    <w:p>
      <w:pPr>
        <w:spacing w:after="40" w:before="40"/>
      </w:pPr>
      <w:r>
        <w:t xml:space="preserve"/>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Empresa</w:t>
            </w:r>
          </w:p>
        </w:tc>
        <w:tc>
          <w:tcPr>
            <w:tcW w:type="dxa" w:w="468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Proyecto Red</w:t>
            </w:r>
          </w:p>
        </w:tc>
      </w:tr>
      <w:tr>
        <w:tc>
          <w:tcPr>
            <w:tcW w:type="dxa" w:w="468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Categoría analizada</w:t>
            </w:r>
          </w:p>
        </w:tc>
        <w:tc>
          <w:tcPr>
            <w:tcW w:type="dxa" w:w="468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Extintores — Polvo Seco (PQS/ABC)</w:t>
            </w:r>
          </w:p>
        </w:tc>
      </w:tr>
      <w:tr>
        <w:tc>
          <w:tcPr>
            <w:tcW w:type="dxa" w:w="468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Fecha del análisis</w:t>
            </w:r>
          </w:p>
        </w:tc>
        <w:tc>
          <w:tcPr>
            <w:tcW w:type="dxa" w:w="468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Abril 2026</w:t>
            </w:r>
          </w:p>
        </w:tc>
      </w:tr>
      <w:tr>
        <w:tc>
          <w:tcPr>
            <w:tcW w:type="dxa" w:w="468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Objetivo</w:t>
            </w:r>
          </w:p>
        </w:tc>
        <w:tc>
          <w:tcPr>
            <w:tcW w:type="dxa" w:w="468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Identificar brechas y ampliar catálogo con productos reales de proveedores</w:t>
            </w:r>
          </w:p>
        </w:tc>
      </w:tr>
      <w:tr>
        <w:tc>
          <w:tcPr>
            <w:tcW w:type="dxa" w:w="468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Fuentes consultadas</w:t>
            </w:r>
          </w:p>
        </w:tc>
        <w:tc>
          <w:tcPr>
            <w:tcW w:type="dxa" w:w="468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proyectored.com.mx · amerex-fire.com · NFPA 10 · NOM mexicanas</w:t>
            </w:r>
          </w:p>
        </w:tc>
      </w:tr>
    </w:tbl>
    <w:p>
      <w:pPr>
        <w:spacing w:after="40" w:before="40"/>
      </w:pPr>
      <w:r>
        <w:t xml:space="preserve"/>
      </w:r>
    </w:p>
    <w:p>
      <w:pPr>
        <w:spacing w:after="40" w:before="40"/>
      </w:pPr>
      <w:r>
        <w:t xml:space="preserve"/>
      </w:r>
    </w:p>
    <w:p>
      <w:pPr>
        <w:spacing w:after="40" w:before="40"/>
      </w:pPr>
      <w:r>
        <w:t xml:space="preserve"/>
      </w:r>
    </w:p>
    <w:p>
      <w:r>
        <w:br w:type="page"/>
      </w:r>
    </w:p>
    <w:p>
      <w:pPr>
        <w:pStyle w:val="Heading1"/>
        <w:shd w:fill="C0392B" w:val="clear"/>
        <w:spacing w:after="120" w:before="360"/>
        <w:ind w:left="360" w:right="360"/>
      </w:pPr>
      <w:r>
        <w:rPr>
          <w:rFonts w:ascii="Arial" w:cs="Arial" w:eastAsia="Arial" w:hAnsi="Arial"/>
          <w:b/>
          <w:bCs/>
          <w:color w:val="FFFFFF"/>
          <w:sz w:val="36"/>
          <w:szCs w:val="36"/>
        </w:rPr>
        <w:t xml:space="preserve">TABLA DE CONTENIDO</w:t>
      </w:r>
    </w:p>
    <w:p>
      <w:pPr>
        <w:spacing w:after="40" w:before="40"/>
      </w:pPr>
      <w:r>
        <w:t xml:space="preserve"/>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hd w:fill="C0392B" w:val="clear"/>
        <w:spacing w:after="120" w:before="360"/>
        <w:ind w:left="360" w:right="360"/>
      </w:pPr>
      <w:r>
        <w:rPr>
          <w:rFonts w:ascii="Arial" w:cs="Arial" w:eastAsia="Arial" w:hAnsi="Arial"/>
          <w:b/>
          <w:bCs/>
          <w:color w:val="FFFFFF"/>
          <w:sz w:val="36"/>
          <w:szCs w:val="36"/>
        </w:rPr>
        <w:t xml:space="preserve">1. RESUMEN EJECUTIVO</w:t>
      </w:r>
    </w:p>
    <w:p>
      <w:pPr>
        <w:spacing w:after="40" w:before="40"/>
      </w:pPr>
      <w:r>
        <w:t xml:space="preserve"/>
      </w:r>
    </w:p>
    <w:p>
      <w:pPr>
        <w:spacing w:after="80" w:before="80"/>
      </w:pPr>
      <w:r>
        <w:rPr>
          <w:rFonts w:ascii="Arial" w:cs="Arial" w:eastAsia="Arial" w:hAnsi="Arial"/>
          <w:color w:val="2C3E50"/>
          <w:sz w:val="22"/>
          <w:szCs w:val="22"/>
        </w:rPr>
        <w:t xml:space="preserve">El presente análisis tiene como objetivo mapear el catálogo actual de extintores de polvo seco (PQS) de Proyecto Red, compararlo contra el portafolio disponible en el mercado nacional e internacional, identificar brechas comerciales y proponer productos concretos para ampliar la oferta. El análisis se basa en scraping directo del sitio proyectored.com.mx y en la investigación de fabricantes líderes como Amerex, Buckeye, Kidde y Ansul.</w:t>
      </w:r>
    </w:p>
    <w:p>
      <w:pPr>
        <w:spacing w:after="40" w:before="40"/>
      </w:pPr>
      <w:r>
        <w:t xml:space="preserve"/>
      </w:r>
    </w:p>
    <w:p>
      <w:pPr>
        <w:pStyle w:val="Heading3"/>
        <w:spacing w:after="80" w:before="240"/>
      </w:pPr>
      <w:r>
        <w:rPr>
          <w:rFonts w:ascii="Arial" w:cs="Arial" w:eastAsia="Arial" w:hAnsi="Arial"/>
          <w:b/>
          <w:bCs/>
          <w:color w:val="2C3E50"/>
          <w:sz w:val="24"/>
          <w:szCs w:val="24"/>
        </w:rPr>
        <w:t xml:space="preserve">Hallazgos principales</w:t>
      </w:r>
    </w:p>
    <w:p>
      <w:pPr>
        <w:pStyle w:val="ListParagraph"/>
        <w:numPr>
          <w:ilvl w:val="0"/>
          <w:numId w:val="2"/>
        </w:numPr>
        <w:spacing w:after="60" w:before="60"/>
      </w:pPr>
      <w:r>
        <w:rPr>
          <w:rFonts w:ascii="Arial" w:cs="Arial" w:eastAsia="Arial" w:hAnsi="Arial"/>
          <w:color w:val="2C3E50"/>
          <w:sz w:val="22"/>
          <w:szCs w:val="22"/>
        </w:rPr>
        <w:t xml:space="preserve">El catálogo actual incluye 9 variantes de PQS ABC (1 kg a 50 kg rodante), todas correctas y bien descritas.</w:t>
      </w:r>
    </w:p>
    <w:p>
      <w:pPr>
        <w:pStyle w:val="ListParagraph"/>
        <w:numPr>
          <w:ilvl w:val="0"/>
          <w:numId w:val="2"/>
        </w:numPr>
        <w:spacing w:after="60" w:before="60"/>
      </w:pPr>
      <w:r>
        <w:rPr>
          <w:rFonts w:ascii="Arial" w:cs="Arial" w:eastAsia="Arial" w:hAnsi="Arial"/>
          <w:color w:val="2C3E50"/>
          <w:sz w:val="22"/>
          <w:szCs w:val="22"/>
        </w:rPr>
        <w:t xml:space="preserve">Se identificaron 7 tipos de extintores PQS que el mercado demanda y que Proyecto Red NO tiene en catálogo.</w:t>
      </w:r>
    </w:p>
    <w:p>
      <w:pPr>
        <w:pStyle w:val="ListParagraph"/>
        <w:numPr>
          <w:ilvl w:val="0"/>
          <w:numId w:val="2"/>
        </w:numPr>
        <w:spacing w:after="60" w:before="60"/>
      </w:pPr>
      <w:r>
        <w:rPr>
          <w:rFonts w:ascii="Arial" w:cs="Arial" w:eastAsia="Arial" w:hAnsi="Arial"/>
          <w:color w:val="2C3E50"/>
          <w:sz w:val="22"/>
          <w:szCs w:val="22"/>
        </w:rPr>
        <w:t xml:space="preserve">La brecha más crítica: PQS BC (Clase B/C), PQS 20 kg y PQS Rodante 150 kg — alta demanda industrial.</w:t>
      </w:r>
    </w:p>
    <w:p>
      <w:pPr>
        <w:pStyle w:val="ListParagraph"/>
        <w:numPr>
          <w:ilvl w:val="0"/>
          <w:numId w:val="2"/>
        </w:numPr>
        <w:spacing w:after="60" w:before="60"/>
      </w:pPr>
      <w:r>
        <w:rPr>
          <w:rFonts w:ascii="Arial" w:cs="Arial" w:eastAsia="Arial" w:hAnsi="Arial"/>
          <w:color w:val="2C3E50"/>
          <w:sz w:val="22"/>
          <w:szCs w:val="22"/>
        </w:rPr>
        <w:t xml:space="preserve">Los extintores de Alto Flujo (High Flow) son requeridos por NFPA 10 en oil &amp; gas y no existen en el portafolio.</w:t>
      </w:r>
    </w:p>
    <w:p>
      <w:pPr>
        <w:pStyle w:val="ListParagraph"/>
        <w:numPr>
          <w:ilvl w:val="0"/>
          <w:numId w:val="2"/>
        </w:numPr>
        <w:spacing w:after="60" w:before="60"/>
      </w:pPr>
      <w:r>
        <w:rPr>
          <w:rFonts w:ascii="Arial" w:cs="Arial" w:eastAsia="Arial" w:hAnsi="Arial"/>
          <w:color w:val="2C3E50"/>
          <w:sz w:val="22"/>
          <w:szCs w:val="22"/>
        </w:rPr>
        <w:t xml:space="preserve">Amerex Corporation es el proveedor más completo y reconocido para cubrir estas brechas.</w:t>
      </w:r>
    </w:p>
    <w:p>
      <w:pPr>
        <w:spacing w:after="40" w:before="40"/>
      </w:pPr>
      <w:r>
        <w:t xml:space="preserve"/>
      </w:r>
    </w:p>
    <w:p>
      <w:pPr>
        <w:pStyle w:val="Heading3"/>
        <w:spacing w:after="80" w:before="240"/>
      </w:pPr>
      <w:r>
        <w:rPr>
          <w:rFonts w:ascii="Arial" w:cs="Arial" w:eastAsia="Arial" w:hAnsi="Arial"/>
          <w:b/>
          <w:bCs/>
          <w:color w:val="2C3E50"/>
          <w:sz w:val="24"/>
          <w:szCs w:val="24"/>
        </w:rPr>
        <w:t xml:space="preserve">Recomendación clave</w:t>
      </w:r>
    </w:p>
    <w:p>
      <w:pPr>
        <w:spacing w:after="80" w:before="80"/>
      </w:pPr>
      <w:r>
        <w:rPr>
          <w:rFonts w:ascii="Arial" w:cs="Arial" w:eastAsia="Arial" w:hAnsi="Arial"/>
          <w:color w:val="2C3E50"/>
          <w:sz w:val="22"/>
          <w:szCs w:val="22"/>
        </w:rPr>
        <w:t xml:space="preserve">Agregar en Fase 1 (1–2 meses): PQS BC en varias capacidades, PQS ABC de 20 kg y PQS Rodante 150 kg. Estas tres líneas cubren los segmentos industrial pesado, oil &amp; gas y transporte de combustible — mercados con alto ticket y bajo nivel de competencia directa en CDMX.</w:t>
      </w:r>
    </w:p>
    <w:p>
      <w:pPr>
        <w:spacing w:after="40" w:before="40"/>
      </w:pPr>
      <w:r>
        <w:t xml:space="preserve"/>
      </w:r>
    </w:p>
    <w:p>
      <w:pPr>
        <w:spacing w:after="40" w:before="40"/>
      </w:pPr>
      <w:r>
        <w:t xml:space="preserve"/>
      </w:r>
    </w:p>
    <w:p>
      <w:pPr>
        <w:pStyle w:val="Heading1"/>
        <w:shd w:fill="C0392B" w:val="clear"/>
        <w:spacing w:after="120" w:before="360"/>
        <w:ind w:left="360" w:right="360"/>
      </w:pPr>
      <w:r>
        <w:rPr>
          <w:rFonts w:ascii="Arial" w:cs="Arial" w:eastAsia="Arial" w:hAnsi="Arial"/>
          <w:b/>
          <w:bCs/>
          <w:color w:val="FFFFFF"/>
          <w:sz w:val="36"/>
          <w:szCs w:val="36"/>
        </w:rPr>
        <w:t xml:space="preserve">2. INVENTARIO ACTUAL — POLVO SECO PQS</w:t>
      </w:r>
    </w:p>
    <w:p>
      <w:pPr>
        <w:spacing w:after="40" w:before="40"/>
      </w:pPr>
      <w:r>
        <w:t xml:space="preserve"/>
      </w:r>
    </w:p>
    <w:p>
      <w:pPr>
        <w:spacing w:after="80" w:before="80"/>
      </w:pPr>
      <w:r>
        <w:rPr>
          <w:rFonts w:ascii="Arial" w:cs="Arial" w:eastAsia="Arial" w:hAnsi="Arial"/>
          <w:color w:val="2C3E50"/>
          <w:sz w:val="22"/>
          <w:szCs w:val="22"/>
        </w:rPr>
        <w:t xml:space="preserve">A continuación se presenta el inventario completo de extintores de polvo seco actualmente disponibles en el catálogo de proyectored.com.mx, obtenido por scraping directo de la página https://proyectored.com.mx/extintores/polvo-seco/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160"/>
        <w:gridCol w:w="1060"/>
        <w:gridCol w:w="1000"/>
        <w:gridCol w:w="1000"/>
        <w:gridCol w:w="940"/>
        <w:gridCol w:w="1280"/>
        <w:gridCol w:w="1160"/>
      </w:tblGrid>
      <w:tr>
        <w:trPr>
          <w:tblHeader/>
        </w:trPr>
        <w:tc>
          <w:tcPr>
            <w:tcW w:type="dxa" w:w="176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Producto</w:t>
            </w:r>
          </w:p>
        </w:tc>
        <w:tc>
          <w:tcPr>
            <w:tcW w:type="dxa" w:w="116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Agente</w:t>
            </w:r>
          </w:p>
        </w:tc>
        <w:tc>
          <w:tcPr>
            <w:tcW w:type="dxa" w:w="106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Descarga</w:t>
            </w:r>
          </w:p>
        </w:tc>
        <w:tc>
          <w:tcPr>
            <w:tcW w:type="dxa" w:w="100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Alcance</w:t>
            </w:r>
          </w:p>
        </w:tc>
        <w:tc>
          <w:tcPr>
            <w:tcW w:type="dxa" w:w="100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Presión</w:t>
            </w:r>
          </w:p>
        </w:tc>
        <w:tc>
          <w:tcPr>
            <w:tcW w:type="dxa" w:w="94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Norma</w:t>
            </w:r>
          </w:p>
        </w:tc>
        <w:tc>
          <w:tcPr>
            <w:tcW w:type="dxa" w:w="128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Uso principal</w:t>
            </w:r>
          </w:p>
        </w:tc>
        <w:tc>
          <w:tcPr>
            <w:tcW w:type="dxa" w:w="116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Estado</w:t>
            </w:r>
          </w:p>
        </w:tc>
      </w:tr>
      <w:tr>
        <w:tc>
          <w:tcPr>
            <w:tcW w:type="dxa" w:w="17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PQS 1 kg</w:t>
            </w:r>
          </w:p>
        </w:tc>
        <w:tc>
          <w:tcPr>
            <w:tcW w:type="dxa" w:w="11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ABC</w:t>
            </w:r>
          </w:p>
        </w:tc>
        <w:tc>
          <w:tcPr>
            <w:tcW w:type="dxa" w:w="10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~5 s</w:t>
            </w:r>
          </w:p>
        </w:tc>
        <w:tc>
          <w:tcPr>
            <w:tcW w:type="dxa" w:w="10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2–3 m</w:t>
            </w:r>
          </w:p>
        </w:tc>
        <w:tc>
          <w:tcPr>
            <w:tcW w:type="dxa" w:w="10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N/D</w:t>
            </w:r>
          </w:p>
        </w:tc>
        <w:tc>
          <w:tcPr>
            <w:tcW w:type="dxa" w:w="94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NOM-068-SCT</w:t>
            </w:r>
          </w:p>
        </w:tc>
        <w:tc>
          <w:tcPr>
            <w:tcW w:type="dxa" w:w="128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Vehículos, motos, camiones</w:t>
            </w:r>
          </w:p>
        </w:tc>
        <w:tc>
          <w:tcPr>
            <w:tcW w:type="dxa" w:w="1160"/>
            <w:gridSpan w:val="1"/>
            <w:tcBorders>
              <w:top w:val="single" w:color="BDC3C7" w:sz="1"/>
              <w:left w:val="single" w:color="BDC3C7" w:sz="1"/>
              <w:bottom w:val="single" w:color="BDC3C7" w:sz="1"/>
              <w:right w:val="single" w:color="BDC3C7" w:sz="1"/>
            </w:tcBorders>
            <w:shd w:fill="E8F8E8" w:val="clear"/>
            <w:tcMar>
              <w:top w:type="dxa" w:w="100"/>
              <w:left w:type="dxa" w:w="150"/>
              <w:bottom w:type="dxa" w:w="100"/>
              <w:right w:type="dxa" w:w="150"/>
            </w:tcMar>
            <w:vAlign w:val="center"/>
          </w:tcPr>
          <w:p>
            <w:pPr>
              <w:jc w:val="center"/>
            </w:pPr>
            <w:r>
              <w:rPr>
                <w:rFonts w:ascii="Arial" w:cs="Arial" w:eastAsia="Arial" w:hAnsi="Arial"/>
                <w:b/>
                <w:bCs/>
                <w:color w:val="1E8449"/>
                <w:sz w:val="20"/>
                <w:szCs w:val="20"/>
              </w:rPr>
              <w:t xml:space="preserve">✓ Activo</w:t>
            </w:r>
          </w:p>
        </w:tc>
      </w:tr>
      <w:tr>
        <w:tc>
          <w:tcPr>
            <w:tcW w:type="dxa" w:w="17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PQS 2.5 kg</w:t>
            </w:r>
          </w:p>
        </w:tc>
        <w:tc>
          <w:tcPr>
            <w:tcW w:type="dxa" w:w="11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ABC</w:t>
            </w:r>
          </w:p>
        </w:tc>
        <w:tc>
          <w:tcPr>
            <w:tcW w:type="dxa" w:w="10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~8 s</w:t>
            </w:r>
          </w:p>
        </w:tc>
        <w:tc>
          <w:tcPr>
            <w:tcW w:type="dxa" w:w="10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3 m</w:t>
            </w:r>
          </w:p>
        </w:tc>
        <w:tc>
          <w:tcPr>
            <w:tcW w:type="dxa" w:w="10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N/D</w:t>
            </w:r>
          </w:p>
        </w:tc>
        <w:tc>
          <w:tcPr>
            <w:tcW w:type="dxa" w:w="94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NOM-154</w:t>
            </w:r>
          </w:p>
        </w:tc>
        <w:tc>
          <w:tcPr>
            <w:tcW w:type="dxa" w:w="128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Locales &lt;100 m², escaleras</w:t>
            </w:r>
          </w:p>
        </w:tc>
        <w:tc>
          <w:tcPr>
            <w:tcW w:type="dxa" w:w="1160"/>
            <w:gridSpan w:val="1"/>
            <w:tcBorders>
              <w:top w:val="single" w:color="BDC3C7" w:sz="1"/>
              <w:left w:val="single" w:color="BDC3C7" w:sz="1"/>
              <w:bottom w:val="single" w:color="BDC3C7" w:sz="1"/>
              <w:right w:val="single" w:color="BDC3C7" w:sz="1"/>
            </w:tcBorders>
            <w:shd w:fill="E8F8E8" w:val="clear"/>
            <w:tcMar>
              <w:top w:type="dxa" w:w="100"/>
              <w:left w:type="dxa" w:w="150"/>
              <w:bottom w:type="dxa" w:w="100"/>
              <w:right w:type="dxa" w:w="150"/>
            </w:tcMar>
            <w:vAlign w:val="center"/>
          </w:tcPr>
          <w:p>
            <w:pPr>
              <w:jc w:val="center"/>
            </w:pPr>
            <w:r>
              <w:rPr>
                <w:rFonts w:ascii="Arial" w:cs="Arial" w:eastAsia="Arial" w:hAnsi="Arial"/>
                <w:b/>
                <w:bCs/>
                <w:color w:val="1E8449"/>
                <w:sz w:val="20"/>
                <w:szCs w:val="20"/>
              </w:rPr>
              <w:t xml:space="preserve">✓ Activo</w:t>
            </w:r>
          </w:p>
        </w:tc>
      </w:tr>
      <w:tr>
        <w:tc>
          <w:tcPr>
            <w:tcW w:type="dxa" w:w="17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PQS 4.5 kg</w:t>
            </w:r>
          </w:p>
        </w:tc>
        <w:tc>
          <w:tcPr>
            <w:tcW w:type="dxa" w:w="11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ABC</w:t>
            </w:r>
          </w:p>
        </w:tc>
        <w:tc>
          <w:tcPr>
            <w:tcW w:type="dxa" w:w="10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~10 s</w:t>
            </w:r>
          </w:p>
        </w:tc>
        <w:tc>
          <w:tcPr>
            <w:tcW w:type="dxa" w:w="10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3–4 m</w:t>
            </w:r>
          </w:p>
        </w:tc>
        <w:tc>
          <w:tcPr>
            <w:tcW w:type="dxa" w:w="10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60 bar</w:t>
            </w:r>
          </w:p>
        </w:tc>
        <w:tc>
          <w:tcPr>
            <w:tcW w:type="dxa" w:w="94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NOM-154 / NOM-002</w:t>
            </w:r>
          </w:p>
        </w:tc>
        <w:tc>
          <w:tcPr>
            <w:tcW w:type="dxa" w:w="128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Oficinas, tiendas, locales</w:t>
            </w:r>
          </w:p>
        </w:tc>
        <w:tc>
          <w:tcPr>
            <w:tcW w:type="dxa" w:w="1160"/>
            <w:gridSpan w:val="1"/>
            <w:tcBorders>
              <w:top w:val="single" w:color="BDC3C7" w:sz="1"/>
              <w:left w:val="single" w:color="BDC3C7" w:sz="1"/>
              <w:bottom w:val="single" w:color="BDC3C7" w:sz="1"/>
              <w:right w:val="single" w:color="BDC3C7" w:sz="1"/>
            </w:tcBorders>
            <w:shd w:fill="E8F8E8" w:val="clear"/>
            <w:tcMar>
              <w:top w:type="dxa" w:w="100"/>
              <w:left w:type="dxa" w:w="150"/>
              <w:bottom w:type="dxa" w:w="100"/>
              <w:right w:type="dxa" w:w="150"/>
            </w:tcMar>
            <w:vAlign w:val="center"/>
          </w:tcPr>
          <w:p>
            <w:pPr>
              <w:jc w:val="center"/>
            </w:pPr>
            <w:r>
              <w:rPr>
                <w:rFonts w:ascii="Arial" w:cs="Arial" w:eastAsia="Arial" w:hAnsi="Arial"/>
                <w:b/>
                <w:bCs/>
                <w:color w:val="1E8449"/>
                <w:sz w:val="20"/>
                <w:szCs w:val="20"/>
              </w:rPr>
              <w:t xml:space="preserve">✓ Activo</w:t>
            </w:r>
          </w:p>
        </w:tc>
      </w:tr>
      <w:tr>
        <w:tc>
          <w:tcPr>
            <w:tcW w:type="dxa" w:w="17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PQS 6 kg</w:t>
            </w:r>
          </w:p>
        </w:tc>
        <w:tc>
          <w:tcPr>
            <w:tcW w:type="dxa" w:w="11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ABC</w:t>
            </w:r>
          </w:p>
        </w:tc>
        <w:tc>
          <w:tcPr>
            <w:tcW w:type="dxa" w:w="10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~13 s</w:t>
            </w:r>
          </w:p>
        </w:tc>
        <w:tc>
          <w:tcPr>
            <w:tcW w:type="dxa" w:w="10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4–5 m</w:t>
            </w:r>
          </w:p>
        </w:tc>
        <w:tc>
          <w:tcPr>
            <w:tcW w:type="dxa" w:w="10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N/D</w:t>
            </w:r>
          </w:p>
        </w:tc>
        <w:tc>
          <w:tcPr>
            <w:tcW w:type="dxa" w:w="94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NOM-154 / NOM-002</w:t>
            </w:r>
          </w:p>
        </w:tc>
        <w:tc>
          <w:tcPr>
            <w:tcW w:type="dxa" w:w="128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Talleres, bodegas pequeñas</w:t>
            </w:r>
          </w:p>
        </w:tc>
        <w:tc>
          <w:tcPr>
            <w:tcW w:type="dxa" w:w="1160"/>
            <w:gridSpan w:val="1"/>
            <w:tcBorders>
              <w:top w:val="single" w:color="BDC3C7" w:sz="1"/>
              <w:left w:val="single" w:color="BDC3C7" w:sz="1"/>
              <w:bottom w:val="single" w:color="BDC3C7" w:sz="1"/>
              <w:right w:val="single" w:color="BDC3C7" w:sz="1"/>
            </w:tcBorders>
            <w:shd w:fill="E8F8E8" w:val="clear"/>
            <w:tcMar>
              <w:top w:type="dxa" w:w="100"/>
              <w:left w:type="dxa" w:w="150"/>
              <w:bottom w:type="dxa" w:w="100"/>
              <w:right w:type="dxa" w:w="150"/>
            </w:tcMar>
            <w:vAlign w:val="center"/>
          </w:tcPr>
          <w:p>
            <w:pPr>
              <w:jc w:val="center"/>
            </w:pPr>
            <w:r>
              <w:rPr>
                <w:rFonts w:ascii="Arial" w:cs="Arial" w:eastAsia="Arial" w:hAnsi="Arial"/>
                <w:b/>
                <w:bCs/>
                <w:color w:val="1E8449"/>
                <w:sz w:val="20"/>
                <w:szCs w:val="20"/>
              </w:rPr>
              <w:t xml:space="preserve">✓ Activo</w:t>
            </w:r>
          </w:p>
        </w:tc>
      </w:tr>
      <w:tr>
        <w:tc>
          <w:tcPr>
            <w:tcW w:type="dxa" w:w="17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PQS 9 kg</w:t>
            </w:r>
          </w:p>
        </w:tc>
        <w:tc>
          <w:tcPr>
            <w:tcW w:type="dxa" w:w="11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ABC</w:t>
            </w:r>
          </w:p>
        </w:tc>
        <w:tc>
          <w:tcPr>
            <w:tcW w:type="dxa" w:w="10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~18 s</w:t>
            </w:r>
          </w:p>
        </w:tc>
        <w:tc>
          <w:tcPr>
            <w:tcW w:type="dxa" w:w="10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4–5 m</w:t>
            </w:r>
          </w:p>
        </w:tc>
        <w:tc>
          <w:tcPr>
            <w:tcW w:type="dxa" w:w="10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N/D</w:t>
            </w:r>
          </w:p>
        </w:tc>
        <w:tc>
          <w:tcPr>
            <w:tcW w:type="dxa" w:w="94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NOM-002-STPS</w:t>
            </w:r>
          </w:p>
        </w:tc>
        <w:tc>
          <w:tcPr>
            <w:tcW w:type="dxa" w:w="128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Almacenes, industria media</w:t>
            </w:r>
          </w:p>
        </w:tc>
        <w:tc>
          <w:tcPr>
            <w:tcW w:type="dxa" w:w="1160"/>
            <w:gridSpan w:val="1"/>
            <w:tcBorders>
              <w:top w:val="single" w:color="BDC3C7" w:sz="1"/>
              <w:left w:val="single" w:color="BDC3C7" w:sz="1"/>
              <w:bottom w:val="single" w:color="BDC3C7" w:sz="1"/>
              <w:right w:val="single" w:color="BDC3C7" w:sz="1"/>
            </w:tcBorders>
            <w:shd w:fill="E8F8E8" w:val="clear"/>
            <w:tcMar>
              <w:top w:type="dxa" w:w="100"/>
              <w:left w:type="dxa" w:w="150"/>
              <w:bottom w:type="dxa" w:w="100"/>
              <w:right w:type="dxa" w:w="150"/>
            </w:tcMar>
            <w:vAlign w:val="center"/>
          </w:tcPr>
          <w:p>
            <w:pPr>
              <w:jc w:val="center"/>
            </w:pPr>
            <w:r>
              <w:rPr>
                <w:rFonts w:ascii="Arial" w:cs="Arial" w:eastAsia="Arial" w:hAnsi="Arial"/>
                <w:b/>
                <w:bCs/>
                <w:color w:val="1E8449"/>
                <w:sz w:val="20"/>
                <w:szCs w:val="20"/>
              </w:rPr>
              <w:t xml:space="preserve">✓ Activo</w:t>
            </w:r>
          </w:p>
        </w:tc>
      </w:tr>
      <w:tr>
        <w:tc>
          <w:tcPr>
            <w:tcW w:type="dxa" w:w="17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PQS 12 kg</w:t>
            </w:r>
          </w:p>
        </w:tc>
        <w:tc>
          <w:tcPr>
            <w:tcW w:type="dxa" w:w="11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ABC</w:t>
            </w:r>
          </w:p>
        </w:tc>
        <w:tc>
          <w:tcPr>
            <w:tcW w:type="dxa" w:w="10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~22 s</w:t>
            </w:r>
          </w:p>
        </w:tc>
        <w:tc>
          <w:tcPr>
            <w:tcW w:type="dxa" w:w="10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5–6 m</w:t>
            </w:r>
          </w:p>
        </w:tc>
        <w:tc>
          <w:tcPr>
            <w:tcW w:type="dxa" w:w="10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N/D</w:t>
            </w:r>
          </w:p>
        </w:tc>
        <w:tc>
          <w:tcPr>
            <w:tcW w:type="dxa" w:w="94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NOM-154 / NFPA 10</w:t>
            </w:r>
          </w:p>
        </w:tc>
        <w:tc>
          <w:tcPr>
            <w:tcW w:type="dxa" w:w="128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Soldadura, montacargas, Clase B</w:t>
            </w:r>
          </w:p>
        </w:tc>
        <w:tc>
          <w:tcPr>
            <w:tcW w:type="dxa" w:w="1160"/>
            <w:gridSpan w:val="1"/>
            <w:tcBorders>
              <w:top w:val="single" w:color="BDC3C7" w:sz="1"/>
              <w:left w:val="single" w:color="BDC3C7" w:sz="1"/>
              <w:bottom w:val="single" w:color="BDC3C7" w:sz="1"/>
              <w:right w:val="single" w:color="BDC3C7" w:sz="1"/>
            </w:tcBorders>
            <w:shd w:fill="E8F8E8" w:val="clear"/>
            <w:tcMar>
              <w:top w:type="dxa" w:w="100"/>
              <w:left w:type="dxa" w:w="150"/>
              <w:bottom w:type="dxa" w:w="100"/>
              <w:right w:type="dxa" w:w="150"/>
            </w:tcMar>
            <w:vAlign w:val="center"/>
          </w:tcPr>
          <w:p>
            <w:pPr>
              <w:jc w:val="center"/>
            </w:pPr>
            <w:r>
              <w:rPr>
                <w:rFonts w:ascii="Arial" w:cs="Arial" w:eastAsia="Arial" w:hAnsi="Arial"/>
                <w:b/>
                <w:bCs/>
                <w:color w:val="1E8449"/>
                <w:sz w:val="20"/>
                <w:szCs w:val="20"/>
              </w:rPr>
              <w:t xml:space="preserve">✓ Activo</w:t>
            </w:r>
          </w:p>
        </w:tc>
      </w:tr>
      <w:tr>
        <w:tc>
          <w:tcPr>
            <w:tcW w:type="dxa" w:w="17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PQS Rodante 25 kg</w:t>
            </w:r>
          </w:p>
        </w:tc>
        <w:tc>
          <w:tcPr>
            <w:tcW w:type="dxa" w:w="11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ABC</w:t>
            </w:r>
          </w:p>
        </w:tc>
        <w:tc>
          <w:tcPr>
            <w:tcW w:type="dxa" w:w="10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N/D</w:t>
            </w:r>
          </w:p>
        </w:tc>
        <w:tc>
          <w:tcPr>
            <w:tcW w:type="dxa" w:w="10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Hasta 8 m</w:t>
            </w:r>
          </w:p>
        </w:tc>
        <w:tc>
          <w:tcPr>
            <w:tcW w:type="dxa" w:w="10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N/D</w:t>
            </w:r>
          </w:p>
        </w:tc>
        <w:tc>
          <w:tcPr>
            <w:tcW w:type="dxa" w:w="94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NFPA 10</w:t>
            </w:r>
          </w:p>
        </w:tc>
        <w:tc>
          <w:tcPr>
            <w:tcW w:type="dxa" w:w="128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Plantas industriales, combustible</w:t>
            </w:r>
          </w:p>
        </w:tc>
        <w:tc>
          <w:tcPr>
            <w:tcW w:type="dxa" w:w="1160"/>
            <w:gridSpan w:val="1"/>
            <w:tcBorders>
              <w:top w:val="single" w:color="BDC3C7" w:sz="1"/>
              <w:left w:val="single" w:color="BDC3C7" w:sz="1"/>
              <w:bottom w:val="single" w:color="BDC3C7" w:sz="1"/>
              <w:right w:val="single" w:color="BDC3C7" w:sz="1"/>
            </w:tcBorders>
            <w:shd w:fill="E8F8E8" w:val="clear"/>
            <w:tcMar>
              <w:top w:type="dxa" w:w="100"/>
              <w:left w:type="dxa" w:w="150"/>
              <w:bottom w:type="dxa" w:w="100"/>
              <w:right w:type="dxa" w:w="150"/>
            </w:tcMar>
            <w:vAlign w:val="center"/>
          </w:tcPr>
          <w:p>
            <w:pPr>
              <w:jc w:val="center"/>
            </w:pPr>
            <w:r>
              <w:rPr>
                <w:rFonts w:ascii="Arial" w:cs="Arial" w:eastAsia="Arial" w:hAnsi="Arial"/>
                <w:b/>
                <w:bCs/>
                <w:color w:val="1E8449"/>
                <w:sz w:val="20"/>
                <w:szCs w:val="20"/>
              </w:rPr>
              <w:t xml:space="preserve">✓ Activo</w:t>
            </w:r>
          </w:p>
        </w:tc>
      </w:tr>
      <w:tr>
        <w:tc>
          <w:tcPr>
            <w:tcW w:type="dxa" w:w="17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PQS Rodante 35 kg</w:t>
            </w:r>
          </w:p>
        </w:tc>
        <w:tc>
          <w:tcPr>
            <w:tcW w:type="dxa" w:w="11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ABC</w:t>
            </w:r>
          </w:p>
        </w:tc>
        <w:tc>
          <w:tcPr>
            <w:tcW w:type="dxa" w:w="10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N/D</w:t>
            </w:r>
          </w:p>
        </w:tc>
        <w:tc>
          <w:tcPr>
            <w:tcW w:type="dxa" w:w="10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Hasta 8 m</w:t>
            </w:r>
          </w:p>
        </w:tc>
        <w:tc>
          <w:tcPr>
            <w:tcW w:type="dxa" w:w="10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N/D</w:t>
            </w:r>
          </w:p>
        </w:tc>
        <w:tc>
          <w:tcPr>
            <w:tcW w:type="dxa" w:w="94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NFPA 10</w:t>
            </w:r>
          </w:p>
        </w:tc>
        <w:tc>
          <w:tcPr>
            <w:tcW w:type="dxa" w:w="128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Plantas industriales, combustible</w:t>
            </w:r>
          </w:p>
        </w:tc>
        <w:tc>
          <w:tcPr>
            <w:tcW w:type="dxa" w:w="1160"/>
            <w:gridSpan w:val="1"/>
            <w:tcBorders>
              <w:top w:val="single" w:color="BDC3C7" w:sz="1"/>
              <w:left w:val="single" w:color="BDC3C7" w:sz="1"/>
              <w:bottom w:val="single" w:color="BDC3C7" w:sz="1"/>
              <w:right w:val="single" w:color="BDC3C7" w:sz="1"/>
            </w:tcBorders>
            <w:shd w:fill="E8F8E8" w:val="clear"/>
            <w:tcMar>
              <w:top w:type="dxa" w:w="100"/>
              <w:left w:type="dxa" w:w="150"/>
              <w:bottom w:type="dxa" w:w="100"/>
              <w:right w:type="dxa" w:w="150"/>
            </w:tcMar>
            <w:vAlign w:val="center"/>
          </w:tcPr>
          <w:p>
            <w:pPr>
              <w:jc w:val="center"/>
            </w:pPr>
            <w:r>
              <w:rPr>
                <w:rFonts w:ascii="Arial" w:cs="Arial" w:eastAsia="Arial" w:hAnsi="Arial"/>
                <w:b/>
                <w:bCs/>
                <w:color w:val="1E8449"/>
                <w:sz w:val="20"/>
                <w:szCs w:val="20"/>
              </w:rPr>
              <w:t xml:space="preserve">✓ Activo</w:t>
            </w:r>
          </w:p>
        </w:tc>
      </w:tr>
      <w:tr>
        <w:tc>
          <w:tcPr>
            <w:tcW w:type="dxa" w:w="17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PQS Rodante 50 kg</w:t>
            </w:r>
          </w:p>
        </w:tc>
        <w:tc>
          <w:tcPr>
            <w:tcW w:type="dxa" w:w="11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ABC</w:t>
            </w:r>
          </w:p>
        </w:tc>
        <w:tc>
          <w:tcPr>
            <w:tcW w:type="dxa" w:w="10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N/D</w:t>
            </w:r>
          </w:p>
        </w:tc>
        <w:tc>
          <w:tcPr>
            <w:tcW w:type="dxa" w:w="10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Hasta 8 m</w:t>
            </w:r>
          </w:p>
        </w:tc>
        <w:tc>
          <w:tcPr>
            <w:tcW w:type="dxa" w:w="10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N/D</w:t>
            </w:r>
          </w:p>
        </w:tc>
        <w:tc>
          <w:tcPr>
            <w:tcW w:type="dxa" w:w="94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NFPA 10</w:t>
            </w:r>
          </w:p>
        </w:tc>
        <w:tc>
          <w:tcPr>
            <w:tcW w:type="dxa" w:w="128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Plantas industriales, combustible</w:t>
            </w:r>
          </w:p>
        </w:tc>
        <w:tc>
          <w:tcPr>
            <w:tcW w:type="dxa" w:w="1160"/>
            <w:gridSpan w:val="1"/>
            <w:tcBorders>
              <w:top w:val="single" w:color="BDC3C7" w:sz="1"/>
              <w:left w:val="single" w:color="BDC3C7" w:sz="1"/>
              <w:bottom w:val="single" w:color="BDC3C7" w:sz="1"/>
              <w:right w:val="single" w:color="BDC3C7" w:sz="1"/>
            </w:tcBorders>
            <w:shd w:fill="E8F8E8" w:val="clear"/>
            <w:tcMar>
              <w:top w:type="dxa" w:w="100"/>
              <w:left w:type="dxa" w:w="150"/>
              <w:bottom w:type="dxa" w:w="100"/>
              <w:right w:type="dxa" w:w="150"/>
            </w:tcMar>
            <w:vAlign w:val="center"/>
          </w:tcPr>
          <w:p>
            <w:pPr>
              <w:jc w:val="center"/>
            </w:pPr>
            <w:r>
              <w:rPr>
                <w:rFonts w:ascii="Arial" w:cs="Arial" w:eastAsia="Arial" w:hAnsi="Arial"/>
                <w:b/>
                <w:bCs/>
                <w:color w:val="1E8449"/>
                <w:sz w:val="20"/>
                <w:szCs w:val="20"/>
              </w:rPr>
              <w:t xml:space="preserve">✓ Activo</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DC3C7" w:sz="1"/>
              <w:left w:val="single" w:color="BDC3C7" w:sz="1"/>
              <w:bottom w:val="single" w:color="BDC3C7" w:sz="1"/>
              <w:right w:val="single" w:color="BDC3C7" w:sz="1"/>
            </w:tcBorders>
            <w:shd w:fill="FEF9E7"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Observación técnica</w:t>
            </w:r>
          </w:p>
        </w:tc>
      </w:tr>
      <w:tr>
        <w:tc>
          <w:tcPr>
            <w:tcW w:type="dxa" w:w="9360"/>
            <w:gridSpan w:val="1"/>
            <w:tcBorders>
              <w:top w:val="single" w:color="BDC3C7" w:sz="1"/>
              <w:left w:val="single" w:color="BDC3C7" w:sz="1"/>
              <w:bottom w:val="single" w:color="BDC3C7" w:sz="1"/>
              <w:right w:val="single" w:color="BDC3C7" w:sz="1"/>
            </w:tcBorders>
            <w:shd w:fill="FEF9E7"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Todos los productos actuales son PQS ABC (fosfato monoamónico). Esto es correcto para el mercado general, pero deja sin cobertura los fuegos de clase B/C puros donde el agente BC (bicarbonato de sodio) es superior por menor daño a equipos y mejor penetración en líquidos inflamables.</w:t>
            </w:r>
          </w:p>
        </w:tc>
      </w:tr>
    </w:tbl>
    <w:p>
      <w:pPr>
        <w:spacing w:after="40" w:before="40"/>
      </w:pPr>
      <w:r>
        <w:t xml:space="preserve"/>
      </w:r>
    </w:p>
    <w:p>
      <w:pPr>
        <w:spacing w:after="40" w:before="40"/>
      </w:pPr>
      <w:r>
        <w:t xml:space="preserve"/>
      </w:r>
    </w:p>
    <w:p>
      <w:r>
        <w:br w:type="page"/>
      </w:r>
    </w:p>
    <w:p>
      <w:pPr>
        <w:pStyle w:val="Heading1"/>
        <w:shd w:fill="C0392B" w:val="clear"/>
        <w:spacing w:after="120" w:before="360"/>
        <w:ind w:left="360" w:right="360"/>
      </w:pPr>
      <w:r>
        <w:rPr>
          <w:rFonts w:ascii="Arial" w:cs="Arial" w:eastAsia="Arial" w:hAnsi="Arial"/>
          <w:b/>
          <w:bCs/>
          <w:color w:val="FFFFFF"/>
          <w:sz w:val="36"/>
          <w:szCs w:val="36"/>
        </w:rPr>
        <w:t xml:space="preserve">3. ANÁLISIS DE BRECHAS VS. MERCADO</w:t>
      </w:r>
    </w:p>
    <w:p>
      <w:pPr>
        <w:spacing w:after="40" w:before="40"/>
      </w:pPr>
      <w:r>
        <w:t xml:space="preserve"/>
      </w:r>
    </w:p>
    <w:p>
      <w:pPr>
        <w:spacing w:after="80" w:before="80"/>
      </w:pPr>
      <w:r>
        <w:rPr>
          <w:rFonts w:ascii="Arial" w:cs="Arial" w:eastAsia="Arial" w:hAnsi="Arial"/>
          <w:color w:val="2C3E50"/>
          <w:sz w:val="22"/>
          <w:szCs w:val="22"/>
        </w:rPr>
        <w:t xml:space="preserve">Al comparar el portafolio de Proyecto Red con las líneas de producto de fabricantes líderes (Amerex, Buckeye, Kidde, Ansul) y con la normatividad NFPA 10, se identificaron las siguientes brechas comerciales importantes: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Producto faltante</w:t>
            </w:r>
          </w:p>
        </w:tc>
        <w:tc>
          <w:tcPr>
            <w:tcW w:type="dxa" w:w="220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Por qué hace falta</w:t>
            </w:r>
          </w:p>
        </w:tc>
        <w:tc>
          <w:tcPr>
            <w:tcW w:type="dxa" w:w="220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Mercado objetivo</w:t>
            </w:r>
          </w:p>
        </w:tc>
        <w:tc>
          <w:tcPr>
            <w:tcW w:type="dxa" w:w="276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Prioridad</w:t>
            </w:r>
          </w:p>
        </w:tc>
      </w:tr>
      <w:tr>
        <w:tc>
          <w:tcPr>
            <w:tcW w:type="dxa" w:w="22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PQS BC (Bicarbonato de Sodio)</w:t>
            </w:r>
          </w:p>
        </w:tc>
        <w:tc>
          <w:tcPr>
            <w:tcW w:type="dxa" w:w="22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Clase B/C pura — mejor para líquidos inflamables sin residuo corrosivo en maquinaria</w:t>
            </w:r>
          </w:p>
        </w:tc>
        <w:tc>
          <w:tcPr>
            <w:tcW w:type="dxa" w:w="22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Refinerías, talleres mecánicos, estaciones de servicio</w:t>
            </w:r>
          </w:p>
        </w:tc>
        <w:tc>
          <w:tcPr>
            <w:tcW w:type="dxa" w:w="2760"/>
            <w:gridSpan w:val="1"/>
            <w:tcBorders>
              <w:top w:val="single" w:color="BDC3C7" w:sz="1"/>
              <w:left w:val="single" w:color="BDC3C7" w:sz="1"/>
              <w:bottom w:val="single" w:color="BDC3C7" w:sz="1"/>
              <w:right w:val="single" w:color="BDC3C7" w:sz="1"/>
            </w:tcBorders>
            <w:shd w:fill="FDEDEC" w:val="clear"/>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ALTA</w:t>
            </w:r>
          </w:p>
        </w:tc>
      </w:tr>
      <w:tr>
        <w:tc>
          <w:tcPr>
            <w:tcW w:type="dxa" w:w="22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PQS 20 kg portátil</w:t>
            </w:r>
          </w:p>
        </w:tc>
        <w:tc>
          <w:tcPr>
            <w:tcW w:type="dxa" w:w="22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Vacío entre 12 kg y rodante 25 kg — muy solicitado en industria media</w:t>
            </w:r>
          </w:p>
        </w:tc>
        <w:tc>
          <w:tcPr>
            <w:tcW w:type="dxa" w:w="22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Naves industriales, plantas de manufactura</w:t>
            </w:r>
          </w:p>
        </w:tc>
        <w:tc>
          <w:tcPr>
            <w:tcW w:type="dxa" w:w="2760"/>
            <w:gridSpan w:val="1"/>
            <w:tcBorders>
              <w:top w:val="single" w:color="BDC3C7" w:sz="1"/>
              <w:left w:val="single" w:color="BDC3C7" w:sz="1"/>
              <w:bottom w:val="single" w:color="BDC3C7" w:sz="1"/>
              <w:right w:val="single" w:color="BDC3C7" w:sz="1"/>
            </w:tcBorders>
            <w:shd w:fill="FDEDEC" w:val="clear"/>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ALTA</w:t>
            </w:r>
          </w:p>
        </w:tc>
      </w:tr>
      <w:tr>
        <w:tc>
          <w:tcPr>
            <w:tcW w:type="dxa" w:w="22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PQS Rodante 100 kg</w:t>
            </w:r>
          </w:p>
        </w:tc>
        <w:tc>
          <w:tcPr>
            <w:tcW w:type="dxa" w:w="22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Capacidad intermedia — falta entre 50 kg y grandes rodantes</w:t>
            </w:r>
          </w:p>
        </w:tc>
        <w:tc>
          <w:tcPr>
            <w:tcW w:type="dxa" w:w="22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Plantas químicas, hangares, astilleros</w:t>
            </w:r>
          </w:p>
        </w:tc>
        <w:tc>
          <w:tcPr>
            <w:tcW w:type="dxa" w:w="2760"/>
            <w:gridSpan w:val="1"/>
            <w:tcBorders>
              <w:top w:val="single" w:color="BDC3C7" w:sz="1"/>
              <w:left w:val="single" w:color="BDC3C7" w:sz="1"/>
              <w:bottom w:val="single" w:color="BDC3C7" w:sz="1"/>
              <w:right w:val="single" w:color="BDC3C7" w:sz="1"/>
            </w:tcBorders>
            <w:shd w:fill="FEF9E7" w:val="clear"/>
            <w:tcMar>
              <w:top w:type="dxa" w:w="100"/>
              <w:left w:type="dxa" w:w="150"/>
              <w:bottom w:type="dxa" w:w="100"/>
              <w:right w:type="dxa" w:w="150"/>
            </w:tcMar>
            <w:vAlign w:val="center"/>
          </w:tcPr>
          <w:p>
            <w:pPr>
              <w:jc w:val="center"/>
            </w:pPr>
            <w:r>
              <w:rPr>
                <w:rFonts w:ascii="Arial" w:cs="Arial" w:eastAsia="Arial" w:hAnsi="Arial"/>
                <w:b/>
                <w:bCs/>
                <w:color w:val="E67E22"/>
                <w:sz w:val="20"/>
                <w:szCs w:val="20"/>
              </w:rPr>
              <w:t xml:space="preserve">MEDIA</w:t>
            </w:r>
          </w:p>
        </w:tc>
      </w:tr>
      <w:tr>
        <w:tc>
          <w:tcPr>
            <w:tcW w:type="dxa" w:w="22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PQS Rodante 150 kg</w:t>
            </w:r>
          </w:p>
        </w:tc>
        <w:tc>
          <w:tcPr>
            <w:tcW w:type="dxa" w:w="22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Alta demanda en sector oil &amp; gas, aviación e infraestructura</w:t>
            </w:r>
          </w:p>
        </w:tc>
        <w:tc>
          <w:tcPr>
            <w:tcW w:type="dxa" w:w="22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Refinerías, aeropuertos, terminales de combustible</w:t>
            </w:r>
          </w:p>
        </w:tc>
        <w:tc>
          <w:tcPr>
            <w:tcW w:type="dxa" w:w="2760"/>
            <w:gridSpan w:val="1"/>
            <w:tcBorders>
              <w:top w:val="single" w:color="BDC3C7" w:sz="1"/>
              <w:left w:val="single" w:color="BDC3C7" w:sz="1"/>
              <w:bottom w:val="single" w:color="BDC3C7" w:sz="1"/>
              <w:right w:val="single" w:color="BDC3C7" w:sz="1"/>
            </w:tcBorders>
            <w:shd w:fill="FDEDEC" w:val="clear"/>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ALTA</w:t>
            </w:r>
          </w:p>
        </w:tc>
      </w:tr>
      <w:tr>
        <w:tc>
          <w:tcPr>
            <w:tcW w:type="dxa" w:w="22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PQS Alto Flujo (High Flow)</w:t>
            </w:r>
          </w:p>
        </w:tc>
        <w:tc>
          <w:tcPr>
            <w:tcW w:type="dxa" w:w="22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NFPA 10 exige tasa de descarga &gt;1 lb/s en ciertas aplicaciones; no cubierto</w:t>
            </w:r>
          </w:p>
        </w:tc>
        <w:tc>
          <w:tcPr>
            <w:tcW w:type="dxa" w:w="22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Oil &amp; gas, plantas petroquímicas, generación eléctrica</w:t>
            </w:r>
          </w:p>
        </w:tc>
        <w:tc>
          <w:tcPr>
            <w:tcW w:type="dxa" w:w="2760"/>
            <w:gridSpan w:val="1"/>
            <w:tcBorders>
              <w:top w:val="single" w:color="BDC3C7" w:sz="1"/>
              <w:left w:val="single" w:color="BDC3C7" w:sz="1"/>
              <w:bottom w:val="single" w:color="BDC3C7" w:sz="1"/>
              <w:right w:val="single" w:color="BDC3C7" w:sz="1"/>
            </w:tcBorders>
            <w:shd w:fill="FDEDEC" w:val="clear"/>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ALTA</w:t>
            </w:r>
          </w:p>
        </w:tc>
      </w:tr>
      <w:tr>
        <w:tc>
          <w:tcPr>
            <w:tcW w:type="dxa" w:w="22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PQS Anticorrosivo (Z-Series)</w:t>
            </w:r>
          </w:p>
        </w:tc>
        <w:tc>
          <w:tcPr>
            <w:tcW w:type="dxa" w:w="22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Cilindro con recubrimiento zinc — dura 12 años en ambientes marinos o húmedos</w:t>
            </w:r>
          </w:p>
        </w:tc>
        <w:tc>
          <w:tcPr>
            <w:tcW w:type="dxa" w:w="22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Puertos, costas, zonas industriales con humedad alta</w:t>
            </w:r>
          </w:p>
        </w:tc>
        <w:tc>
          <w:tcPr>
            <w:tcW w:type="dxa" w:w="2760"/>
            <w:gridSpan w:val="1"/>
            <w:tcBorders>
              <w:top w:val="single" w:color="BDC3C7" w:sz="1"/>
              <w:left w:val="single" w:color="BDC3C7" w:sz="1"/>
              <w:bottom w:val="single" w:color="BDC3C7" w:sz="1"/>
              <w:right w:val="single" w:color="BDC3C7" w:sz="1"/>
            </w:tcBorders>
            <w:shd w:fill="FEF9E7" w:val="clear"/>
            <w:tcMar>
              <w:top w:type="dxa" w:w="100"/>
              <w:left w:type="dxa" w:w="150"/>
              <w:bottom w:type="dxa" w:w="100"/>
              <w:right w:type="dxa" w:w="150"/>
            </w:tcMar>
            <w:vAlign w:val="center"/>
          </w:tcPr>
          <w:p>
            <w:pPr>
              <w:jc w:val="center"/>
            </w:pPr>
            <w:r>
              <w:rPr>
                <w:rFonts w:ascii="Arial" w:cs="Arial" w:eastAsia="Arial" w:hAnsi="Arial"/>
                <w:b/>
                <w:bCs/>
                <w:color w:val="E67E22"/>
                <w:sz w:val="20"/>
                <w:szCs w:val="20"/>
              </w:rPr>
              <w:t xml:space="preserve">MEDIA</w:t>
            </w:r>
          </w:p>
        </w:tc>
      </w:tr>
      <w:tr>
        <w:tc>
          <w:tcPr>
            <w:tcW w:type="dxa" w:w="22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PQS Vehículos Especializados</w:t>
            </w:r>
          </w:p>
        </w:tc>
        <w:tc>
          <w:tcPr>
            <w:tcW w:type="dxa" w:w="22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Soporte de montaje especial + diseño para vibración; sector flota y transporte</w:t>
            </w:r>
          </w:p>
        </w:tc>
        <w:tc>
          <w:tcPr>
            <w:tcW w:type="dxa" w:w="22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Empresas de transporte, flotillas de camiones, autobuses</w:t>
            </w:r>
          </w:p>
        </w:tc>
        <w:tc>
          <w:tcPr>
            <w:tcW w:type="dxa" w:w="2760"/>
            <w:gridSpan w:val="1"/>
            <w:tcBorders>
              <w:top w:val="single" w:color="BDC3C7" w:sz="1"/>
              <w:left w:val="single" w:color="BDC3C7" w:sz="1"/>
              <w:bottom w:val="single" w:color="BDC3C7" w:sz="1"/>
              <w:right w:val="single" w:color="BDC3C7" w:sz="1"/>
            </w:tcBorders>
            <w:shd w:fill="FEF9E7" w:val="clear"/>
            <w:tcMar>
              <w:top w:type="dxa" w:w="100"/>
              <w:left w:type="dxa" w:w="150"/>
              <w:bottom w:type="dxa" w:w="100"/>
              <w:right w:type="dxa" w:w="150"/>
            </w:tcMar>
            <w:vAlign w:val="center"/>
          </w:tcPr>
          <w:p>
            <w:pPr>
              <w:jc w:val="center"/>
            </w:pPr>
            <w:r>
              <w:rPr>
                <w:rFonts w:ascii="Arial" w:cs="Arial" w:eastAsia="Arial" w:hAnsi="Arial"/>
                <w:b/>
                <w:bCs/>
                <w:color w:val="E67E22"/>
                <w:sz w:val="20"/>
                <w:szCs w:val="20"/>
              </w:rPr>
              <w:t xml:space="preserve">MEDIA</w:t>
            </w:r>
          </w:p>
        </w:tc>
      </w:tr>
      <w:tr>
        <w:tc>
          <w:tcPr>
            <w:tcW w:type="dxa" w:w="22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PQS Cartucho Externo</w:t>
            </w:r>
          </w:p>
        </w:tc>
        <w:tc>
          <w:tcPr>
            <w:tcW w:type="dxa" w:w="22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Tecnología cartridge-operated: más fácil recarga en campo, confiable en uso frecuente</w:t>
            </w:r>
          </w:p>
        </w:tc>
        <w:tc>
          <w:tcPr>
            <w:tcW w:type="dxa" w:w="22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Brigadas industriales, bomberos municipales, uso intensivo</w:t>
            </w:r>
          </w:p>
        </w:tc>
        <w:tc>
          <w:tcPr>
            <w:tcW w:type="dxa" w:w="2760"/>
            <w:gridSpan w:val="1"/>
            <w:tcBorders>
              <w:top w:val="single" w:color="BDC3C7" w:sz="1"/>
              <w:left w:val="single" w:color="BDC3C7" w:sz="1"/>
              <w:bottom w:val="single" w:color="BDC3C7" w:sz="1"/>
              <w:right w:val="single" w:color="BDC3C7" w:sz="1"/>
            </w:tcBorders>
            <w:shd w:fill="FEF9E7" w:val="clear"/>
            <w:tcMar>
              <w:top w:type="dxa" w:w="100"/>
              <w:left w:type="dxa" w:w="150"/>
              <w:bottom w:type="dxa" w:w="100"/>
              <w:right w:type="dxa" w:w="150"/>
            </w:tcMar>
            <w:vAlign w:val="center"/>
          </w:tcPr>
          <w:p>
            <w:pPr>
              <w:jc w:val="center"/>
            </w:pPr>
            <w:r>
              <w:rPr>
                <w:rFonts w:ascii="Arial" w:cs="Arial" w:eastAsia="Arial" w:hAnsi="Arial"/>
                <w:b/>
                <w:bCs/>
                <w:color w:val="E67E22"/>
                <w:sz w:val="20"/>
                <w:szCs w:val="20"/>
              </w:rPr>
              <w:t xml:space="preserve">MEDIA</w:t>
            </w:r>
          </w:p>
        </w:tc>
      </w:tr>
      <w:tr>
        <w:tc>
          <w:tcPr>
            <w:tcW w:type="dxa" w:w="22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PQS Automático Colgante</w:t>
            </w:r>
          </w:p>
        </w:tc>
        <w:tc>
          <w:tcPr>
            <w:tcW w:type="dxa" w:w="22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Activación térmica sin operador — ideal para cabinas de maquinaria, cuartos eléctricos</w:t>
            </w:r>
          </w:p>
        </w:tc>
        <w:tc>
          <w:tcPr>
            <w:tcW w:type="dxa" w:w="22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CNC, generadores, transformadores, cuartos de servidores</w:t>
            </w:r>
          </w:p>
        </w:tc>
        <w:tc>
          <w:tcPr>
            <w:tcW w:type="dxa" w:w="2760"/>
            <w:gridSpan w:val="1"/>
            <w:tcBorders>
              <w:top w:val="single" w:color="BDC3C7" w:sz="1"/>
              <w:left w:val="single" w:color="BDC3C7" w:sz="1"/>
              <w:bottom w:val="single" w:color="BDC3C7" w:sz="1"/>
              <w:right w:val="single" w:color="BDC3C7" w:sz="1"/>
            </w:tcBorders>
            <w:shd w:fill="FEF9E7" w:val="clear"/>
            <w:tcMar>
              <w:top w:type="dxa" w:w="100"/>
              <w:left w:type="dxa" w:w="150"/>
              <w:bottom w:type="dxa" w:w="100"/>
              <w:right w:type="dxa" w:w="150"/>
            </w:tcMar>
            <w:vAlign w:val="center"/>
          </w:tcPr>
          <w:p>
            <w:pPr>
              <w:jc w:val="center"/>
            </w:pPr>
            <w:r>
              <w:rPr>
                <w:rFonts w:ascii="Arial" w:cs="Arial" w:eastAsia="Arial" w:hAnsi="Arial"/>
                <w:b/>
                <w:bCs/>
                <w:color w:val="E67E22"/>
                <w:sz w:val="20"/>
                <w:szCs w:val="20"/>
              </w:rPr>
              <w:t xml:space="preserve">MEDIA</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DC3C7" w:sz="1"/>
              <w:left w:val="single" w:color="BDC3C7" w:sz="1"/>
              <w:bottom w:val="single" w:color="BDC3C7" w:sz="1"/>
              <w:right w:val="single" w:color="BDC3C7" w:sz="1"/>
            </w:tcBorders>
            <w:shd w:fill="FDEDEC"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Impacto comercial estimado</w:t>
            </w:r>
          </w:p>
        </w:tc>
      </w:tr>
      <w:tr>
        <w:tc>
          <w:tcPr>
            <w:tcW w:type="dxa" w:w="9360"/>
            <w:gridSpan w:val="1"/>
            <w:tcBorders>
              <w:top w:val="single" w:color="BDC3C7" w:sz="1"/>
              <w:left w:val="single" w:color="BDC3C7" w:sz="1"/>
              <w:bottom w:val="single" w:color="BDC3C7" w:sz="1"/>
              <w:right w:val="single" w:color="BDC3C7" w:sz="1"/>
            </w:tcBorders>
            <w:shd w:fill="FDEDEC"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Las 4 brechas de prioridad ALTA representan oportunidades directas en mercados B2B de alto ticket: oil &amp; gas, industria pesada, aeropuertos y refinación. Agregar estos productos posiciona a Proyecto Red como proveedor integral y no solo de extintores genéricos.</w:t>
            </w:r>
          </w:p>
        </w:tc>
      </w:tr>
    </w:tbl>
    <w:p>
      <w:pPr>
        <w:spacing w:after="40" w:before="40"/>
      </w:pPr>
      <w:r>
        <w:t xml:space="preserve"/>
      </w:r>
    </w:p>
    <w:p>
      <w:pPr>
        <w:spacing w:after="40" w:before="40"/>
      </w:pPr>
      <w:r>
        <w:t xml:space="preserve"/>
      </w:r>
    </w:p>
    <w:p>
      <w:r>
        <w:br w:type="page"/>
      </w:r>
    </w:p>
    <w:p>
      <w:pPr>
        <w:pStyle w:val="Heading1"/>
        <w:shd w:fill="C0392B" w:val="clear"/>
        <w:spacing w:after="120" w:before="360"/>
        <w:ind w:left="360" w:right="360"/>
      </w:pPr>
      <w:r>
        <w:rPr>
          <w:rFonts w:ascii="Arial" w:cs="Arial" w:eastAsia="Arial" w:hAnsi="Arial"/>
          <w:b/>
          <w:bCs/>
          <w:color w:val="FFFFFF"/>
          <w:sz w:val="36"/>
          <w:szCs w:val="36"/>
        </w:rPr>
        <w:t xml:space="preserve">4. PRODUCTOS RECOMENDADOS — FICHAS TÉCNICAS</w:t>
      </w:r>
    </w:p>
    <w:p>
      <w:pPr>
        <w:spacing w:after="40" w:before="40"/>
      </w:pPr>
      <w:r>
        <w:t xml:space="preserve"/>
      </w:r>
    </w:p>
    <w:p>
      <w:pPr>
        <w:spacing w:after="80" w:before="80"/>
      </w:pPr>
      <w:r>
        <w:rPr>
          <w:rFonts w:ascii="Arial" w:cs="Arial" w:eastAsia="Arial" w:hAnsi="Arial"/>
          <w:color w:val="2C3E50"/>
          <w:sz w:val="22"/>
          <w:szCs w:val="22"/>
        </w:rPr>
        <w:t xml:space="preserve">A continuación se presentan las fichas técnicas completas y mejoradas de los productos recomendados para incorporar al catálogo de Proyecto Red. Cada ficha incluye especificaciones técnicas precisas, aplicaciones recomendadas, normas aplicables y proveedores sugeridos para cotización.</w:t>
      </w:r>
    </w:p>
    <w:p>
      <w:pPr>
        <w:spacing w:after="40" w:before="40"/>
      </w:pPr>
      <w:r>
        <w:t xml:space="preserve"/>
      </w:r>
    </w:p>
    <w:p>
      <w:pPr>
        <w:pStyle w:val="Heading3"/>
        <w:spacing w:after="80" w:before="240"/>
      </w:pPr>
      <w:r>
        <w:rPr>
          <w:rFonts w:ascii="Arial" w:cs="Arial" w:eastAsia="Arial" w:hAnsi="Arial"/>
          <w:b/>
          <w:bCs/>
          <w:color w:val="2C3E50"/>
          <w:sz w:val="24"/>
          <w:szCs w:val="24"/>
        </w:rPr>
        <w:t xml:space="preserve">1. PQS BC — Polvo Seco Bicarbonato de Sodio (Clase B/C)</w:t>
      </w:r>
    </w:p>
    <w:p>
      <w:pPr>
        <w:spacing w:after="80" w:before="80"/>
      </w:pPr>
      <w:r>
        <w:rPr>
          <w:rFonts w:ascii="Arial" w:cs="Arial" w:eastAsia="Arial" w:hAnsi="Arial"/>
          <w:color w:val="2C3E50"/>
          <w:sz w:val="22"/>
          <w:szCs w:val="22"/>
        </w:rPr>
        <w:t xml:space="preserve">Extintor de polvo seco basado en bicarbonato de sodio (NaHCO₃), especialmente eficaz en fuegos Clase B (líquidos inflamables) y Clase C (equipos eléctricos energizados). No combate fuegos Clase A. Deja menos residuo corrosivo sobre equipos metálicos en comparación con el polvo ABC. Es el estándar en plantas de refinación, estaciones de servicio y talleres de mantenimiento de maquinaria.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Especificación</w:t>
            </w:r>
          </w:p>
        </w:tc>
        <w:tc>
          <w:tcPr>
            <w:tcW w:type="dxa" w:w="586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Detalle</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Agente extintor</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Bicarbonato de sodio (NaHCO₃) seco, fluidizado y siliconizado</w:t>
            </w:r>
          </w:p>
        </w:tc>
      </w:tr>
      <w:tr>
        <w:tc>
          <w:tcPr>
            <w:tcW w:type="dxa" w:w="35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Clases de fuego</w:t>
            </w:r>
          </w:p>
        </w:tc>
        <w:tc>
          <w:tcPr>
            <w:tcW w:type="dxa" w:w="58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B (líquidos inflamables) · C (equipos eléctricos)</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Capacidades disponibles</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4.5 kg · 6 kg · 9 kg · 12 kg · 20 kg</w:t>
            </w:r>
          </w:p>
        </w:tc>
      </w:tr>
      <w:tr>
        <w:tc>
          <w:tcPr>
            <w:tcW w:type="dxa" w:w="35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Tiempo de descarga (6 kg)</w:t>
            </w:r>
          </w:p>
        </w:tc>
        <w:tc>
          <w:tcPr>
            <w:tcW w:type="dxa" w:w="58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~12–14 segundos</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Alcance efectivo</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3–5 metros según capacidad</w:t>
            </w:r>
          </w:p>
        </w:tc>
      </w:tr>
      <w:tr>
        <w:tc>
          <w:tcPr>
            <w:tcW w:type="dxa" w:w="35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Presión de carga</w:t>
            </w:r>
          </w:p>
        </w:tc>
        <w:tc>
          <w:tcPr>
            <w:tcW w:type="dxa" w:w="58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9–12 bar (stored pressure con manómetro)</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Temperatura de operación</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-40°C a +60°C</w:t>
            </w:r>
          </w:p>
        </w:tc>
      </w:tr>
      <w:tr>
        <w:tc>
          <w:tcPr>
            <w:tcW w:type="dxa" w:w="35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Cilindro</w:t>
            </w:r>
          </w:p>
        </w:tc>
        <w:tc>
          <w:tcPr>
            <w:tcW w:type="dxa" w:w="58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Acero con tratamiento fosfatizado y pintura epoxi roja</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Válvula</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Latón cromado o aluminio anodizado (según línea)</w:t>
            </w:r>
          </w:p>
        </w:tc>
      </w:tr>
      <w:tr>
        <w:tc>
          <w:tcPr>
            <w:tcW w:type="dxa" w:w="35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Garantía de fabricante</w:t>
            </w:r>
          </w:p>
        </w:tc>
        <w:tc>
          <w:tcPr>
            <w:tcW w:type="dxa" w:w="58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5 años (cilindro y válvula)</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Aplicaciones recomendadas</w:t>
            </w:r>
          </w:p>
        </w:tc>
        <w:tc>
          <w:tcPr>
            <w:tcW w:type="dxa" w:w="4680"/>
            <w:gridSpan w:val="1"/>
            <w:tcBorders>
              <w:top w:val="single" w:color="BDC3C7" w:sz="1"/>
              <w:left w:val="single" w:color="BDC3C7" w:sz="1"/>
              <w:bottom w:val="single" w:color="BDC3C7" w:sz="1"/>
              <w:right w:val="single" w:color="BDC3C7" w:sz="1"/>
            </w:tcBorders>
            <w:shd w:fill="C0392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Normas aplicables</w:t>
            </w:r>
          </w:p>
        </w:tc>
      </w:tr>
      <w:tr>
        <w:tc>
          <w:tcPr>
            <w:tcW w:type="dxa" w:w="468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Talleres de soldadura sobre metales · Estaciones de servicio (gasolina/diésel) · Cuartos eléctricos y tableros · Plantas de refinación y petroquímica · Vehículos de transporte de combustible · Compresores y motores industriales</w:t>
            </w:r>
          </w:p>
        </w:tc>
        <w:tc>
          <w:tcPr>
            <w:tcW w:type="dxa" w:w="468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NOM-154-SCFI (extintor) · NOM-002-STPS-2010 (condiciones de seguridad STPS) · NOM-100-STPS (polvo químico seco) · NFPA 10 (Standard for Portable Fire Extinguishers)</w:t>
            </w:r>
          </w:p>
        </w:tc>
      </w:tr>
    </w:tbl>
    <w:p>
      <w:pPr>
        <w:spacing w:after="40" w:before="40"/>
      </w:pPr>
      <w:r>
        <w:t xml:space="preserve"/>
      </w:r>
    </w:p>
    <w:p>
      <w:pPr>
        <w:spacing w:after="80" w:before="80"/>
      </w:pPr>
      <w:r>
        <w:rPr>
          <w:rFonts w:ascii="Arial" w:cs="Arial" w:eastAsia="Arial" w:hAnsi="Arial"/>
          <w:b w:val="false"/>
          <w:bCs w:val="false"/>
          <w:color w:val="555555"/>
          <w:sz w:val="22"/>
          <w:szCs w:val="22"/>
        </w:rPr>
        <w:t xml:space="preserve">Proveedor(es) sugerido(s): Amerex Corporation (dist. México: Safe Systems) · Buckeye Fire Equipment · Fabricantes nacionales con certificación NOM</w:t>
      </w:r>
    </w:p>
    <w:p>
      <w:hyperlink w:history="1" r:id="rIdjgymmh4tkzyjnzwhy-jo2">
        <w:r>
          <w:rPr>
            <w:rStyle w:val="Hyperlink"/>
            <w:rFonts w:ascii="Arial" w:cs="Arial" w:eastAsia="Arial" w:hAnsi="Arial"/>
            <w:sz w:val="20"/>
            <w:szCs w:val="20"/>
          </w:rPr>
          <w:t xml:space="preserve">https://www.amerex-fire.com/products/fire-extinguishers/portable-fire-extinguishers/abc/</w:t>
        </w:r>
      </w:hyperlink>
    </w:p>
    <w:p>
      <w:pPr>
        <w:spacing w:after="40" w:before="40"/>
      </w:pPr>
      <w:r>
        <w:t xml:space="preserve"/>
      </w:r>
    </w:p>
    <w:p>
      <w:pPr>
        <w:spacing w:after="40" w:before="40"/>
      </w:pPr>
      <w:r>
        <w:t xml:space="preserve"/>
      </w:r>
    </w:p>
    <w:p>
      <w:pPr>
        <w:pStyle w:val="Heading3"/>
        <w:spacing w:after="80" w:before="240"/>
      </w:pPr>
      <w:r>
        <w:rPr>
          <w:rFonts w:ascii="Arial" w:cs="Arial" w:eastAsia="Arial" w:hAnsi="Arial"/>
          <w:b/>
          <w:bCs/>
          <w:color w:val="2C3E50"/>
          <w:sz w:val="24"/>
          <w:szCs w:val="24"/>
        </w:rPr>
        <w:t xml:space="preserve">2. PQS ABC — 20 kg Portátil</w:t>
      </w:r>
    </w:p>
    <w:p>
      <w:pPr>
        <w:spacing w:after="80" w:before="80"/>
      </w:pPr>
      <w:r>
        <w:rPr>
          <w:rFonts w:ascii="Arial" w:cs="Arial" w:eastAsia="Arial" w:hAnsi="Arial"/>
          <w:color w:val="2C3E50"/>
          <w:sz w:val="22"/>
          <w:szCs w:val="22"/>
        </w:rPr>
        <w:t xml:space="preserve">Extintor de polvo ABC de 20 kg en presentación portátil sobre soporte de piso o mural reforzado. Cubre el vacío entre el modelo de 12 kg y los rodantes de 25 kg. Es la capacidad estándar para bodegas de distribución, plantas de manufactura medianas y espacios donde un rodante resulta excesivo pero el de 12 kg queda insuficiente. Muy solicitado por industria automotriz, logística y manufactura.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Especificación</w:t>
            </w:r>
          </w:p>
        </w:tc>
        <w:tc>
          <w:tcPr>
            <w:tcW w:type="dxa" w:w="586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Detalle</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Agente extintor</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Fosfato monoamónico (MAP) ABC, fluidizado y siliconizado</w:t>
            </w:r>
          </w:p>
        </w:tc>
      </w:tr>
      <w:tr>
        <w:tc>
          <w:tcPr>
            <w:tcW w:type="dxa" w:w="35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Clases de fuego</w:t>
            </w:r>
          </w:p>
        </w:tc>
        <w:tc>
          <w:tcPr>
            <w:tcW w:type="dxa" w:w="58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A · B · C (multiusos)</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Capacidad</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20 kg</w:t>
            </w:r>
          </w:p>
        </w:tc>
      </w:tr>
      <w:tr>
        <w:tc>
          <w:tcPr>
            <w:tcW w:type="dxa" w:w="35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Tiempo de descarga</w:t>
            </w:r>
          </w:p>
        </w:tc>
        <w:tc>
          <w:tcPr>
            <w:tcW w:type="dxa" w:w="58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~25–30 segundos</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Alcance efectivo</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5–6 metros</w:t>
            </w:r>
          </w:p>
        </w:tc>
      </w:tr>
      <w:tr>
        <w:tc>
          <w:tcPr>
            <w:tcW w:type="dxa" w:w="35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Presión de carga</w:t>
            </w:r>
          </w:p>
        </w:tc>
        <w:tc>
          <w:tcPr>
            <w:tcW w:type="dxa" w:w="58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10–12 bar con manómetro visual</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Temperatura de operación</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-20°C a +60°C</w:t>
            </w:r>
          </w:p>
        </w:tc>
      </w:tr>
      <w:tr>
        <w:tc>
          <w:tcPr>
            <w:tcW w:type="dxa" w:w="35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Cilindro</w:t>
            </w:r>
          </w:p>
        </w:tc>
        <w:tc>
          <w:tcPr>
            <w:tcW w:type="dxa" w:w="58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Acero soldado, tratamiento anticorrosión, pintura roja</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Accesorios</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Manguera flexible 60 cm con boquilla de abanico, soporte metálico incluido</w:t>
            </w:r>
          </w:p>
        </w:tc>
      </w:tr>
      <w:tr>
        <w:tc>
          <w:tcPr>
            <w:tcW w:type="dxa" w:w="35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Dimensiones aprox.</w:t>
            </w:r>
          </w:p>
        </w:tc>
        <w:tc>
          <w:tcPr>
            <w:tcW w:type="dxa" w:w="58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Altura: 65 cm · Diámetro: 22 cm</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Peso total</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~26 kg cargado</w:t>
            </w:r>
          </w:p>
        </w:tc>
      </w:tr>
      <w:tr>
        <w:tc>
          <w:tcPr>
            <w:tcW w:type="dxa" w:w="35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Prueba hidrostática</w:t>
            </w:r>
          </w:p>
        </w:tc>
        <w:tc>
          <w:tcPr>
            <w:tcW w:type="dxa" w:w="58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Cada 5 años conforme a NOM-154-SCFI</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Aplicaciones recomendadas</w:t>
            </w:r>
          </w:p>
        </w:tc>
        <w:tc>
          <w:tcPr>
            <w:tcW w:type="dxa" w:w="4680"/>
            <w:gridSpan w:val="1"/>
            <w:tcBorders>
              <w:top w:val="single" w:color="BDC3C7" w:sz="1"/>
              <w:left w:val="single" w:color="BDC3C7" w:sz="1"/>
              <w:bottom w:val="single" w:color="BDC3C7" w:sz="1"/>
              <w:right w:val="single" w:color="BDC3C7" w:sz="1"/>
            </w:tcBorders>
            <w:shd w:fill="C0392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Normas aplicables</w:t>
            </w:r>
          </w:p>
        </w:tc>
      </w:tr>
      <w:tr>
        <w:tc>
          <w:tcPr>
            <w:tcW w:type="dxa" w:w="468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Bodegas de almacenamiento · Plantas de manufactura mediana · Talleres automotrices · Hangares de aeronaves ligeras · Áreas de carga y descarga · Industria de plásticos y pinturas</w:t>
            </w:r>
          </w:p>
        </w:tc>
        <w:tc>
          <w:tcPr>
            <w:tcW w:type="dxa" w:w="468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NOM-154-SCFI · NOM-002-STPS-2010 · NOM-100-STPS · NFPA 10 Sección 5.4</w:t>
            </w:r>
          </w:p>
        </w:tc>
      </w:tr>
    </w:tbl>
    <w:p>
      <w:pPr>
        <w:spacing w:after="40" w:before="40"/>
      </w:pPr>
      <w:r>
        <w:t xml:space="preserve"/>
      </w:r>
    </w:p>
    <w:p>
      <w:pPr>
        <w:spacing w:after="80" w:before="80"/>
      </w:pPr>
      <w:r>
        <w:rPr>
          <w:rFonts w:ascii="Arial" w:cs="Arial" w:eastAsia="Arial" w:hAnsi="Arial"/>
          <w:b w:val="false"/>
          <w:bCs w:val="false"/>
          <w:color w:val="555555"/>
          <w:sz w:val="22"/>
          <w:szCs w:val="22"/>
        </w:rPr>
        <w:t xml:space="preserve">Proveedor(es) sugerido(s): Amerex (modelo B441 / B402) · Badger Fire Protection · Fabricantes nacionales con NOM</w:t>
      </w:r>
    </w:p>
    <w:p>
      <w:hyperlink w:history="1" r:id="rId0a98qe43l1zivemahhi1q">
        <w:r>
          <w:rPr>
            <w:rStyle w:val="Hyperlink"/>
            <w:rFonts w:ascii="Arial" w:cs="Arial" w:eastAsia="Arial" w:hAnsi="Arial"/>
            <w:sz w:val="20"/>
            <w:szCs w:val="20"/>
          </w:rPr>
          <w:t xml:space="preserve">https://www.amerex-fire.com/products/fire-extinguishers/portable-fire-extinguishers/abc/</w:t>
        </w:r>
      </w:hyperlink>
    </w:p>
    <w:p>
      <w:pPr>
        <w:spacing w:after="40" w:before="40"/>
      </w:pPr>
      <w:r>
        <w:t xml:space="preserve"/>
      </w:r>
    </w:p>
    <w:p>
      <w:pPr>
        <w:spacing w:after="40" w:before="40"/>
      </w:pPr>
      <w:r>
        <w:t xml:space="preserve"/>
      </w:r>
    </w:p>
    <w:p>
      <w:pPr>
        <w:pStyle w:val="Heading3"/>
        <w:spacing w:after="80" w:before="240"/>
      </w:pPr>
      <w:r>
        <w:rPr>
          <w:rFonts w:ascii="Arial" w:cs="Arial" w:eastAsia="Arial" w:hAnsi="Arial"/>
          <w:b/>
          <w:bCs/>
          <w:color w:val="2C3E50"/>
          <w:sz w:val="24"/>
          <w:szCs w:val="24"/>
        </w:rPr>
        <w:t xml:space="preserve">3. PQS Rodante 100 kg — Industrial Pesado</w:t>
      </w:r>
    </w:p>
    <w:p>
      <w:pPr>
        <w:spacing w:after="80" w:before="80"/>
      </w:pPr>
      <w:r>
        <w:rPr>
          <w:rFonts w:ascii="Arial" w:cs="Arial" w:eastAsia="Arial" w:hAnsi="Arial"/>
          <w:color w:val="2C3E50"/>
          <w:sz w:val="22"/>
          <w:szCs w:val="22"/>
        </w:rPr>
        <w:t xml:space="preserve">Extintor rodante de polvo ABC de 100 kg para protección de hazards de alto riesgo. Dotado de ruedas neumáticas para maniobra sobre terreno irregular y manguera de descarga de 6–8 metros. Operado por un solo bombero o brigadista. Cubre la brecha entre los rodantes de 50 kg y los de 150 kg, ofreciendo versatilidad en plantas con riesgo elevado como almacenamiento de solventes, producción química y plataformas de distribución de combustible.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Especificación</w:t>
            </w:r>
          </w:p>
        </w:tc>
        <w:tc>
          <w:tcPr>
            <w:tcW w:type="dxa" w:w="586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Detalle</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Agente extintor</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Polvo ABC (fosfato monoamónico)</w:t>
            </w:r>
          </w:p>
        </w:tc>
      </w:tr>
      <w:tr>
        <w:tc>
          <w:tcPr>
            <w:tcW w:type="dxa" w:w="35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Clases de fuego</w:t>
            </w:r>
          </w:p>
        </w:tc>
        <w:tc>
          <w:tcPr>
            <w:tcW w:type="dxa" w:w="58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A · B · C</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Capacidad</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100 kg</w:t>
            </w:r>
          </w:p>
        </w:tc>
      </w:tr>
      <w:tr>
        <w:tc>
          <w:tcPr>
            <w:tcW w:type="dxa" w:w="35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Tiempo de descarga</w:t>
            </w:r>
          </w:p>
        </w:tc>
        <w:tc>
          <w:tcPr>
            <w:tcW w:type="dxa" w:w="58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~35–45 segundos</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Alcance efectivo</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Hasta 10 metros</w:t>
            </w:r>
          </w:p>
        </w:tc>
      </w:tr>
      <w:tr>
        <w:tc>
          <w:tcPr>
            <w:tcW w:type="dxa" w:w="35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Mecanismo de presurización</w:t>
            </w:r>
          </w:p>
        </w:tc>
        <w:tc>
          <w:tcPr>
            <w:tcW w:type="dxa" w:w="58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Cilindro de nitrógeno (N₂) externo — válvula de apertura rápida</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Manguera</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6 metros, manguera reforzada con boquilla de palanca</w:t>
            </w:r>
          </w:p>
        </w:tc>
      </w:tr>
      <w:tr>
        <w:tc>
          <w:tcPr>
            <w:tcW w:type="dxa" w:w="35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Ruedas</w:t>
            </w:r>
          </w:p>
        </w:tc>
        <w:tc>
          <w:tcPr>
            <w:tcW w:type="dxa" w:w="58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Neumáticas 12" para terreno mixto</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Cilindro</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Acero de alta resistencia, revestimiento epoxi rojo</w:t>
            </w:r>
          </w:p>
        </w:tc>
      </w:tr>
      <w:tr>
        <w:tc>
          <w:tcPr>
            <w:tcW w:type="dxa" w:w="35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Válvula</w:t>
            </w:r>
          </w:p>
        </w:tc>
        <w:tc>
          <w:tcPr>
            <w:tcW w:type="dxa" w:w="58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Latón cromado heavy-duty</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Dimensiones aprox.</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Altura: 115 cm · Diámetro cilindro: 32 cm</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Aplicaciones recomendadas</w:t>
            </w:r>
          </w:p>
        </w:tc>
        <w:tc>
          <w:tcPr>
            <w:tcW w:type="dxa" w:w="4680"/>
            <w:gridSpan w:val="1"/>
            <w:tcBorders>
              <w:top w:val="single" w:color="BDC3C7" w:sz="1"/>
              <w:left w:val="single" w:color="BDC3C7" w:sz="1"/>
              <w:bottom w:val="single" w:color="BDC3C7" w:sz="1"/>
              <w:right w:val="single" w:color="BDC3C7" w:sz="1"/>
            </w:tcBorders>
            <w:shd w:fill="C0392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Normas aplicables</w:t>
            </w:r>
          </w:p>
        </w:tc>
      </w:tr>
      <w:tr>
        <w:tc>
          <w:tcPr>
            <w:tcW w:type="dxa" w:w="468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Plantas de almacenamiento de combustible · Industria química y petroquímica · Hangares de aviación · Muelles de carga y descarga · Terminales de transporte · Subestaciones eléctricas</w:t>
            </w:r>
          </w:p>
        </w:tc>
        <w:tc>
          <w:tcPr>
            <w:tcW w:type="dxa" w:w="468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NFPA 10 (Wheeled Extinguishers) · NOM-002-STPS · UL 711 (equivalente)</w:t>
            </w:r>
          </w:p>
        </w:tc>
      </w:tr>
    </w:tbl>
    <w:p>
      <w:pPr>
        <w:spacing w:after="40" w:before="40"/>
      </w:pPr>
      <w:r>
        <w:t xml:space="preserve"/>
      </w:r>
    </w:p>
    <w:p>
      <w:pPr>
        <w:spacing w:after="80" w:before="80"/>
      </w:pPr>
      <w:r>
        <w:rPr>
          <w:rFonts w:ascii="Arial" w:cs="Arial" w:eastAsia="Arial" w:hAnsi="Arial"/>
          <w:b w:val="false"/>
          <w:bCs w:val="false"/>
          <w:color w:val="555555"/>
          <w:sz w:val="22"/>
          <w:szCs w:val="22"/>
        </w:rPr>
        <w:t xml:space="preserve">Proveedor(es) sugerido(s): Amerex (Wheeled Dry Chemical) · Buckeye Fire Equipment · Kidde Industrial</w:t>
      </w:r>
    </w:p>
    <w:p>
      <w:hyperlink w:history="1" r:id="rIds_f0nmpvsjuul31u891ak">
        <w:r>
          <w:rPr>
            <w:rStyle w:val="Hyperlink"/>
            <w:rFonts w:ascii="Arial" w:cs="Arial" w:eastAsia="Arial" w:hAnsi="Arial"/>
            <w:sz w:val="20"/>
            <w:szCs w:val="20"/>
          </w:rPr>
          <w:t xml:space="preserve">https://www.amerex-fire.com/products/fire-extinguishers/wheeled-fire-extinguishers/dry-chemical/</w:t>
        </w:r>
      </w:hyperlink>
    </w:p>
    <w:p>
      <w:pPr>
        <w:spacing w:after="40" w:before="40"/>
      </w:pPr>
      <w:r>
        <w:t xml:space="preserve"/>
      </w:r>
    </w:p>
    <w:p>
      <w:pPr>
        <w:spacing w:after="40" w:before="40"/>
      </w:pPr>
      <w:r>
        <w:t xml:space="preserve"/>
      </w:r>
    </w:p>
    <w:p>
      <w:pPr>
        <w:pStyle w:val="Heading3"/>
        <w:spacing w:after="80" w:before="240"/>
      </w:pPr>
      <w:r>
        <w:rPr>
          <w:rFonts w:ascii="Arial" w:cs="Arial" w:eastAsia="Arial" w:hAnsi="Arial"/>
          <w:b/>
          <w:bCs/>
          <w:color w:val="2C3E50"/>
          <w:sz w:val="24"/>
          <w:szCs w:val="24"/>
        </w:rPr>
        <w:t xml:space="preserve">4. PQS Rodante 150 kg — Alto Riesgo / Refinería</w:t>
      </w:r>
    </w:p>
    <w:p>
      <w:pPr>
        <w:spacing w:after="80" w:before="80"/>
      </w:pPr>
      <w:r>
        <w:rPr>
          <w:rFonts w:ascii="Arial" w:cs="Arial" w:eastAsia="Arial" w:hAnsi="Arial"/>
          <w:color w:val="2C3E50"/>
          <w:sz w:val="22"/>
          <w:szCs w:val="22"/>
        </w:rPr>
        <w:t xml:space="preserve">Extintor rodante de polvo seco ABC o Purple K de 150 kg para instalaciones de muy alto riesgo. Utiliza un cilindro de nitrógeno de 55 pies cúbicos con válvula de apertura rápida para presurizar y descargar completamente el agente. Las ruedas de acero de 36" x 6" permiten movilidad en terreno blando o arena. Es el estándar en aeropuertos (ARFF), terminales de petróleo y plantas de refinación. También disponible en versión Purple K (bicarbonato de potasio) para protección de aeronaves.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Especificación</w:t>
            </w:r>
          </w:p>
        </w:tc>
        <w:tc>
          <w:tcPr>
            <w:tcW w:type="dxa" w:w="586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Detalle</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Agente extintor</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ABC (fosfato monoamónico) o Purple K (bicarbonato de potasio)</w:t>
            </w:r>
          </w:p>
        </w:tc>
      </w:tr>
      <w:tr>
        <w:tc>
          <w:tcPr>
            <w:tcW w:type="dxa" w:w="35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Clases de fuego</w:t>
            </w:r>
          </w:p>
        </w:tc>
        <w:tc>
          <w:tcPr>
            <w:tcW w:type="dxa" w:w="58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A · B · C (ABC) o B · C (Purple K)</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Capacidad</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150 kg / 330 lb</w:t>
            </w:r>
          </w:p>
        </w:tc>
      </w:tr>
      <w:tr>
        <w:tc>
          <w:tcPr>
            <w:tcW w:type="dxa" w:w="35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Tiempo de descarga</w:t>
            </w:r>
          </w:p>
        </w:tc>
        <w:tc>
          <w:tcPr>
            <w:tcW w:type="dxa" w:w="58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~55–65 segundos</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Alcance efectivo</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Hasta 12 metros</w:t>
            </w:r>
          </w:p>
        </w:tc>
      </w:tr>
      <w:tr>
        <w:tc>
          <w:tcPr>
            <w:tcW w:type="dxa" w:w="35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Mecanismo</w:t>
            </w:r>
          </w:p>
        </w:tc>
        <w:tc>
          <w:tcPr>
            <w:tcW w:type="dxa" w:w="58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Cilindro N₂ 55 ft³ — apertura rápida brass valve</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Manguera</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9 metros con boquilla de palanca con cierre</w:t>
            </w:r>
          </w:p>
        </w:tc>
      </w:tr>
      <w:tr>
        <w:tc>
          <w:tcPr>
            <w:tcW w:type="dxa" w:w="35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Ruedas</w:t>
            </w:r>
          </w:p>
        </w:tc>
        <w:tc>
          <w:tcPr>
            <w:tcW w:type="dxa" w:w="58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Acero 36" x 6" para terreno blando y arenas</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Apertura de llenado</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Apertura 4" de acero inoxidable</w:t>
            </w:r>
          </w:p>
        </w:tc>
      </w:tr>
      <w:tr>
        <w:tc>
          <w:tcPr>
            <w:tcW w:type="dxa" w:w="35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Peso total cargado</w:t>
            </w:r>
          </w:p>
        </w:tc>
        <w:tc>
          <w:tcPr>
            <w:tcW w:type="dxa" w:w="58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~210 kg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Aplicaciones recomendadas</w:t>
            </w:r>
          </w:p>
        </w:tc>
        <w:tc>
          <w:tcPr>
            <w:tcW w:type="dxa" w:w="4680"/>
            <w:gridSpan w:val="1"/>
            <w:tcBorders>
              <w:top w:val="single" w:color="BDC3C7" w:sz="1"/>
              <w:left w:val="single" w:color="BDC3C7" w:sz="1"/>
              <w:bottom w:val="single" w:color="BDC3C7" w:sz="1"/>
              <w:right w:val="single" w:color="BDC3C7" w:sz="1"/>
            </w:tcBorders>
            <w:shd w:fill="C0392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Normas aplicables</w:t>
            </w:r>
          </w:p>
        </w:tc>
      </w:tr>
      <w:tr>
        <w:tc>
          <w:tcPr>
            <w:tcW w:type="dxa" w:w="468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Aeropuertos y zonas ARFF · Refinerías de petróleo · Terminales de gas LP y combustibles · Plantas eléctricas y subestaciones · Plataformas marinas y offshore · Pruebas de motores aeronáuticos</w:t>
            </w:r>
          </w:p>
        </w:tc>
        <w:tc>
          <w:tcPr>
            <w:tcW w:type="dxa" w:w="468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NFPA 10 · NFPA 412 (Aircraft Rescue) · ICAO Annex 14 · UL 711 · NOM-002-STPS</w:t>
            </w:r>
          </w:p>
        </w:tc>
      </w:tr>
    </w:tbl>
    <w:p>
      <w:pPr>
        <w:spacing w:after="40" w:before="40"/>
      </w:pPr>
      <w:r>
        <w:t xml:space="preserve"/>
      </w:r>
    </w:p>
    <w:p>
      <w:pPr>
        <w:spacing w:after="80" w:before="80"/>
      </w:pPr>
      <w:r>
        <w:rPr>
          <w:rFonts w:ascii="Arial" w:cs="Arial" w:eastAsia="Arial" w:hAnsi="Arial"/>
          <w:b w:val="false"/>
          <w:bCs w:val="false"/>
          <w:color w:val="555555"/>
          <w:sz w:val="22"/>
          <w:szCs w:val="22"/>
        </w:rPr>
        <w:t xml:space="preserve">Proveedor(es) sugerido(s): Amerex Corporation (USA/Dist. México) · Kidde Global Solutions · Ansul Tyco</w:t>
      </w:r>
    </w:p>
    <w:p>
      <w:hyperlink w:history="1" r:id="rIdeex6unqndsyhqo1esrudv">
        <w:r>
          <w:rPr>
            <w:rStyle w:val="Hyperlink"/>
            <w:rFonts w:ascii="Arial" w:cs="Arial" w:eastAsia="Arial" w:hAnsi="Arial"/>
            <w:sz w:val="20"/>
            <w:szCs w:val="20"/>
          </w:rPr>
          <w:t xml:space="preserve">https://www.amerex-fire.com/products/fire-extinguishers/wheeled-fire-extinguishers/dry-chemical/</w:t>
        </w:r>
      </w:hyperlink>
    </w:p>
    <w:p>
      <w:pPr>
        <w:spacing w:after="40" w:before="40"/>
      </w:pPr>
      <w:r>
        <w:t xml:space="preserve"/>
      </w:r>
    </w:p>
    <w:p>
      <w:pPr>
        <w:spacing w:after="40" w:before="40"/>
      </w:pPr>
      <w:r>
        <w:t xml:space="preserve"/>
      </w:r>
    </w:p>
    <w:p>
      <w:pPr>
        <w:pStyle w:val="Heading3"/>
        <w:spacing w:after="80" w:before="240"/>
      </w:pPr>
      <w:r>
        <w:rPr>
          <w:rFonts w:ascii="Arial" w:cs="Arial" w:eastAsia="Arial" w:hAnsi="Arial"/>
          <w:b/>
          <w:bCs/>
          <w:color w:val="2C3E50"/>
          <w:sz w:val="24"/>
          <w:szCs w:val="24"/>
        </w:rPr>
        <w:t xml:space="preserve">5. PQS Alto Flujo (High Flow Dry Chemical)</w:t>
      </w:r>
    </w:p>
    <w:p>
      <w:pPr>
        <w:spacing w:after="80" w:before="80"/>
      </w:pPr>
      <w:r>
        <w:rPr>
          <w:rFonts w:ascii="Arial" w:cs="Arial" w:eastAsia="Arial" w:hAnsi="Arial"/>
          <w:color w:val="2C3E50"/>
          <w:sz w:val="22"/>
          <w:szCs w:val="22"/>
        </w:rPr>
        <w:t xml:space="preserve">Extintores de polvo seco diseñados para cumplir con los requisitos de tasa de descarga superior a 0.45 kg/s (1 lb/s) especificados por NFPA 10 para ciertos tipos de riesgos. Se fabrican con la misma calidad de hardware y bajo las mismas especificaciones UL que los extintores estándar, pero con boquilla y válvula optimizadas para alto flujo. Son requeridos específicamente en industria oil &amp; gas, plantas eléctricas y cualquier instalación que deba cumplir NFPA 10 Sección 5.4.4.</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Especificación</w:t>
            </w:r>
          </w:p>
        </w:tc>
        <w:tc>
          <w:tcPr>
            <w:tcW w:type="dxa" w:w="586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Detalle</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Agente extintor</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ABC (fosfato monoamónico) o BC (bicarbonato de sodio)</w:t>
            </w:r>
          </w:p>
        </w:tc>
      </w:tr>
      <w:tr>
        <w:tc>
          <w:tcPr>
            <w:tcW w:type="dxa" w:w="35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Clases de fuego</w:t>
            </w:r>
          </w:p>
        </w:tc>
        <w:tc>
          <w:tcPr>
            <w:tcW w:type="dxa" w:w="58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A · B · C (ABC) o B · C (BC)</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Tasa de descarga</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&gt; 0.45 kg/s (1 lb/s) según NFPA 10</w:t>
            </w:r>
          </w:p>
        </w:tc>
      </w:tr>
      <w:tr>
        <w:tc>
          <w:tcPr>
            <w:tcW w:type="dxa" w:w="35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Capacidades disponibles</w:t>
            </w:r>
          </w:p>
        </w:tc>
        <w:tc>
          <w:tcPr>
            <w:tcW w:type="dxa" w:w="58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4 kg · 6 kg · 9 kg · 12 kg</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Tiempo de descarga (9 kg)</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~12–15 segundos (flujo acelerado)</w:t>
            </w:r>
          </w:p>
        </w:tc>
      </w:tr>
      <w:tr>
        <w:tc>
          <w:tcPr>
            <w:tcW w:type="dxa" w:w="35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Alcance efectivo</w:t>
            </w:r>
          </w:p>
        </w:tc>
        <w:tc>
          <w:tcPr>
            <w:tcW w:type="dxa" w:w="58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4–6 metros</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Certificación</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UL Listed · Cumple NFPA 10 Sec. 5.4.4</w:t>
            </w:r>
          </w:p>
        </w:tc>
      </w:tr>
      <w:tr>
        <w:tc>
          <w:tcPr>
            <w:tcW w:type="dxa" w:w="35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Válvula</w:t>
            </w:r>
          </w:p>
        </w:tc>
        <w:tc>
          <w:tcPr>
            <w:tcW w:type="dxa" w:w="58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Latón cromado optimizada para alto flujo</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Diseño cilindro</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Acero de alta resistencia, stored pressure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Aplicaciones recomendadas</w:t>
            </w:r>
          </w:p>
        </w:tc>
        <w:tc>
          <w:tcPr>
            <w:tcW w:type="dxa" w:w="4680"/>
            <w:gridSpan w:val="1"/>
            <w:tcBorders>
              <w:top w:val="single" w:color="BDC3C7" w:sz="1"/>
              <w:left w:val="single" w:color="BDC3C7" w:sz="1"/>
              <w:bottom w:val="single" w:color="BDC3C7" w:sz="1"/>
              <w:right w:val="single" w:color="BDC3C7" w:sz="1"/>
            </w:tcBorders>
            <w:shd w:fill="C0392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Normas aplicables</w:t>
            </w:r>
          </w:p>
        </w:tc>
      </w:tr>
      <w:tr>
        <w:tc>
          <w:tcPr>
            <w:tcW w:type="dxa" w:w="468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Oil &amp; gas (plataformas, ductos, refinación) · Plantas de generación eléctrica · Industria petroquímica · Instalaciones con cumplimiento NFPA 10 obligatorio · Refinación y distribución de combustibles</w:t>
            </w:r>
          </w:p>
        </w:tc>
        <w:tc>
          <w:tcPr>
            <w:tcW w:type="dxa" w:w="468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NFPA 10 Sección 5.4.4 · UL 711 · NOM-002-STPS · NOM-154-SCFI</w:t>
            </w:r>
          </w:p>
        </w:tc>
      </w:tr>
    </w:tbl>
    <w:p>
      <w:pPr>
        <w:spacing w:after="40" w:before="40"/>
      </w:pPr>
      <w:r>
        <w:t xml:space="preserve"/>
      </w:r>
    </w:p>
    <w:p>
      <w:pPr>
        <w:spacing w:after="80" w:before="80"/>
      </w:pPr>
      <w:r>
        <w:rPr>
          <w:rFonts w:ascii="Arial" w:cs="Arial" w:eastAsia="Arial" w:hAnsi="Arial"/>
          <w:b w:val="false"/>
          <w:bCs w:val="false"/>
          <w:color w:val="555555"/>
          <w:sz w:val="22"/>
          <w:szCs w:val="22"/>
        </w:rPr>
        <w:t xml:space="preserve">Proveedor(es) sugerido(s): Amerex High Flow Dry Chemical · Kidde Pro Industrial · Ansul Sentry</w:t>
      </w:r>
    </w:p>
    <w:p>
      <w:hyperlink w:history="1" r:id="rIdysq0t-4togaujpx_1xwzm">
        <w:r>
          <w:rPr>
            <w:rStyle w:val="Hyperlink"/>
            <w:rFonts w:ascii="Arial" w:cs="Arial" w:eastAsia="Arial" w:hAnsi="Arial"/>
            <w:sz w:val="20"/>
            <w:szCs w:val="20"/>
          </w:rPr>
          <w:t xml:space="preserve">https://www.amerex-fire.com/products/fire-extinguishers/portable-fire-extinguishers/high-flow-dry-chemical/</w:t>
        </w:r>
      </w:hyperlink>
    </w:p>
    <w:p>
      <w:pPr>
        <w:spacing w:after="40" w:before="40"/>
      </w:pPr>
      <w:r>
        <w:t xml:space="preserve"/>
      </w:r>
    </w:p>
    <w:p>
      <w:pPr>
        <w:spacing w:after="40" w:before="40"/>
      </w:pPr>
      <w:r>
        <w:t xml:space="preserve"/>
      </w:r>
    </w:p>
    <w:p>
      <w:pPr>
        <w:pStyle w:val="Heading3"/>
        <w:spacing w:after="80" w:before="240"/>
      </w:pPr>
      <w:r>
        <w:rPr>
          <w:rFonts w:ascii="Arial" w:cs="Arial" w:eastAsia="Arial" w:hAnsi="Arial"/>
          <w:b/>
          <w:bCs/>
          <w:color w:val="2C3E50"/>
          <w:sz w:val="24"/>
          <w:szCs w:val="24"/>
        </w:rPr>
        <w:t xml:space="preserve">6. PQS Anticorrosivo — Serie Z (Ambientes Marinos / Costeros)</w:t>
      </w:r>
    </w:p>
    <w:p>
      <w:pPr>
        <w:spacing w:after="80" w:before="80"/>
      </w:pPr>
      <w:r>
        <w:rPr>
          <w:rFonts w:ascii="Arial" w:cs="Arial" w:eastAsia="Arial" w:hAnsi="Arial"/>
          <w:color w:val="2C3E50"/>
          <w:sz w:val="22"/>
          <w:szCs w:val="22"/>
        </w:rPr>
        <w:t xml:space="preserve">Extintores de polvo seco con tratamiento anticorrosivo reforzado: recubrimiento zinc-enriquecido propietario (Amerex Z-Series) que resiste corrosión hasta 12 años en ambientes con alta concentración de sal. Diseñados para instalaciones portuarias, industria marina, plantas costeras y cualquier entorno con humedad extrema. Tienen menores costos de mantenimiento y mayor vida útil que los extintores estándar en estas condiciones.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Especificación</w:t>
            </w:r>
          </w:p>
        </w:tc>
        <w:tc>
          <w:tcPr>
            <w:tcW w:type="dxa" w:w="586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Detalle</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Agente extintor</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Polvo ABC (fosfato monoamónico)</w:t>
            </w:r>
          </w:p>
        </w:tc>
      </w:tr>
      <w:tr>
        <w:tc>
          <w:tcPr>
            <w:tcW w:type="dxa" w:w="35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Clases de fuego</w:t>
            </w:r>
          </w:p>
        </w:tc>
        <w:tc>
          <w:tcPr>
            <w:tcW w:type="dxa" w:w="58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A · B · C</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Capacidades disponibles</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2.5 kg · 4.5 kg · 6 kg · 9 kg · 12 kg</w:t>
            </w:r>
          </w:p>
        </w:tc>
      </w:tr>
      <w:tr>
        <w:tc>
          <w:tcPr>
            <w:tcW w:type="dxa" w:w="35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Recubrimiento anticorrosivo</w:t>
            </w:r>
          </w:p>
        </w:tc>
        <w:tc>
          <w:tcPr>
            <w:tcW w:type="dxa" w:w="58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Zinc-enriquecido propietario — hasta 12 años resistencia salina</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Prueba de resistencia</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Spray salino ASTM B117 — duración extendida</w:t>
            </w:r>
          </w:p>
        </w:tc>
      </w:tr>
      <w:tr>
        <w:tc>
          <w:tcPr>
            <w:tcW w:type="dxa" w:w="35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Válvula</w:t>
            </w:r>
          </w:p>
        </w:tc>
        <w:tc>
          <w:tcPr>
            <w:tcW w:type="dxa" w:w="58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Latón cromado con junta de silicón anti-humedad</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Cilindro</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Acero con recubrimiento doble: base epóxi + zinc + esmalte rojo</w:t>
            </w:r>
          </w:p>
        </w:tc>
      </w:tr>
      <w:tr>
        <w:tc>
          <w:tcPr>
            <w:tcW w:type="dxa" w:w="35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Temperatura de operación</w:t>
            </w:r>
          </w:p>
        </w:tc>
        <w:tc>
          <w:tcPr>
            <w:tcW w:type="dxa" w:w="58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-65°C a +120°F (-53°C a +49°C)</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Garantía</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6 años fabricante (cilindro y válvula)</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Aplicaciones recomendadas</w:t>
            </w:r>
          </w:p>
        </w:tc>
        <w:tc>
          <w:tcPr>
            <w:tcW w:type="dxa" w:w="4680"/>
            <w:gridSpan w:val="1"/>
            <w:tcBorders>
              <w:top w:val="single" w:color="BDC3C7" w:sz="1"/>
              <w:left w:val="single" w:color="BDC3C7" w:sz="1"/>
              <w:bottom w:val="single" w:color="BDC3C7" w:sz="1"/>
              <w:right w:val="single" w:color="BDC3C7" w:sz="1"/>
            </w:tcBorders>
            <w:shd w:fill="C0392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Normas aplicables</w:t>
            </w:r>
          </w:p>
        </w:tc>
      </w:tr>
      <w:tr>
        <w:tc>
          <w:tcPr>
            <w:tcW w:type="dxa" w:w="468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Puertos y terminales marítimas · Embarcaciones y plataformas marinas · Plantas industriales costeras · Zonas con alta humedad o niebla salina · Plantas de tratamiento de agua · Instalaciones en regiones tropicales</w:t>
            </w:r>
          </w:p>
        </w:tc>
        <w:tc>
          <w:tcPr>
            <w:tcW w:type="dxa" w:w="468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NFPA 10 · UL 711 · NOM-154-SCFI · Cumple requisitos de ambientes corrosivos NFPA</w:t>
            </w:r>
          </w:p>
        </w:tc>
      </w:tr>
    </w:tbl>
    <w:p>
      <w:pPr>
        <w:spacing w:after="40" w:before="40"/>
      </w:pPr>
      <w:r>
        <w:t xml:space="preserve"/>
      </w:r>
    </w:p>
    <w:p>
      <w:pPr>
        <w:spacing w:after="80" w:before="80"/>
      </w:pPr>
      <w:r>
        <w:rPr>
          <w:rFonts w:ascii="Arial" w:cs="Arial" w:eastAsia="Arial" w:hAnsi="Arial"/>
          <w:b w:val="false"/>
          <w:bCs w:val="false"/>
          <w:color w:val="555555"/>
          <w:sz w:val="22"/>
          <w:szCs w:val="22"/>
        </w:rPr>
        <w:t xml:space="preserve">Proveedor(es) sugerido(s): Amerex Z-Series (principal) · Kidde Marine · Badger Industrial Marine</w:t>
      </w:r>
    </w:p>
    <w:p>
      <w:hyperlink w:history="1" r:id="rId0l2g5pmwicxwbqwki835r">
        <w:r>
          <w:rPr>
            <w:rStyle w:val="Hyperlink"/>
            <w:rFonts w:ascii="Arial" w:cs="Arial" w:eastAsia="Arial" w:hAnsi="Arial"/>
            <w:sz w:val="20"/>
            <w:szCs w:val="20"/>
          </w:rPr>
          <w:t xml:space="preserve">https://www.amerex-fire.com/products/fire-extinguishers/portable-fire-extinguishers/z-series/</w:t>
        </w:r>
      </w:hyperlink>
    </w:p>
    <w:p>
      <w:pPr>
        <w:spacing w:after="40" w:before="40"/>
      </w:pPr>
      <w:r>
        <w:t xml:space="preserve"/>
      </w:r>
    </w:p>
    <w:p>
      <w:pPr>
        <w:spacing w:after="40" w:before="40"/>
      </w:pPr>
      <w:r>
        <w:t xml:space="preserve"/>
      </w:r>
    </w:p>
    <w:p>
      <w:pPr>
        <w:pStyle w:val="Heading3"/>
        <w:spacing w:after="80" w:before="240"/>
      </w:pPr>
      <w:r>
        <w:rPr>
          <w:rFonts w:ascii="Arial" w:cs="Arial" w:eastAsia="Arial" w:hAnsi="Arial"/>
          <w:b/>
          <w:bCs/>
          <w:color w:val="2C3E50"/>
          <w:sz w:val="24"/>
          <w:szCs w:val="24"/>
        </w:rPr>
        <w:t xml:space="preserve">7. PQS Automático Colgante — Activación Térmica</w:t>
      </w:r>
    </w:p>
    <w:p>
      <w:pPr>
        <w:spacing w:after="80" w:before="80"/>
      </w:pPr>
      <w:r>
        <w:rPr>
          <w:rFonts w:ascii="Arial" w:cs="Arial" w:eastAsia="Arial" w:hAnsi="Arial"/>
          <w:color w:val="2C3E50"/>
          <w:sz w:val="22"/>
          <w:szCs w:val="22"/>
        </w:rPr>
        <w:t xml:space="preserve">Extintor automático de polvo seco que se activa sin intervención humana cuando la temperatura del área alcanza el umbral de fusión del bulbo activador (generalmente 57°C–79°C). Diseñado para instalaciones donde no siempre hay personal presente: cuartos de servidores, paneles eléctricos, cabinas de maquinaria CNC, generadores, transformadores y áreas de almacenamiento con carga combustible. Se cuelga sobre el riesgo específico y actúa directamente sobre el foco del incendio.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Especificación</w:t>
            </w:r>
          </w:p>
        </w:tc>
        <w:tc>
          <w:tcPr>
            <w:tcW w:type="dxa" w:w="586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Detalle</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Agente extintor</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Polvo ABC o BC (bicarbonato de sodio)</w:t>
            </w:r>
          </w:p>
        </w:tc>
      </w:tr>
      <w:tr>
        <w:tc>
          <w:tcPr>
            <w:tcW w:type="dxa" w:w="35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Clases de fuego</w:t>
            </w:r>
          </w:p>
        </w:tc>
        <w:tc>
          <w:tcPr>
            <w:tcW w:type="dxa" w:w="58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A · B · C</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Capacidades típicas</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1 kg · 2 kg · 4 kg · 6 kg</w:t>
            </w:r>
          </w:p>
        </w:tc>
      </w:tr>
      <w:tr>
        <w:tc>
          <w:tcPr>
            <w:tcW w:type="dxa" w:w="35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Activación</w:t>
            </w:r>
          </w:p>
        </w:tc>
        <w:tc>
          <w:tcPr>
            <w:tcW w:type="dxa" w:w="58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Térmica automática — bulbo de vidrio fusible</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Temperatura de activación</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57°C · 68°C · 79°C (según configuración)</w:t>
            </w:r>
          </w:p>
        </w:tc>
      </w:tr>
      <w:tr>
        <w:tc>
          <w:tcPr>
            <w:tcW w:type="dxa" w:w="35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Modo de montaje</w:t>
            </w:r>
          </w:p>
        </w:tc>
        <w:tc>
          <w:tcPr>
            <w:tcW w:type="dxa" w:w="58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Colgante sobre el riesgo — orientación boca abajo</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Requiere operador</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No — activación 100% automática</w:t>
            </w:r>
          </w:p>
        </w:tc>
      </w:tr>
      <w:tr>
        <w:tc>
          <w:tcPr>
            <w:tcW w:type="dxa" w:w="35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Cobertura aprox.</w:t>
            </w:r>
          </w:p>
        </w:tc>
        <w:tc>
          <w:tcPr>
            <w:tcW w:type="dxa" w:w="58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Área de 2–4 m² bajo el punto de montaje</w:t>
            </w:r>
          </w:p>
        </w:tc>
      </w:tr>
      <w:tr>
        <w:tc>
          <w:tcPr>
            <w:tcW w:type="dxa" w:w="350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Cilindro</w:t>
            </w:r>
          </w:p>
        </w:tc>
        <w:tc>
          <w:tcPr>
            <w:tcW w:type="dxa" w:w="58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Acero con válvula integrada y boquilla dispersora</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Aplicaciones recomendadas</w:t>
            </w:r>
          </w:p>
        </w:tc>
        <w:tc>
          <w:tcPr>
            <w:tcW w:type="dxa" w:w="4680"/>
            <w:gridSpan w:val="1"/>
            <w:tcBorders>
              <w:top w:val="single" w:color="BDC3C7" w:sz="1"/>
              <w:left w:val="single" w:color="BDC3C7" w:sz="1"/>
              <w:bottom w:val="single" w:color="BDC3C7" w:sz="1"/>
              <w:right w:val="single" w:color="BDC3C7" w:sz="1"/>
            </w:tcBorders>
            <w:shd w:fill="C0392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Normas aplicables</w:t>
            </w:r>
          </w:p>
        </w:tc>
      </w:tr>
      <w:tr>
        <w:tc>
          <w:tcPr>
            <w:tcW w:type="dxa" w:w="468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Cuartos de servidores y comunicaciones · Paneles y tableros eléctricos · Cabinas de maquinaria CNC y robots industriales · Generadores eléctricos · Vehículos especiales y maquinaria pesada · Archivos y bóvedas de documentos</w:t>
            </w:r>
          </w:p>
        </w:tc>
        <w:tc>
          <w:tcPr>
            <w:tcW w:type="dxa" w:w="468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UL 711 · NFPA 10 Sección 6.1.4 · NOM-154-SCFI · EN 3 (referencia técnica)</w:t>
            </w:r>
          </w:p>
        </w:tc>
      </w:tr>
    </w:tbl>
    <w:p>
      <w:pPr>
        <w:spacing w:after="40" w:before="40"/>
      </w:pPr>
      <w:r>
        <w:t xml:space="preserve"/>
      </w:r>
    </w:p>
    <w:p>
      <w:pPr>
        <w:spacing w:after="80" w:before="80"/>
      </w:pPr>
      <w:r>
        <w:rPr>
          <w:rFonts w:ascii="Arial" w:cs="Arial" w:eastAsia="Arial" w:hAnsi="Arial"/>
          <w:b w:val="false"/>
          <w:bCs w:val="false"/>
          <w:color w:val="555555"/>
          <w:sz w:val="22"/>
          <w:szCs w:val="22"/>
        </w:rPr>
        <w:t xml:space="preserve">Proveedor(es) sugerido(s): Amerex · Kidde PRO · Exador Automatic · Distribuidores nacionales con NOM</w:t>
      </w:r>
    </w:p>
    <w:p>
      <w:hyperlink w:history="1" r:id="rIdeqipzbi1n8_zcngbwypuj">
        <w:r>
          <w:rPr>
            <w:rStyle w:val="Hyperlink"/>
            <w:rFonts w:ascii="Arial" w:cs="Arial" w:eastAsia="Arial" w:hAnsi="Arial"/>
            <w:sz w:val="20"/>
            <w:szCs w:val="20"/>
          </w:rPr>
          <w:t xml:space="preserve">https://www.amerex-fire.com/products/fire-extinguishers/</w:t>
        </w:r>
      </w:hyperlink>
    </w:p>
    <w:p>
      <w:pPr>
        <w:spacing w:after="40" w:before="40"/>
      </w:pPr>
      <w:r>
        <w:t xml:space="preserve"/>
      </w:r>
    </w:p>
    <w:p>
      <w:pPr>
        <w:spacing w:after="40" w:before="40"/>
      </w:pPr>
      <w:r>
        <w:t xml:space="preserve"/>
      </w:r>
    </w:p>
    <w:p>
      <w:r>
        <w:br w:type="page"/>
      </w:r>
    </w:p>
    <w:p>
      <w:pPr>
        <w:pStyle w:val="Heading1"/>
        <w:shd w:fill="C0392B" w:val="clear"/>
        <w:spacing w:after="120" w:before="360"/>
        <w:ind w:left="360" w:right="360"/>
      </w:pPr>
      <w:r>
        <w:rPr>
          <w:rFonts w:ascii="Arial" w:cs="Arial" w:eastAsia="Arial" w:hAnsi="Arial"/>
          <w:b/>
          <w:bCs/>
          <w:color w:val="FFFFFF"/>
          <w:sz w:val="36"/>
          <w:szCs w:val="36"/>
        </w:rPr>
        <w:t xml:space="preserve">5. PROVEEDORES RECOMENDADOS</w:t>
      </w:r>
    </w:p>
    <w:p>
      <w:pPr>
        <w:spacing w:after="40" w:before="40"/>
      </w:pPr>
      <w:r>
        <w:t xml:space="preserve"/>
      </w:r>
    </w:p>
    <w:p>
      <w:pPr>
        <w:spacing w:after="80" w:before="80"/>
      </w:pPr>
      <w:r>
        <w:rPr>
          <w:rFonts w:ascii="Arial" w:cs="Arial" w:eastAsia="Arial" w:hAnsi="Arial"/>
          <w:color w:val="2C3E50"/>
          <w:sz w:val="22"/>
          <w:szCs w:val="22"/>
        </w:rPr>
        <w:t xml:space="preserve">Se identificaron los proveedores globales y nacionales con mayor capacidad para surtir las líneas de producto que Proyecto Red necesita para ampliar su catálogo. Se prioriza disponibilidad en México, certificaciones reconocidas y portafolio robusto.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1760"/>
        <w:gridCol w:w="1400"/>
      </w:tblGrid>
      <w:tr>
        <w:trPr>
          <w:tblHeader/>
        </w:trPr>
        <w:tc>
          <w:tcPr>
            <w:tcW w:type="dxa" w:w="200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Proveedor</w:t>
            </w:r>
          </w:p>
        </w:tc>
        <w:tc>
          <w:tcPr>
            <w:tcW w:type="dxa" w:w="200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Origen</w:t>
            </w:r>
          </w:p>
        </w:tc>
        <w:tc>
          <w:tcPr>
            <w:tcW w:type="dxa" w:w="220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Línea de productos</w:t>
            </w:r>
          </w:p>
        </w:tc>
        <w:tc>
          <w:tcPr>
            <w:tcW w:type="dxa" w:w="176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Certificaciones</w:t>
            </w:r>
          </w:p>
        </w:tc>
        <w:tc>
          <w:tcPr>
            <w:tcW w:type="dxa" w:w="140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Web</w:t>
            </w:r>
          </w:p>
        </w:tc>
      </w:tr>
      <w:tr>
        <w:tc>
          <w:tcPr>
            <w:tcW w:type="dxa" w:w="20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Amerex Corporation</w:t>
            </w:r>
          </w:p>
        </w:tc>
        <w:tc>
          <w:tcPr>
            <w:tcW w:type="dxa" w:w="20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EE.UU. (McWane)</w:t>
            </w:r>
          </w:p>
        </w:tc>
        <w:tc>
          <w:tcPr>
            <w:tcW w:type="dxa" w:w="22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ABC, BC, Purple K, Z-Series, High Flow, CO₂, Rodantes hasta 350 lb</w:t>
            </w:r>
          </w:p>
        </w:tc>
        <w:tc>
          <w:tcPr>
            <w:tcW w:type="dxa" w:w="17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UL 711, ISO 9001, ISO 14001</w:t>
            </w:r>
          </w:p>
        </w:tc>
        <w:tc>
          <w:tcPr>
            <w:tcW w:type="dxa" w:w="14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E86AB"/>
                <w:sz w:val="20"/>
                <w:szCs w:val="20"/>
              </w:rPr>
              <w:t xml:space="preserve">amerex-fire.com</w:t>
            </w:r>
          </w:p>
        </w:tc>
      </w:tr>
      <w:tr>
        <w:tc>
          <w:tcPr>
            <w:tcW w:type="dxa" w:w="20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Buckeye Fire Equipment</w:t>
            </w:r>
          </w:p>
        </w:tc>
        <w:tc>
          <w:tcPr>
            <w:tcW w:type="dxa" w:w="20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EE.UU.</w:t>
            </w:r>
          </w:p>
        </w:tc>
        <w:tc>
          <w:tcPr>
            <w:tcW w:type="dxa" w:w="22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ABC, BC, Purple K, Water, CO₂, Rodantes industriales</w:t>
            </w:r>
          </w:p>
        </w:tc>
        <w:tc>
          <w:tcPr>
            <w:tcW w:type="dxa" w:w="17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UL 711, FM Approved</w:t>
            </w:r>
          </w:p>
        </w:tc>
        <w:tc>
          <w:tcPr>
            <w:tcW w:type="dxa" w:w="14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E86AB"/>
                <w:sz w:val="20"/>
                <w:szCs w:val="20"/>
              </w:rPr>
              <w:t xml:space="preserve">buckeye-fire.com</w:t>
            </w:r>
          </w:p>
        </w:tc>
      </w:tr>
      <w:tr>
        <w:tc>
          <w:tcPr>
            <w:tcW w:type="dxa" w:w="20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Kidde Pro / Industrial</w:t>
            </w:r>
          </w:p>
        </w:tc>
        <w:tc>
          <w:tcPr>
            <w:tcW w:type="dxa" w:w="20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EE.UU. (Carrier Global)</w:t>
            </w:r>
          </w:p>
        </w:tc>
        <w:tc>
          <w:tcPr>
            <w:tcW w:type="dxa" w:w="22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ABC, BC, Agente Limpio, CO₂, Marine</w:t>
            </w:r>
          </w:p>
        </w:tc>
        <w:tc>
          <w:tcPr>
            <w:tcW w:type="dxa" w:w="17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UL, FM, CE</w:t>
            </w:r>
          </w:p>
        </w:tc>
        <w:tc>
          <w:tcPr>
            <w:tcW w:type="dxa" w:w="14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E86AB"/>
                <w:sz w:val="20"/>
                <w:szCs w:val="20"/>
              </w:rPr>
              <w:t xml:space="preserve">kiddepro.com</w:t>
            </w:r>
          </w:p>
        </w:tc>
      </w:tr>
      <w:tr>
        <w:tc>
          <w:tcPr>
            <w:tcW w:type="dxa" w:w="20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Ansul (Tyco/JCI)</w:t>
            </w:r>
          </w:p>
        </w:tc>
        <w:tc>
          <w:tcPr>
            <w:tcW w:type="dxa" w:w="20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EE.UU.</w:t>
            </w:r>
          </w:p>
        </w:tc>
        <w:tc>
          <w:tcPr>
            <w:tcW w:type="dxa" w:w="22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Sentry ABC/BC, SAPPHIRE, LVS, Rodantes</w:t>
            </w:r>
          </w:p>
        </w:tc>
        <w:tc>
          <w:tcPr>
            <w:tcW w:type="dxa" w:w="176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UL, FM, NFPA 10</w:t>
            </w:r>
          </w:p>
        </w:tc>
        <w:tc>
          <w:tcPr>
            <w:tcW w:type="dxa" w:w="14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E86AB"/>
                <w:sz w:val="20"/>
                <w:szCs w:val="20"/>
              </w:rPr>
              <w:t xml:space="preserve">ansul.com</w:t>
            </w:r>
          </w:p>
        </w:tc>
      </w:tr>
      <w:tr>
        <w:tc>
          <w:tcPr>
            <w:tcW w:type="dxa" w:w="20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Fabricantes NOM México</w:t>
            </w:r>
          </w:p>
        </w:tc>
        <w:tc>
          <w:tcPr>
            <w:tcW w:type="dxa" w:w="20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México</w:t>
            </w:r>
          </w:p>
        </w:tc>
        <w:tc>
          <w:tcPr>
            <w:tcW w:type="dxa" w:w="22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ABC, BC, PQS básicos con NOM-154-SCFI</w:t>
            </w:r>
          </w:p>
        </w:tc>
        <w:tc>
          <w:tcPr>
            <w:tcW w:type="dxa" w:w="17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NOM-154-SCFI, NOM-100-STPS</w:t>
            </w:r>
          </w:p>
        </w:tc>
        <w:tc>
          <w:tcPr>
            <w:tcW w:type="dxa" w:w="14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E86AB"/>
                <w:sz w:val="20"/>
                <w:szCs w:val="20"/>
              </w:rPr>
              <w:t xml:space="preserve">Varios (cotización directa)</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Recomendación de proveedor principal</w:t>
            </w:r>
          </w:p>
        </w:tc>
      </w:tr>
      <w:tr>
        <w:tc>
          <w:tcPr>
            <w:tcW w:type="dxa" w:w="936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Amerex Corporation (distribuida en México a través de Safe Systems y otros distribuidores autorizados) es la opción más completa: cubre ABC, BC, High Flow, Z-Series anticorrosivo, Purple K y rodantes hasta 350 lb. Toda su línea está certificada UL 711 y compatible con NFPA 10. Amerex tiene catálogo en español disponible en: amerex-fire.com/upl/downloads/library/fire-extinguisher-product-catalog-spanish.pdf</w:t>
            </w:r>
          </w:p>
        </w:tc>
      </w:tr>
    </w:tbl>
    <w:p>
      <w:pPr>
        <w:spacing w:after="40" w:before="40"/>
      </w:pPr>
      <w:r>
        <w:t xml:space="preserve"/>
      </w:r>
    </w:p>
    <w:p>
      <w:pPr>
        <w:spacing w:after="40" w:before="40"/>
      </w:pPr>
      <w:r>
        <w:t xml:space="preserve"/>
      </w:r>
    </w:p>
    <w:p>
      <w:r>
        <w:br w:type="page"/>
      </w:r>
    </w:p>
    <w:p>
      <w:pPr>
        <w:pStyle w:val="Heading1"/>
        <w:shd w:fill="C0392B" w:val="clear"/>
        <w:spacing w:after="120" w:before="360"/>
        <w:ind w:left="360" w:right="360"/>
      </w:pPr>
      <w:r>
        <w:rPr>
          <w:rFonts w:ascii="Arial" w:cs="Arial" w:eastAsia="Arial" w:hAnsi="Arial"/>
          <w:b/>
          <w:bCs/>
          <w:color w:val="FFFFFF"/>
          <w:sz w:val="36"/>
          <w:szCs w:val="36"/>
        </w:rPr>
        <w:t xml:space="preserve">6. ROADMAP DE IMPLEMENTACIÓN</w:t>
      </w:r>
    </w:p>
    <w:p>
      <w:pPr>
        <w:spacing w:after="40" w:before="40"/>
      </w:pPr>
      <w:r>
        <w:t xml:space="preserve"/>
      </w:r>
    </w:p>
    <w:p>
      <w:pPr>
        <w:spacing w:after="80" w:before="80"/>
      </w:pPr>
      <w:r>
        <w:rPr>
          <w:rFonts w:ascii="Arial" w:cs="Arial" w:eastAsia="Arial" w:hAnsi="Arial"/>
          <w:color w:val="2C3E50"/>
          <w:sz w:val="22"/>
          <w:szCs w:val="22"/>
        </w:rPr>
        <w:t xml:space="preserve">Se propone un plan de ampliación en 3 fases priorizadas por impacto comercial, facilidad de implementación y demanda del mercado. Las fases se ordenan según urgencia y potencial de ventas.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2040"/>
        <w:gridCol w:w="2400"/>
        <w:gridCol w:w="1800"/>
      </w:tblGrid>
      <w:tr>
        <w:trPr>
          <w:tblHeader/>
        </w:trPr>
        <w:tc>
          <w:tcPr>
            <w:tcW w:type="dxa" w:w="72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Fase</w:t>
            </w:r>
          </w:p>
        </w:tc>
        <w:tc>
          <w:tcPr>
            <w:tcW w:type="dxa" w:w="240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Producto</w:t>
            </w:r>
          </w:p>
        </w:tc>
        <w:tc>
          <w:tcPr>
            <w:tcW w:type="dxa" w:w="204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Plazo est.</w:t>
            </w:r>
          </w:p>
        </w:tc>
        <w:tc>
          <w:tcPr>
            <w:tcW w:type="dxa" w:w="240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Acción recomendada</w:t>
            </w:r>
          </w:p>
        </w:tc>
        <w:tc>
          <w:tcPr>
            <w:tcW w:type="dxa" w:w="1800"/>
            <w:gridSpan w:val="1"/>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Impacto</w:t>
            </w:r>
          </w:p>
        </w:tc>
      </w:tr>
      <w:tr>
        <w:tc>
          <w:tcPr>
            <w:tcW w:type="dxa" w:w="720"/>
            <w:gridSpan w:val="1"/>
            <w:tcBorders>
              <w:top w:val="single" w:color="BDC3C7" w:sz="1"/>
              <w:left w:val="single" w:color="BDC3C7" w:sz="1"/>
              <w:bottom w:val="single" w:color="BDC3C7" w:sz="1"/>
              <w:right w:val="single" w:color="BDC3C7" w:sz="1"/>
            </w:tcBorders>
            <w:shd w:fill="C0392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1</w:t>
            </w:r>
          </w:p>
        </w:tc>
        <w:tc>
          <w:tcPr>
            <w:tcW w:type="dxa" w:w="24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PQS BC 4.5–12 kg</w:t>
            </w:r>
          </w:p>
        </w:tc>
        <w:tc>
          <w:tcPr>
            <w:tcW w:type="dxa" w:w="204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1–2 meses</w:t>
            </w:r>
          </w:p>
        </w:tc>
        <w:tc>
          <w:tcPr>
            <w:tcW w:type="dxa" w:w="24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Solicitar cotización a proveedor NOM. Alta rotación esperada.</w:t>
            </w:r>
          </w:p>
        </w:tc>
        <w:tc>
          <w:tcPr>
            <w:tcW w:type="dxa" w:w="1800"/>
            <w:gridSpan w:val="1"/>
            <w:tcBorders>
              <w:top w:val="single" w:color="BDC3C7" w:sz="1"/>
              <w:left w:val="single" w:color="BDC3C7" w:sz="1"/>
              <w:bottom w:val="single" w:color="BDC3C7" w:sz="1"/>
              <w:right w:val="single" w:color="BDC3C7" w:sz="1"/>
            </w:tcBorders>
            <w:shd w:fill="FDEDEC" w:val="clear"/>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MUY ALTO</w:t>
            </w:r>
          </w:p>
        </w:tc>
      </w:tr>
      <w:tr>
        <w:tc>
          <w:tcPr>
            <w:tcW w:type="dxa" w:w="720"/>
            <w:gridSpan w:val="1"/>
            <w:tcBorders>
              <w:top w:val="single" w:color="BDC3C7" w:sz="1"/>
              <w:left w:val="single" w:color="BDC3C7" w:sz="1"/>
              <w:bottom w:val="single" w:color="BDC3C7" w:sz="1"/>
              <w:right w:val="single" w:color="BDC3C7" w:sz="1"/>
            </w:tcBorders>
            <w:shd w:fill="C0392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1</w:t>
            </w:r>
          </w:p>
        </w:tc>
        <w:tc>
          <w:tcPr>
            <w:tcW w:type="dxa" w:w="24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PQS ABC 20 kg portátil</w:t>
            </w:r>
          </w:p>
        </w:tc>
        <w:tc>
          <w:tcPr>
            <w:tcW w:type="dxa" w:w="204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1–2 meses</w:t>
            </w:r>
          </w:p>
        </w:tc>
        <w:tc>
          <w:tcPr>
            <w:tcW w:type="dxa" w:w="24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Inventario inicial de 5–10 unidades para testear demanda.</w:t>
            </w:r>
          </w:p>
        </w:tc>
        <w:tc>
          <w:tcPr>
            <w:tcW w:type="dxa" w:w="1800"/>
            <w:gridSpan w:val="1"/>
            <w:tcBorders>
              <w:top w:val="single" w:color="BDC3C7" w:sz="1"/>
              <w:left w:val="single" w:color="BDC3C7" w:sz="1"/>
              <w:bottom w:val="single" w:color="BDC3C7" w:sz="1"/>
              <w:right w:val="single" w:color="BDC3C7" w:sz="1"/>
            </w:tcBorders>
            <w:shd w:fill="FDEDEC" w:val="clear"/>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MUY ALTO</w:t>
            </w:r>
          </w:p>
        </w:tc>
      </w:tr>
      <w:tr>
        <w:tc>
          <w:tcPr>
            <w:tcW w:type="dxa" w:w="720"/>
            <w:gridSpan w:val="1"/>
            <w:tcBorders>
              <w:top w:val="single" w:color="BDC3C7" w:sz="1"/>
              <w:left w:val="single" w:color="BDC3C7" w:sz="1"/>
              <w:bottom w:val="single" w:color="BDC3C7" w:sz="1"/>
              <w:right w:val="single" w:color="BDC3C7" w:sz="1"/>
            </w:tcBorders>
            <w:shd w:fill="C0392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1</w:t>
            </w:r>
          </w:p>
        </w:tc>
        <w:tc>
          <w:tcPr>
            <w:tcW w:type="dxa" w:w="24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PQS Rodante 150 kg</w:t>
            </w:r>
          </w:p>
        </w:tc>
        <w:tc>
          <w:tcPr>
            <w:tcW w:type="dxa" w:w="204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2–3 meses</w:t>
            </w:r>
          </w:p>
        </w:tc>
        <w:tc>
          <w:tcPr>
            <w:tcW w:type="dxa" w:w="24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Contactar Amerex dist. México. Margen alto y poca competencia.</w:t>
            </w:r>
          </w:p>
        </w:tc>
        <w:tc>
          <w:tcPr>
            <w:tcW w:type="dxa" w:w="1800"/>
            <w:gridSpan w:val="1"/>
            <w:tcBorders>
              <w:top w:val="single" w:color="BDC3C7" w:sz="1"/>
              <w:left w:val="single" w:color="BDC3C7" w:sz="1"/>
              <w:bottom w:val="single" w:color="BDC3C7" w:sz="1"/>
              <w:right w:val="single" w:color="BDC3C7" w:sz="1"/>
            </w:tcBorders>
            <w:shd w:fill="FEF9E7" w:val="clear"/>
            <w:tcMar>
              <w:top w:type="dxa" w:w="100"/>
              <w:left w:type="dxa" w:w="150"/>
              <w:bottom w:type="dxa" w:w="100"/>
              <w:right w:type="dxa" w:w="150"/>
            </w:tcMar>
            <w:vAlign w:val="center"/>
          </w:tcPr>
          <w:p>
            <w:pPr>
              <w:jc w:val="center"/>
            </w:pPr>
            <w:r>
              <w:rPr>
                <w:rFonts w:ascii="Arial" w:cs="Arial" w:eastAsia="Arial" w:hAnsi="Arial"/>
                <w:b/>
                <w:bCs/>
                <w:color w:val="E67E22"/>
                <w:sz w:val="20"/>
                <w:szCs w:val="20"/>
              </w:rPr>
              <w:t xml:space="preserve">ALTO</w:t>
            </w:r>
          </w:p>
        </w:tc>
      </w:tr>
      <w:tr>
        <w:tc>
          <w:tcPr>
            <w:tcW w:type="dxa" w:w="720"/>
            <w:gridSpan w:val="1"/>
            <w:tcBorders>
              <w:top w:val="single" w:color="BDC3C7" w:sz="1"/>
              <w:left w:val="single" w:color="BDC3C7" w:sz="1"/>
              <w:bottom w:val="single" w:color="BDC3C7" w:sz="1"/>
              <w:right w:val="single" w:color="BDC3C7" w:sz="1"/>
            </w:tcBorders>
            <w:shd w:fill="E67E2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2</w:t>
            </w:r>
          </w:p>
        </w:tc>
        <w:tc>
          <w:tcPr>
            <w:tcW w:type="dxa" w:w="24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PQS Alto Flujo (High Flow)</w:t>
            </w:r>
          </w:p>
        </w:tc>
        <w:tc>
          <w:tcPr>
            <w:tcW w:type="dxa" w:w="204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2–4 meses</w:t>
            </w:r>
          </w:p>
        </w:tc>
        <w:tc>
          <w:tcPr>
            <w:tcW w:type="dxa" w:w="24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Dirigido a oil &amp; gas y plantas que exigen NFPA 10. Cotización Amerex.</w:t>
            </w:r>
          </w:p>
        </w:tc>
        <w:tc>
          <w:tcPr>
            <w:tcW w:type="dxa" w:w="1800"/>
            <w:gridSpan w:val="1"/>
            <w:tcBorders>
              <w:top w:val="single" w:color="BDC3C7" w:sz="1"/>
              <w:left w:val="single" w:color="BDC3C7" w:sz="1"/>
              <w:bottom w:val="single" w:color="BDC3C7" w:sz="1"/>
              <w:right w:val="single" w:color="BDC3C7" w:sz="1"/>
            </w:tcBorders>
            <w:shd w:fill="FEF9E7" w:val="clear"/>
            <w:tcMar>
              <w:top w:type="dxa" w:w="100"/>
              <w:left w:type="dxa" w:w="150"/>
              <w:bottom w:type="dxa" w:w="100"/>
              <w:right w:type="dxa" w:w="150"/>
            </w:tcMar>
            <w:vAlign w:val="center"/>
          </w:tcPr>
          <w:p>
            <w:pPr>
              <w:jc w:val="center"/>
            </w:pPr>
            <w:r>
              <w:rPr>
                <w:rFonts w:ascii="Arial" w:cs="Arial" w:eastAsia="Arial" w:hAnsi="Arial"/>
                <w:b/>
                <w:bCs/>
                <w:color w:val="E67E22"/>
                <w:sz w:val="20"/>
                <w:szCs w:val="20"/>
              </w:rPr>
              <w:t xml:space="preserve">ALTO</w:t>
            </w:r>
          </w:p>
        </w:tc>
      </w:tr>
      <w:tr>
        <w:tc>
          <w:tcPr>
            <w:tcW w:type="dxa" w:w="720"/>
            <w:gridSpan w:val="1"/>
            <w:tcBorders>
              <w:top w:val="single" w:color="BDC3C7" w:sz="1"/>
              <w:left w:val="single" w:color="BDC3C7" w:sz="1"/>
              <w:bottom w:val="single" w:color="BDC3C7" w:sz="1"/>
              <w:right w:val="single" w:color="BDC3C7" w:sz="1"/>
            </w:tcBorders>
            <w:shd w:fill="E67E2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2</w:t>
            </w:r>
          </w:p>
        </w:tc>
        <w:tc>
          <w:tcPr>
            <w:tcW w:type="dxa" w:w="24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PQS Rodante 100 kg</w:t>
            </w:r>
          </w:p>
        </w:tc>
        <w:tc>
          <w:tcPr>
            <w:tcW w:type="dxa" w:w="204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3–4 meses</w:t>
            </w:r>
          </w:p>
        </w:tc>
        <w:tc>
          <w:tcPr>
            <w:tcW w:type="dxa" w:w="24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Capacidad intermedia muy pedida en plantas industriales.</w:t>
            </w:r>
          </w:p>
        </w:tc>
        <w:tc>
          <w:tcPr>
            <w:tcW w:type="dxa" w:w="1800"/>
            <w:gridSpan w:val="1"/>
            <w:tcBorders>
              <w:top w:val="single" w:color="BDC3C7" w:sz="1"/>
              <w:left w:val="single" w:color="BDC3C7" w:sz="1"/>
              <w:bottom w:val="single" w:color="BDC3C7" w:sz="1"/>
              <w:right w:val="single" w:color="BDC3C7" w:sz="1"/>
            </w:tcBorders>
            <w:shd w:fill="EAFAF1" w:val="clear"/>
            <w:tcMar>
              <w:top w:type="dxa" w:w="100"/>
              <w:left w:type="dxa" w:w="150"/>
              <w:bottom w:type="dxa" w:w="100"/>
              <w:right w:type="dxa" w:w="150"/>
            </w:tcMar>
            <w:vAlign w:val="center"/>
          </w:tcPr>
          <w:p>
            <w:pPr>
              <w:jc w:val="center"/>
            </w:pPr>
            <w:r>
              <w:rPr>
                <w:rFonts w:ascii="Arial" w:cs="Arial" w:eastAsia="Arial" w:hAnsi="Arial"/>
                <w:b/>
                <w:bCs/>
                <w:color w:val="27AE60"/>
                <w:sz w:val="20"/>
                <w:szCs w:val="20"/>
              </w:rPr>
              <w:t xml:space="preserve">MEDIO-ALTO</w:t>
            </w:r>
          </w:p>
        </w:tc>
      </w:tr>
      <w:tr>
        <w:tc>
          <w:tcPr>
            <w:tcW w:type="dxa" w:w="720"/>
            <w:gridSpan w:val="1"/>
            <w:tcBorders>
              <w:top w:val="single" w:color="BDC3C7" w:sz="1"/>
              <w:left w:val="single" w:color="BDC3C7" w:sz="1"/>
              <w:bottom w:val="single" w:color="BDC3C7" w:sz="1"/>
              <w:right w:val="single" w:color="BDC3C7" w:sz="1"/>
            </w:tcBorders>
            <w:shd w:fill="E67E2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2</w:t>
            </w:r>
          </w:p>
        </w:tc>
        <w:tc>
          <w:tcPr>
            <w:tcW w:type="dxa" w:w="24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PQS Anticorrosivo Z-Series</w:t>
            </w:r>
          </w:p>
        </w:tc>
        <w:tc>
          <w:tcPr>
            <w:tcW w:type="dxa" w:w="204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3–5 meses</w:t>
            </w:r>
          </w:p>
        </w:tc>
        <w:tc>
          <w:tcPr>
            <w:tcW w:type="dxa" w:w="24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Para clientes costeros y ambientes marinos. Diferenciador premium.</w:t>
            </w:r>
          </w:p>
        </w:tc>
        <w:tc>
          <w:tcPr>
            <w:tcW w:type="dxa" w:w="1800"/>
            <w:gridSpan w:val="1"/>
            <w:tcBorders>
              <w:top w:val="single" w:color="BDC3C7" w:sz="1"/>
              <w:left w:val="single" w:color="BDC3C7" w:sz="1"/>
              <w:bottom w:val="single" w:color="BDC3C7" w:sz="1"/>
              <w:right w:val="single" w:color="BDC3C7" w:sz="1"/>
            </w:tcBorders>
            <w:shd w:fill="EAFAF1" w:val="clear"/>
            <w:tcMar>
              <w:top w:type="dxa" w:w="100"/>
              <w:left w:type="dxa" w:w="150"/>
              <w:bottom w:type="dxa" w:w="100"/>
              <w:right w:type="dxa" w:w="150"/>
            </w:tcMar>
            <w:vAlign w:val="center"/>
          </w:tcPr>
          <w:p>
            <w:pPr>
              <w:jc w:val="center"/>
            </w:pPr>
            <w:r>
              <w:rPr>
                <w:rFonts w:ascii="Arial" w:cs="Arial" w:eastAsia="Arial" w:hAnsi="Arial"/>
                <w:b/>
                <w:bCs/>
                <w:color w:val="27AE60"/>
                <w:sz w:val="20"/>
                <w:szCs w:val="20"/>
              </w:rPr>
              <w:t xml:space="preserve">MEDIO</w:t>
            </w:r>
          </w:p>
        </w:tc>
      </w:tr>
      <w:tr>
        <w:tc>
          <w:tcPr>
            <w:tcW w:type="dxa" w:w="720"/>
            <w:gridSpan w:val="1"/>
            <w:tcBorders>
              <w:top w:val="single" w:color="BDC3C7" w:sz="1"/>
              <w:left w:val="single" w:color="BDC3C7" w:sz="1"/>
              <w:bottom w:val="single" w:color="BDC3C7" w:sz="1"/>
              <w:right w:val="single" w:color="BDC3C7" w:sz="1"/>
            </w:tcBorders>
            <w:shd w:fill="27AE6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3</w:t>
            </w:r>
          </w:p>
        </w:tc>
        <w:tc>
          <w:tcPr>
            <w:tcW w:type="dxa" w:w="24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PQS Automático Colgante</w:t>
            </w:r>
          </w:p>
        </w:tc>
        <w:tc>
          <w:tcPr>
            <w:tcW w:type="dxa" w:w="204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4–6 meses</w:t>
            </w:r>
          </w:p>
        </w:tc>
        <w:tc>
          <w:tcPr>
            <w:tcW w:type="dxa" w:w="2400"/>
            <w:gridSpan w:val="1"/>
            <w:tcBorders>
              <w:top w:val="single" w:color="BDC3C7" w:sz="1"/>
              <w:left w:val="single" w:color="BDC3C7" w:sz="1"/>
              <w:bottom w:val="single" w:color="BDC3C7" w:sz="1"/>
              <w:right w:val="single" w:color="BDC3C7" w:sz="1"/>
            </w:tcBorders>
            <w:shd w:fill="F8F9FA"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Complementa ventas de tableros y cuartos eléctricos.</w:t>
            </w:r>
          </w:p>
        </w:tc>
        <w:tc>
          <w:tcPr>
            <w:tcW w:type="dxa" w:w="1800"/>
            <w:gridSpan w:val="1"/>
            <w:tcBorders>
              <w:top w:val="single" w:color="BDC3C7" w:sz="1"/>
              <w:left w:val="single" w:color="BDC3C7" w:sz="1"/>
              <w:bottom w:val="single" w:color="BDC3C7" w:sz="1"/>
              <w:right w:val="single" w:color="BDC3C7" w:sz="1"/>
            </w:tcBorders>
            <w:shd w:fill="EAFAF1" w:val="clear"/>
            <w:tcMar>
              <w:top w:type="dxa" w:w="100"/>
              <w:left w:type="dxa" w:w="150"/>
              <w:bottom w:type="dxa" w:w="100"/>
              <w:right w:type="dxa" w:w="150"/>
            </w:tcMar>
            <w:vAlign w:val="center"/>
          </w:tcPr>
          <w:p>
            <w:pPr>
              <w:jc w:val="center"/>
            </w:pPr>
            <w:r>
              <w:rPr>
                <w:rFonts w:ascii="Arial" w:cs="Arial" w:eastAsia="Arial" w:hAnsi="Arial"/>
                <w:b/>
                <w:bCs/>
                <w:color w:val="27AE60"/>
                <w:sz w:val="20"/>
                <w:szCs w:val="20"/>
              </w:rPr>
              <w:t xml:space="preserve">MEDIO</w:t>
            </w:r>
          </w:p>
        </w:tc>
      </w:tr>
      <w:tr>
        <w:tc>
          <w:tcPr>
            <w:tcW w:type="dxa" w:w="720"/>
            <w:gridSpan w:val="1"/>
            <w:tcBorders>
              <w:top w:val="single" w:color="BDC3C7" w:sz="1"/>
              <w:left w:val="single" w:color="BDC3C7" w:sz="1"/>
              <w:bottom w:val="single" w:color="BDC3C7" w:sz="1"/>
              <w:right w:val="single" w:color="BDC3C7" w:sz="1"/>
            </w:tcBorders>
            <w:shd w:fill="27AE6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3</w:t>
            </w:r>
          </w:p>
        </w:tc>
        <w:tc>
          <w:tcPr>
            <w:tcW w:type="dxa" w:w="24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PQS Cartucho Externo</w:t>
            </w:r>
          </w:p>
        </w:tc>
        <w:tc>
          <w:tcPr>
            <w:tcW w:type="dxa" w:w="204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3E50"/>
                <w:sz w:val="20"/>
                <w:szCs w:val="20"/>
              </w:rPr>
              <w:t xml:space="preserve">5–6 meses</w:t>
            </w:r>
          </w:p>
        </w:tc>
        <w:tc>
          <w:tcPr>
            <w:tcW w:type="dxa" w:w="2400"/>
            <w:gridSpan w:val="1"/>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Para brigadas industriales con alto uso. Menor demanda masiva.</w:t>
            </w:r>
          </w:p>
        </w:tc>
        <w:tc>
          <w:tcPr>
            <w:tcW w:type="dxa" w:w="1800"/>
            <w:gridSpan w:val="1"/>
            <w:tcBorders>
              <w:top w:val="single" w:color="BDC3C7" w:sz="1"/>
              <w:left w:val="single" w:color="BDC3C7" w:sz="1"/>
              <w:bottom w:val="single" w:color="BDC3C7" w:sz="1"/>
              <w:right w:val="single" w:color="BDC3C7" w:sz="1"/>
            </w:tcBorders>
            <w:shd w:fill="EAFAF1" w:val="clear"/>
            <w:tcMar>
              <w:top w:type="dxa" w:w="100"/>
              <w:left w:type="dxa" w:w="150"/>
              <w:bottom w:type="dxa" w:w="100"/>
              <w:right w:type="dxa" w:w="150"/>
            </w:tcMar>
            <w:vAlign w:val="center"/>
          </w:tcPr>
          <w:p>
            <w:pPr>
              <w:jc w:val="center"/>
            </w:pPr>
            <w:r>
              <w:rPr>
                <w:rFonts w:ascii="Arial" w:cs="Arial" w:eastAsia="Arial" w:hAnsi="Arial"/>
                <w:b/>
                <w:bCs/>
                <w:color w:val="27AE60"/>
                <w:sz w:val="20"/>
                <w:szCs w:val="20"/>
              </w:rPr>
              <w:t xml:space="preserve">MEDIO</w:t>
            </w:r>
          </w:p>
        </w:tc>
      </w:tr>
    </w:tbl>
    <w:p>
      <w:pPr>
        <w:spacing w:after="40" w:before="40"/>
      </w:pPr>
      <w:r>
        <w:t xml:space="preserve"/>
      </w:r>
    </w:p>
    <w:p>
      <w:r>
        <w:br w:type="page"/>
      </w:r>
    </w:p>
    <w:p>
      <w:pPr>
        <w:pStyle w:val="Heading1"/>
        <w:shd w:fill="C0392B" w:val="clear"/>
        <w:spacing w:after="120" w:before="360"/>
        <w:ind w:left="360" w:right="360"/>
      </w:pPr>
      <w:r>
        <w:rPr>
          <w:rFonts w:ascii="Arial" w:cs="Arial" w:eastAsia="Arial" w:hAnsi="Arial"/>
          <w:b/>
          <w:bCs/>
          <w:color w:val="FFFFFF"/>
          <w:sz w:val="36"/>
          <w:szCs w:val="36"/>
        </w:rPr>
        <w:t xml:space="preserve">7. RECOMENDACIONES DE MEJORA EN FICHAS EXISTENTES</w:t>
      </w:r>
    </w:p>
    <w:p>
      <w:pPr>
        <w:spacing w:after="40" w:before="40"/>
      </w:pPr>
      <w:r>
        <w:t xml:space="preserve"/>
      </w:r>
    </w:p>
    <w:p>
      <w:pPr>
        <w:spacing w:after="80" w:before="80"/>
      </w:pPr>
      <w:r>
        <w:rPr>
          <w:rFonts w:ascii="Arial" w:cs="Arial" w:eastAsia="Arial" w:hAnsi="Arial"/>
          <w:color w:val="2C3E50"/>
          <w:sz w:val="22"/>
          <w:szCs w:val="22"/>
        </w:rPr>
        <w:t xml:space="preserve">Además de agregar productos nuevos, se identificaron áreas de mejora en las fichas de los productos actuales de polvo seco para aumentar conversión y cumplir mejor con requerimientos técnicos de clientes B2B:</w:t>
      </w:r>
    </w:p>
    <w:p>
      <w:pPr>
        <w:spacing w:after="40" w:before="40"/>
      </w:pPr>
      <w:r>
        <w:t xml:space="preserve"/>
      </w:r>
    </w:p>
    <w:p>
      <w:pPr>
        <w:pStyle w:val="Heading3"/>
        <w:spacing w:after="80" w:before="240"/>
      </w:pPr>
      <w:r>
        <w:rPr>
          <w:rFonts w:ascii="Arial" w:cs="Arial" w:eastAsia="Arial" w:hAnsi="Arial"/>
          <w:b/>
          <w:bCs/>
          <w:color w:val="2C3E50"/>
          <w:sz w:val="24"/>
          <w:szCs w:val="24"/>
        </w:rPr>
        <w:t xml:space="preserve">PQS 4.5 kg (el más vendido)</w:t>
      </w:r>
    </w:p>
    <w:p>
      <w:pPr>
        <w:pStyle w:val="ListParagraph"/>
        <w:numPr>
          <w:ilvl w:val="0"/>
          <w:numId w:val="2"/>
        </w:numPr>
        <w:spacing w:after="60" w:before="60"/>
      </w:pPr>
      <w:r>
        <w:rPr>
          <w:rFonts w:ascii="Arial" w:cs="Arial" w:eastAsia="Arial" w:hAnsi="Arial"/>
          <w:color w:val="2C3E50"/>
          <w:sz w:val="22"/>
          <w:szCs w:val="22"/>
        </w:rPr>
        <w:t xml:space="preserve">Agregar clasificación UL/NOM explícita: 4-A:40-B:C — actualmente no aparece en la card.</w:t>
      </w:r>
    </w:p>
    <w:p>
      <w:pPr>
        <w:pStyle w:val="ListParagraph"/>
        <w:numPr>
          <w:ilvl w:val="0"/>
          <w:numId w:val="2"/>
        </w:numPr>
        <w:spacing w:after="60" w:before="60"/>
      </w:pPr>
      <w:r>
        <w:rPr>
          <w:rFonts w:ascii="Arial" w:cs="Arial" w:eastAsia="Arial" w:hAnsi="Arial"/>
          <w:color w:val="2C3E50"/>
          <w:sz w:val="22"/>
          <w:szCs w:val="22"/>
        </w:rPr>
        <w:t xml:space="preserve">Incluir peso total cargado y dimensiones (alto x diámetro) para comparación de compra.</w:t>
      </w:r>
    </w:p>
    <w:p>
      <w:pPr>
        <w:pStyle w:val="ListParagraph"/>
        <w:numPr>
          <w:ilvl w:val="0"/>
          <w:numId w:val="2"/>
        </w:numPr>
        <w:spacing w:after="60" w:before="60"/>
      </w:pPr>
      <w:r>
        <w:rPr>
          <w:rFonts w:ascii="Arial" w:cs="Arial" w:eastAsia="Arial" w:hAnsi="Arial"/>
          <w:color w:val="2C3E50"/>
          <w:sz w:val="22"/>
          <w:szCs w:val="22"/>
        </w:rPr>
        <w:t xml:space="preserve">Añadir nota sobre frecuencia de mantenimiento anual requerido por NOM-154-SCFI.</w:t>
      </w:r>
    </w:p>
    <w:p>
      <w:pPr>
        <w:spacing w:after="40" w:before="40"/>
      </w:pPr>
      <w:r>
        <w:t xml:space="preserve"/>
      </w:r>
    </w:p>
    <w:p>
      <w:pPr>
        <w:pStyle w:val="Heading3"/>
        <w:spacing w:after="80" w:before="240"/>
      </w:pPr>
      <w:r>
        <w:rPr>
          <w:rFonts w:ascii="Arial" w:cs="Arial" w:eastAsia="Arial" w:hAnsi="Arial"/>
          <w:b/>
          <w:bCs/>
          <w:color w:val="2C3E50"/>
          <w:sz w:val="24"/>
          <w:szCs w:val="24"/>
        </w:rPr>
        <w:t xml:space="preserve">PQS 9 kg y 12 kg</w:t>
      </w:r>
    </w:p>
    <w:p>
      <w:pPr>
        <w:pStyle w:val="ListParagraph"/>
        <w:numPr>
          <w:ilvl w:val="0"/>
          <w:numId w:val="2"/>
        </w:numPr>
        <w:spacing w:after="60" w:before="60"/>
      </w:pPr>
      <w:r>
        <w:rPr>
          <w:rFonts w:ascii="Arial" w:cs="Arial" w:eastAsia="Arial" w:hAnsi="Arial"/>
          <w:color w:val="2C3E50"/>
          <w:sz w:val="22"/>
          <w:szCs w:val="22"/>
        </w:rPr>
        <w:t xml:space="preserve">Especificar si incluyen soporte de pared o si se vende por separado — frecuente punto de confusión.</w:t>
      </w:r>
    </w:p>
    <w:p>
      <w:pPr>
        <w:pStyle w:val="ListParagraph"/>
        <w:numPr>
          <w:ilvl w:val="0"/>
          <w:numId w:val="2"/>
        </w:numPr>
        <w:spacing w:after="60" w:before="60"/>
      </w:pPr>
      <w:r>
        <w:rPr>
          <w:rFonts w:ascii="Arial" w:cs="Arial" w:eastAsia="Arial" w:hAnsi="Arial"/>
          <w:color w:val="2C3E50"/>
          <w:sz w:val="22"/>
          <w:szCs w:val="22"/>
        </w:rPr>
        <w:t xml:space="preserve">Agregar nota de compatibilidad con gabinete metálico (modelo de gabinete sugerido de Proyecto Red).</w:t>
      </w:r>
    </w:p>
    <w:p>
      <w:pPr>
        <w:spacing w:after="40" w:before="40"/>
      </w:pPr>
      <w:r>
        <w:t xml:space="preserve"/>
      </w:r>
    </w:p>
    <w:p>
      <w:pPr>
        <w:pStyle w:val="Heading3"/>
        <w:spacing w:after="80" w:before="240"/>
      </w:pPr>
      <w:r>
        <w:rPr>
          <w:rFonts w:ascii="Arial" w:cs="Arial" w:eastAsia="Arial" w:hAnsi="Arial"/>
          <w:b/>
          <w:bCs/>
          <w:color w:val="2C3E50"/>
          <w:sz w:val="24"/>
          <w:szCs w:val="24"/>
        </w:rPr>
        <w:t xml:space="preserve">PQS Rodantes (todos)</w:t>
      </w:r>
    </w:p>
    <w:p>
      <w:pPr>
        <w:pStyle w:val="ListParagraph"/>
        <w:numPr>
          <w:ilvl w:val="0"/>
          <w:numId w:val="2"/>
        </w:numPr>
        <w:spacing w:after="60" w:before="60"/>
      </w:pPr>
      <w:r>
        <w:rPr>
          <w:rFonts w:ascii="Arial" w:cs="Arial" w:eastAsia="Arial" w:hAnsi="Arial"/>
          <w:color w:val="2C3E50"/>
          <w:sz w:val="22"/>
          <w:szCs w:val="22"/>
        </w:rPr>
        <w:t xml:space="preserve">Incluir peso total y dimensiones del carrito — clientes industriales necesitan esto para planificación logística.</w:t>
      </w:r>
    </w:p>
    <w:p>
      <w:pPr>
        <w:pStyle w:val="ListParagraph"/>
        <w:numPr>
          <w:ilvl w:val="0"/>
          <w:numId w:val="2"/>
        </w:numPr>
        <w:spacing w:after="60" w:before="60"/>
      </w:pPr>
      <w:r>
        <w:rPr>
          <w:rFonts w:ascii="Arial" w:cs="Arial" w:eastAsia="Arial" w:hAnsi="Arial"/>
          <w:color w:val="2C3E50"/>
          <w:sz w:val="22"/>
          <w:szCs w:val="22"/>
        </w:rPr>
        <w:t xml:space="preserve">Especificar longitud de manguera incluida y si viene con boquilla de palanca o abanico.</w:t>
      </w:r>
    </w:p>
    <w:p>
      <w:pPr>
        <w:pStyle w:val="ListParagraph"/>
        <w:numPr>
          <w:ilvl w:val="0"/>
          <w:numId w:val="2"/>
        </w:numPr>
        <w:spacing w:after="60" w:before="60"/>
      </w:pPr>
      <w:r>
        <w:rPr>
          <w:rFonts w:ascii="Arial" w:cs="Arial" w:eastAsia="Arial" w:hAnsi="Arial"/>
          <w:color w:val="2C3E50"/>
          <w:sz w:val="22"/>
          <w:szCs w:val="22"/>
        </w:rPr>
        <w:t xml:space="preserve">Agregar nota de si la prueba hidrostática se realiza en sitio o debe enviarse a taller.</w:t>
      </w:r>
    </w:p>
    <w:p>
      <w:pPr>
        <w:spacing w:after="40" w:before="40"/>
      </w:pPr>
      <w:r>
        <w:t xml:space="preserve"/>
      </w:r>
    </w:p>
    <w:p>
      <w:pPr>
        <w:pStyle w:val="Heading3"/>
        <w:spacing w:after="80" w:before="240"/>
      </w:pPr>
      <w:r>
        <w:rPr>
          <w:rFonts w:ascii="Arial" w:cs="Arial" w:eastAsia="Arial" w:hAnsi="Arial"/>
          <w:b/>
          <w:bCs/>
          <w:color w:val="2C3E50"/>
          <w:sz w:val="24"/>
          <w:szCs w:val="24"/>
        </w:rPr>
        <w:t xml:space="preserve">Fichas generales</w:t>
      </w:r>
    </w:p>
    <w:p>
      <w:pPr>
        <w:pStyle w:val="ListParagraph"/>
        <w:numPr>
          <w:ilvl w:val="0"/>
          <w:numId w:val="2"/>
        </w:numPr>
        <w:spacing w:after="60" w:before="60"/>
      </w:pPr>
      <w:r>
        <w:rPr>
          <w:rFonts w:ascii="Arial" w:cs="Arial" w:eastAsia="Arial" w:hAnsi="Arial"/>
          <w:color w:val="2C3E50"/>
          <w:sz w:val="22"/>
          <w:szCs w:val="22"/>
        </w:rPr>
        <w:t xml:space="preserve">Agregar campo: Vida útil estimada del agente extintor (en condiciones normales de almacenamiento).</w:t>
      </w:r>
    </w:p>
    <w:p>
      <w:pPr>
        <w:pStyle w:val="ListParagraph"/>
        <w:numPr>
          <w:ilvl w:val="0"/>
          <w:numId w:val="2"/>
        </w:numPr>
        <w:spacing w:after="60" w:before="60"/>
      </w:pPr>
      <w:r>
        <w:rPr>
          <w:rFonts w:ascii="Arial" w:cs="Arial" w:eastAsia="Arial" w:hAnsi="Arial"/>
          <w:color w:val="2C3E50"/>
          <w:sz w:val="22"/>
          <w:szCs w:val="22"/>
        </w:rPr>
        <w:t xml:space="preserve">Incluir link a ficha de seguridad del agente (MSDS/SDS) — requerimiento frecuente en plantas industriales.</w:t>
      </w:r>
    </w:p>
    <w:p>
      <w:pPr>
        <w:pStyle w:val="ListParagraph"/>
        <w:numPr>
          <w:ilvl w:val="0"/>
          <w:numId w:val="2"/>
        </w:numPr>
        <w:spacing w:after="60" w:before="60"/>
      </w:pPr>
      <w:r>
        <w:rPr>
          <w:rFonts w:ascii="Arial" w:cs="Arial" w:eastAsia="Arial" w:hAnsi="Arial"/>
          <w:color w:val="2C3E50"/>
          <w:sz w:val="22"/>
          <w:szCs w:val="22"/>
        </w:rPr>
        <w:t xml:space="preserve">Agregar clasificación de riesgo de área recomendada según NFPA 10 (riesgo leve, ordinario, extra).</w:t>
      </w:r>
    </w:p>
    <w:p>
      <w:pPr>
        <w:spacing w:after="40" w:before="40"/>
      </w:pPr>
      <w:r>
        <w:t xml:space="preserve"/>
      </w:r>
    </w:p>
    <w:p>
      <w:pPr>
        <w:spacing w:after="40" w:before="40"/>
      </w:pPr>
      <w:r>
        <w:t xml:space="preserve"/>
      </w:r>
    </w:p>
    <w:p>
      <w:r>
        <w:br w:type="page"/>
      </w:r>
    </w:p>
    <w:p>
      <w:pPr>
        <w:pStyle w:val="Heading1"/>
        <w:shd w:fill="C0392B" w:val="clear"/>
        <w:spacing w:after="120" w:before="360"/>
        <w:ind w:left="360" w:right="360"/>
      </w:pPr>
      <w:r>
        <w:rPr>
          <w:rFonts w:ascii="Arial" w:cs="Arial" w:eastAsia="Arial" w:hAnsi="Arial"/>
          <w:b/>
          <w:bCs/>
          <w:color w:val="FFFFFF"/>
          <w:sz w:val="36"/>
          <w:szCs w:val="36"/>
        </w:rPr>
        <w:t xml:space="preserve">8. CONCLUSIONES Y PRÓXIMOS PASOS</w:t>
      </w:r>
    </w:p>
    <w:p>
      <w:pPr>
        <w:spacing w:after="40" w:before="40"/>
      </w:pPr>
      <w:r>
        <w:t xml:space="preserve"/>
      </w:r>
    </w:p>
    <w:p>
      <w:pPr>
        <w:spacing w:after="80" w:before="80"/>
      </w:pPr>
      <w:r>
        <w:rPr>
          <w:rFonts w:ascii="Arial" w:cs="Arial" w:eastAsia="Arial" w:hAnsi="Arial"/>
          <w:color w:val="2C3E50"/>
          <w:sz w:val="22"/>
          <w:szCs w:val="22"/>
        </w:rPr>
        <w:t xml:space="preserve">El catálogo actual de polvo seco de Proyecto Red está bien estructurado en el segmento ABC general, pero presenta brechas importantes en el mercado industrial especializado. Las 7 líneas identificadas como faltantes representan oportunidades reales de crecimiento en segmentos B2B de mayor margen: oil &amp; gas, refinación, aviación, marina y manufactura intensiva.</w:t>
      </w:r>
    </w:p>
    <w:p>
      <w:pPr>
        <w:spacing w:after="40" w:before="40"/>
      </w:pPr>
      <w:r>
        <w:t xml:space="preserve"/>
      </w:r>
    </w:p>
    <w:p>
      <w:pPr>
        <w:pStyle w:val="Heading3"/>
        <w:spacing w:after="80" w:before="240"/>
      </w:pPr>
      <w:r>
        <w:rPr>
          <w:rFonts w:ascii="Arial" w:cs="Arial" w:eastAsia="Arial" w:hAnsi="Arial"/>
          <w:b/>
          <w:bCs/>
          <w:color w:val="2C3E50"/>
          <w:sz w:val="24"/>
          <w:szCs w:val="24"/>
        </w:rPr>
        <w:t xml:space="preserve">Próximos pasos recomendados</w:t>
      </w:r>
    </w:p>
    <w:p>
      <w:pPr>
        <w:pStyle w:val="ListParagraph"/>
        <w:numPr>
          <w:ilvl w:val="0"/>
          <w:numId w:val="2"/>
        </w:numPr>
        <w:spacing w:after="60" w:before="60"/>
      </w:pPr>
      <w:r>
        <w:rPr>
          <w:rFonts w:ascii="Arial" w:cs="Arial" w:eastAsia="Arial" w:hAnsi="Arial"/>
          <w:color w:val="2C3E50"/>
          <w:sz w:val="22"/>
          <w:szCs w:val="22"/>
        </w:rPr>
        <w:t xml:space="preserve">Contactar a Amerex Corporation (distribuidor México) para solicitar catálogo en español, lista de precios y condiciones de distribución autorizada.</w:t>
      </w:r>
    </w:p>
    <w:p>
      <w:pPr>
        <w:pStyle w:val="ListParagraph"/>
        <w:numPr>
          <w:ilvl w:val="0"/>
          <w:numId w:val="2"/>
        </w:numPr>
        <w:spacing w:after="60" w:before="60"/>
      </w:pPr>
      <w:r>
        <w:rPr>
          <w:rFonts w:ascii="Arial" w:cs="Arial" w:eastAsia="Arial" w:hAnsi="Arial"/>
          <w:color w:val="2C3E50"/>
          <w:sz w:val="22"/>
          <w:szCs w:val="22"/>
        </w:rPr>
        <w:t xml:space="preserve">Priorizar en el próximo ciclo de compra: PQS BC (6 y 9 kg), PQS 20 kg y PQS Rodante 150 kg.</w:t>
      </w:r>
    </w:p>
    <w:p>
      <w:pPr>
        <w:pStyle w:val="ListParagraph"/>
        <w:numPr>
          <w:ilvl w:val="0"/>
          <w:numId w:val="2"/>
        </w:numPr>
        <w:spacing w:after="60" w:before="60"/>
      </w:pPr>
      <w:r>
        <w:rPr>
          <w:rFonts w:ascii="Arial" w:cs="Arial" w:eastAsia="Arial" w:hAnsi="Arial"/>
          <w:color w:val="2C3E50"/>
          <w:sz w:val="22"/>
          <w:szCs w:val="22"/>
        </w:rPr>
        <w:t xml:space="preserve">Crear páginas de producto en el sitio para las nuevas líneas usando las fichas técnicas de este reporte como base de contenido.</w:t>
      </w:r>
    </w:p>
    <w:p>
      <w:pPr>
        <w:pStyle w:val="ListParagraph"/>
        <w:numPr>
          <w:ilvl w:val="0"/>
          <w:numId w:val="2"/>
        </w:numPr>
        <w:spacing w:after="60" w:before="60"/>
      </w:pPr>
      <w:r>
        <w:rPr>
          <w:rFonts w:ascii="Arial" w:cs="Arial" w:eastAsia="Arial" w:hAnsi="Arial"/>
          <w:color w:val="2C3E50"/>
          <w:sz w:val="22"/>
          <w:szCs w:val="22"/>
        </w:rPr>
        <w:t xml:space="preserve">Actualizar las fichas existentes incorporando las mejoras señaladas en la Sección 7.</w:t>
      </w:r>
    </w:p>
    <w:p>
      <w:pPr>
        <w:pStyle w:val="ListParagraph"/>
        <w:numPr>
          <w:ilvl w:val="0"/>
          <w:numId w:val="2"/>
        </w:numPr>
        <w:spacing w:after="60" w:before="60"/>
      </w:pPr>
      <w:r>
        <w:rPr>
          <w:rFonts w:ascii="Arial" w:cs="Arial" w:eastAsia="Arial" w:hAnsi="Arial"/>
          <w:color w:val="2C3E50"/>
          <w:sz w:val="22"/>
          <w:szCs w:val="22"/>
        </w:rPr>
        <w:t xml:space="preserve">Evaluar alianza con distribuidor autorizado de Amerex en CDMX para acceso directo a su línea completa.</w:t>
      </w:r>
    </w:p>
    <w:p>
      <w:pPr>
        <w:pStyle w:val="ListParagraph"/>
        <w:numPr>
          <w:ilvl w:val="0"/>
          <w:numId w:val="2"/>
        </w:numPr>
        <w:spacing w:after="60" w:before="60"/>
      </w:pPr>
      <w:r>
        <w:rPr>
          <w:rFonts w:ascii="Arial" w:cs="Arial" w:eastAsia="Arial" w:hAnsi="Arial"/>
          <w:color w:val="2C3E50"/>
          <w:sz w:val="22"/>
          <w:szCs w:val="22"/>
        </w:rPr>
        <w:t xml:space="preserve">Considerar agregar servicio de prueba hidrostática para rodantes industriales pesados — diferenciador valioso para el segmento oil &amp; gas.</w:t>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DC3C7" w:sz="1"/>
              <w:left w:val="single" w:color="BDC3C7" w:sz="1"/>
              <w:bottom w:val="single" w:color="BDC3C7" w:sz="1"/>
              <w:right w:val="single" w:color="BDC3C7" w:sz="1"/>
            </w:tcBorders>
            <w:shd w:fill="E8F8F0" w:val="clear"/>
            <w:tcMar>
              <w:top w:type="dxa" w:w="100"/>
              <w:left w:type="dxa" w:w="150"/>
              <w:bottom w:type="dxa" w:w="100"/>
              <w:right w:type="dxa" w:w="150"/>
            </w:tcMar>
            <w:vAlign w:val="center"/>
          </w:tcPr>
          <w:p>
            <w:pPr>
              <w:jc w:val="left"/>
            </w:pPr>
            <w:r>
              <w:rPr>
                <w:rFonts w:ascii="Arial" w:cs="Arial" w:eastAsia="Arial" w:hAnsi="Arial"/>
                <w:b/>
                <w:bCs/>
                <w:color w:val="2C3E50"/>
                <w:sz w:val="20"/>
                <w:szCs w:val="20"/>
              </w:rPr>
              <w:t xml:space="preserve">Recurso descargable</w:t>
            </w:r>
          </w:p>
        </w:tc>
      </w:tr>
      <w:tr>
        <w:tc>
          <w:tcPr>
            <w:tcW w:type="dxa" w:w="9360"/>
            <w:gridSpan w:val="1"/>
            <w:tcBorders>
              <w:top w:val="single" w:color="BDC3C7" w:sz="1"/>
              <w:left w:val="single" w:color="BDC3C7" w:sz="1"/>
              <w:bottom w:val="single" w:color="BDC3C7" w:sz="1"/>
              <w:right w:val="single" w:color="BDC3C7" w:sz="1"/>
            </w:tcBorders>
            <w:shd w:fill="E8F8F0" w:val="clear"/>
            <w:tcMar>
              <w:top w:type="dxa" w:w="100"/>
              <w:left w:type="dxa" w:w="150"/>
              <w:bottom w:type="dxa" w:w="100"/>
              <w:right w:type="dxa" w:w="150"/>
            </w:tcMar>
            <w:vAlign w:val="center"/>
          </w:tcPr>
          <w:p>
            <w:pPr>
              <w:jc w:val="left"/>
            </w:pPr>
            <w:r>
              <w:rPr>
                <w:rFonts w:ascii="Arial" w:cs="Arial" w:eastAsia="Arial" w:hAnsi="Arial"/>
                <w:b w:val="false"/>
                <w:bCs w:val="false"/>
                <w:color w:val="2C3E50"/>
                <w:sz w:val="20"/>
                <w:szCs w:val="20"/>
              </w:rPr>
              <w:t xml:space="preserve">Catálogo técnico completo Amerex en español disponible en: https://www.amerex-fire.com/upl/downloads/library/fire-extinguisher-product-catalog-spanish.pdf — Catálogo Rodantes: https://www.amerex-fire.com/upl/downloads/library/wheeled-extinguisher-catalog-english.pdf</w:t>
            </w:r>
          </w:p>
        </w:tc>
      </w:tr>
    </w:tbl>
    <w:p>
      <w:pPr>
        <w:spacing w:after="40" w:before="40"/>
      </w:pPr>
      <w:r>
        <w:t xml:space="preserve"/>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Proyecto Red</w:t>
            </w:r>
          </w:p>
          <w:p>
            <w:pPr>
              <w:jc w:val="center"/>
            </w:pPr>
            <w:r>
              <w:rPr>
                <w:rFonts w:ascii="Arial" w:cs="Arial" w:eastAsia="Arial" w:hAnsi="Arial"/>
                <w:color w:val="BDC3C7"/>
                <w:sz w:val="20"/>
                <w:szCs w:val="20"/>
              </w:rPr>
              <w:t xml:space="preserve">info@proyectored.com.mx  |  55 3723 8544  |  proyectored.com.mx</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96281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gymmh4tkzyjnzwhy-jo2" Type="http://schemas.openxmlformats.org/officeDocument/2006/relationships/hyperlink" Target="https://www.amerex-fire.com/products/fire-extinguishers/portable-fire-extinguishers/abc/" TargetMode="External"/><Relationship Id="rId0a98qe43l1zivemahhi1q" Type="http://schemas.openxmlformats.org/officeDocument/2006/relationships/hyperlink" Target="https://www.amerex-fire.com/products/fire-extinguishers/portable-fire-extinguishers/abc/" TargetMode="External"/><Relationship Id="rIds_f0nmpvsjuul31u891ak" Type="http://schemas.openxmlformats.org/officeDocument/2006/relationships/hyperlink" Target="https://www.amerex-fire.com/products/fire-extinguishers/wheeled-fire-extinguishers/dry-chemical/" TargetMode="External"/><Relationship Id="rIdeex6unqndsyhqo1esrudv" Type="http://schemas.openxmlformats.org/officeDocument/2006/relationships/hyperlink" Target="https://www.amerex-fire.com/products/fire-extinguishers/wheeled-fire-extinguishers/dry-chemical/" TargetMode="External"/><Relationship Id="rIdysq0t-4togaujpx_1xwzm" Type="http://schemas.openxmlformats.org/officeDocument/2006/relationships/hyperlink" Target="https://www.amerex-fire.com/products/fire-extinguishers/portable-fire-extinguishers/high-flow-dry-chemical/" TargetMode="External"/><Relationship Id="rId0l2g5pmwicxwbqwki835r" Type="http://schemas.openxmlformats.org/officeDocument/2006/relationships/hyperlink" Target="https://www.amerex-fire.com/products/fire-extinguishers/portable-fire-extinguishers/z-series/" TargetMode="External"/><Relationship Id="rIdeqipzbi1n8_zcngbwypuj" Type="http://schemas.openxmlformats.org/officeDocument/2006/relationships/hyperlink" Target="https://www.amerex-fire.com/products/fire-extinguisher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2026-04-18T17:28:24.171Z</dcterms:created>
  <dcterms:modified xsi:type="dcterms:W3CDTF">2026-04-18T17:28:24.171Z</dcterms:modified>
</cp:coreProperties>
</file>

<file path=docProps/custom.xml><?xml version="1.0" encoding="utf-8"?>
<Properties xmlns="http://schemas.openxmlformats.org/officeDocument/2006/custom-properties" xmlns:vt="http://schemas.openxmlformats.org/officeDocument/2006/docPropsVTypes"/>
</file>