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 xml:space="preserve">Term Sheet dated 2021-06-18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Issuer 1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  <w:p w14:paraId="0E63269C" w14:textId="30E02F94" w:rsidR="0035493E" w:rsidRPr="00DD66AD" w:rsidRDefault="00806546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DIP</w:t>
            </w:r>
          </w:p>
          <w:p w14:paraId="62BD4528" w14:textId="60FA7478" w:rsidR="004F17E8" w:rsidRPr="00DD66AD" w:rsidRDefault="00832C52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EUR </w:t>
            </w:r>
            <w:r w:rsidR="00AC04E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30000000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56915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Senior Preferred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Floating Rate Notes </w:t>
            </w:r>
            <w:r w:rsidR="00D46D13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="00D46D1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2024-06-25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(the "</w:t>
            </w:r>
            <w:r w:rsidR="00712E98"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7777777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 (LEI: 549300NQ588N7RWKBP11</w:t>
            </w:r>
            <w:r w:rsidR="00710BBF" w:rsidRPr="00DD66AD">
              <w:rPr>
                <w:rFonts w:ascii="Calibri" w:eastAsia="Calibri" w:hAnsi="Calibri" w:cs="Calibri"/>
              </w:rPr>
              <w:t xml:space="preserve"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Fitch: A (STABLE)</w:t>
            </w:r>
            <w:r w:rsidR="00D07898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Moodys: Aa3 (STABLE)</w:t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="00752F2D">
              <w:rPr>
                <w:rFonts w:ascii="Calibri" w:eastAsia="Calibri" w:hAnsi="Calibri" w:cs="Calibri"/>
              </w:rPr>
              <w:t xml:space="preserve"/>
            </w:r>
            <w:r w:rsidR="00D562E6" w:rsidRPr="00DD66AD">
              <w:rPr>
                <w:rFonts w:ascii="Calibri" w:eastAsia="Calibri" w:hAnsi="Calibri" w:cs="Calibri"/>
              </w:rPr>
              <w:t xml:space="preserve"> </w:t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</w:t>
            </w:r>
            <w:r w:rsidR="004F17E8" w:rsidRPr="00DD66AD">
              <w:rPr>
                <w:rFonts w:ascii="Calibri" w:eastAsia="Calibri" w:hAnsi="Calibri" w:cs="Calibri"/>
              </w:rPr>
              <w:t xml:space="preserve"/>
            </w:r>
            <w:r w:rsidR="00C86158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12345</w:t>
            </w:r>
            <w:r w:rsidR="009218C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MTN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460E30AB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Reg S Bearer</w:t>
            </w:r>
          </w:p>
        </w:tc>
      </w:tr>
      <w:tr w:rsidR="001555C0" w:rsidRPr="00DD66AD" w14:paraId="30F8C8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46819F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9F23C6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NGN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Yes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Senior Preferred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30000000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100000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2021-06-18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2021-06-25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2024-06-25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322ADB8E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Quarterly on 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03-25</w:t>
            </w:r>
            <w:r w:rsidR="00547DC7" w:rsidRPr="00DD66AD">
              <w:rPr>
                <w:rFonts w:ascii="Calibri" w:eastAsia="Calibri" w:hAnsi="Calibri" w:cs="Calibri"/>
              </w:rPr>
              <w:t xml:space="preserve">, </w:t>
            </w:r>
            <w:r w:rsidR="001555C0" w:rsidRPr="00DD66AD">
              <w:rPr>
                <w:rFonts w:ascii="Calibri" w:eastAsia="Calibri" w:hAnsi="Calibri" w:cs="Calibri"/>
              </w:rPr>
              <w:t xml:space="preserve">06-25</w:t>
            </w:r>
            <w:r w:rsidR="00547DC7" w:rsidRPr="00DD66AD">
              <w:rPr>
                <w:rFonts w:ascii="Calibri" w:eastAsia="Calibri" w:hAnsi="Calibri" w:cs="Calibri"/>
              </w:rPr>
              <w:t xml:space="preserve">, </w:t>
            </w:r>
            <w:r w:rsidR="001555C0" w:rsidRPr="00DD66AD">
              <w:rPr>
                <w:rFonts w:ascii="Calibri" w:eastAsia="Calibri" w:hAnsi="Calibri" w:cs="Calibri"/>
              </w:rPr>
              <w:t xml:space="preserve">09-25</w:t>
            </w:r>
            <w:r w:rsidR="00547DC7" w:rsidRPr="00DD66AD">
              <w:rPr>
                <w:rFonts w:ascii="Calibri" w:eastAsia="Calibri" w:hAnsi="Calibri" w:cs="Calibri"/>
              </w:rPr>
              <w:t xml:space="preserve"> and </w:t>
            </w:r>
            <w:r w:rsidR="001555C0" w:rsidRPr="00DD66AD">
              <w:rPr>
                <w:rFonts w:ascii="Calibri" w:eastAsia="Calibri" w:hAnsi="Calibri" w:cs="Calibri"/>
              </w:rPr>
              <w:t xml:space="preserve">12-25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 up to and including the Maturity Date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3EB8D4C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2021-09-25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034AB1C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Floating rate based on 3mEURIBOR</w:t>
            </w:r>
            <w:r w:rsidRPr="00DD66AD">
              <w:rPr>
                <w:rFonts w:ascii="Calibri" w:eastAsia="Calibri" w:hAnsi="Calibri" w:cs="Calibri"/>
              </w:rPr>
              <w:t xml:space="preserve"> plus 125.000 basis points, payable Quarterly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="00911399" w:rsidRPr="00DD66AD">
              <w:rPr>
                <w:rFonts w:ascii="Calibri" w:eastAsia="Calibri" w:hAnsi="Calibri" w:cs="Calibri"/>
              </w:rPr>
              <w:t xml:space="preserve"/>
            </w:r>
            <w:r w:rsidR="00A64FB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31C730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97C663" w14:textId="14388944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</w:t>
            </w:r>
            <w:r w:rsidR="003A0655" w:rsidRPr="00DD66AD">
              <w:rPr>
                <w:rFonts w:ascii="Calibri" w:eastAsia="Calibri" w:hAnsi="Calibri" w:cs="Calibri"/>
                <w:b/>
              </w:rPr>
              <w:t>Determination Date</w:t>
            </w:r>
            <w:r w:rsidR="001759EF" w:rsidRPr="00DD66AD">
              <w:rPr>
                <w:rFonts w:ascii="Calibri" w:eastAsia="Calibri" w:hAnsi="Calibri" w:cs="Calibri"/>
                <w:b/>
              </w:rPr>
              <w:t xml:space="preserve"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A2A18C" w14:textId="4350B140" w:rsidR="001555C0" w:rsidRPr="00DD66AD" w:rsidRDefault="00B76AF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A64FBC" w:rsidRPr="00DD66AD">
              <w:rPr>
                <w:rFonts w:ascii="Calibri" w:eastAsia="Calibri" w:hAnsi="Calibri" w:cs="Calibri"/>
              </w:rPr>
              <w:t xml:space="preserve">2 TARGET2 Business Days prior to the </w:t>
            </w:r>
            <w:r w:rsidR="006C170A" w:rsidRPr="00DD66AD">
              <w:rPr>
                <w:rFonts w:ascii="Calibri" w:eastAsia="Calibri" w:hAnsi="Calibri" w:cs="Calibri"/>
              </w:rPr>
              <w:t xml:space="preserve">Maturity Date</w:t>
            </w:r>
            <w:r w:rsidR="00DF49F2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taken from Reuters page EURIBOR01</w:t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3A0655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8548F4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100.000000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101A2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660589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30000000.00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9E2212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Actual/360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58D8FC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Modified Following Adjusted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6AC5E45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TARGET2</w:t>
            </w:r>
            <w:r w:rsidR="005B5DBA" w:rsidRPr="005B5DBA">
              <w:rPr>
                <w:rFonts w:ascii="Calibri" w:eastAsia="Calibri" w:hAnsi="Calibri" w:cs="Calibri"/>
              </w:rPr>
              <w:t xml:space="preserve"/>
            </w:r>
            <w:r w:rsidR="005B5DBA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  <w:p w14:paraId="394C2F1E" w14:textId="66D89B12" w:rsidR="001555C0" w:rsidRPr="00DD66AD" w:rsidRDefault="001555C0" w:rsidP="0066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Calculation: TARGET2</w:t>
            </w:r>
            <w:r w:rsidR="004E3551" w:rsidRPr="00DD66AD">
              <w:rPr>
                <w:rFonts w:ascii="Calibri" w:eastAsia="Calibri" w:hAnsi="Calibri" w:cs="Calibri"/>
              </w:rPr>
              <w:t xml:space="preserve"/>
            </w:r>
            <w:r w:rsidR="00580494" w:rsidRPr="00DD66AD">
              <w:rPr>
                <w:rFonts w:ascii="Calibri" w:eastAsia="Calibri" w:hAnsi="Calibri"/>
              </w:rPr>
              <w:t xml:space="preserve"/>
            </w:r>
            <w:r w:rsidR="007B5376" w:rsidRPr="00DD66AD">
              <w:rPr>
                <w:rFonts w:ascii="Calibri" w:eastAsia="Calibri" w:hAnsi="Calibri" w:cs="Calibri"/>
              </w:rPr>
              <w:t xml:space="preserve"/>
            </w:r>
            <w:r w:rsidR="00CC229D" w:rsidRPr="00DD66AD">
              <w:rPr>
                <w:rFonts w:ascii="Calibri" w:eastAsia="Calibri" w:hAnsi="Calibri" w:cs="Calibri"/>
              </w:rPr>
              <w:t xml:space="preserve"/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See Use of Proceeds wording in the Base Prospectus</w:t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8A919" w14:textId="3B50CACE" w:rsidR="004943AD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 xml:space="preserve">Professional investors and ECPs</w:t>
            </w:r>
          </w:p>
          <w:p w14:paraId="3BD2B7E4" w14:textId="7E93336C" w:rsidR="007A3801" w:rsidRPr="00DD66AD" w:rsidRDefault="0075574C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Manager's target market wording to be inserted here.</w:t>
            </w:r>
            <w:r w:rsidR="007A3801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Bank 1</w:t>
            </w:r>
            <w:r w:rsidR="00EF3E91">
              <w:rPr>
                <w:rFonts w:ascii="Calibri" w:eastAsia="Calibri" w:hAnsi="Calibri" w:cs="Calibri"/>
              </w:rPr>
              <w:t xml:space="preserve"/>
            </w:r>
            <w:r w:rsidR="00EF3E91">
              <w:rPr>
                <w:rFonts w:ascii="Calibri" w:eastAsia="Calibri" w:hAnsi="Calibri" w:cs="Calibri"/>
              </w:rPr>
              <w:t xml:space="preserve"> (United Kingdom)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1DA3E05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62FA7FF1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0BFE12A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60006F0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XS1234567890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 / 123456789</w:t>
            </w:r>
            <w:r w:rsidR="00937D2E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1FCF7EB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listed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English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Euroclear/Clearstream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TEFRA D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documentation relating to the Issuer's EUR 20.0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DIP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63B9BB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Notes Documentation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/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BA294" w14:textId="77777777" w:rsidR="00410E2B" w:rsidRDefault="00410E2B">
      <w:r>
        <w:separator/>
      </w:r>
    </w:p>
  </w:endnote>
  <w:endnote w:type="continuationSeparator" w:id="0">
    <w:p w14:paraId="00340339" w14:textId="77777777" w:rsidR="00410E2B" w:rsidRDefault="0041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37189" w14:textId="77777777" w:rsidR="00410E2B" w:rsidRDefault="00410E2B">
      <w:r>
        <w:separator/>
      </w:r>
    </w:p>
  </w:footnote>
  <w:footnote w:type="continuationSeparator" w:id="0">
    <w:p w14:paraId="5D183E12" w14:textId="77777777" w:rsidR="00410E2B" w:rsidRDefault="00410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D1567"/>
    <w:rsid w:val="001D3F04"/>
    <w:rsid w:val="001E31E1"/>
    <w:rsid w:val="001E380F"/>
    <w:rsid w:val="001F5A8A"/>
    <w:rsid w:val="00216851"/>
    <w:rsid w:val="0023144A"/>
    <w:rsid w:val="002413B8"/>
    <w:rsid w:val="0024449D"/>
    <w:rsid w:val="00253653"/>
    <w:rsid w:val="00254BEA"/>
    <w:rsid w:val="00264B13"/>
    <w:rsid w:val="00270B78"/>
    <w:rsid w:val="002964A6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6697D"/>
    <w:rsid w:val="00866E0A"/>
    <w:rsid w:val="00873374"/>
    <w:rsid w:val="00873CC8"/>
    <w:rsid w:val="00874795"/>
    <w:rsid w:val="008820DC"/>
    <w:rsid w:val="008835FE"/>
    <w:rsid w:val="0088683D"/>
    <w:rsid w:val="008C20B4"/>
    <w:rsid w:val="008F6250"/>
    <w:rsid w:val="009009EC"/>
    <w:rsid w:val="00906DA5"/>
    <w:rsid w:val="00911399"/>
    <w:rsid w:val="009218CF"/>
    <w:rsid w:val="0092231E"/>
    <w:rsid w:val="009277EB"/>
    <w:rsid w:val="00937D2E"/>
    <w:rsid w:val="009410DD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C3E98"/>
    <w:rsid w:val="009E219F"/>
    <w:rsid w:val="009E69B8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6D13"/>
    <w:rsid w:val="00D51A9C"/>
    <w:rsid w:val="00D562E6"/>
    <w:rsid w:val="00D6527B"/>
    <w:rsid w:val="00D66D60"/>
    <w:rsid w:val="00D676A2"/>
    <w:rsid w:val="00D728FB"/>
    <w:rsid w:val="00D9074C"/>
    <w:rsid w:val="00D957EA"/>
    <w:rsid w:val="00DA6ACB"/>
    <w:rsid w:val="00DA7706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74A49"/>
    <w:rsid w:val="00E81FE0"/>
    <w:rsid w:val="00E82610"/>
    <w:rsid w:val="00E8518D"/>
    <w:rsid w:val="00E92973"/>
    <w:rsid w:val="00E96E18"/>
    <w:rsid w:val="00EA3F13"/>
    <w:rsid w:val="00EA487F"/>
    <w:rsid w:val="00EB0690"/>
    <w:rsid w:val="00ED0D7C"/>
    <w:rsid w:val="00EE17CE"/>
    <w:rsid w:val="00EE3A01"/>
    <w:rsid w:val="00EE44DD"/>
    <w:rsid w:val="00EF06A9"/>
    <w:rsid w:val="00EF3E91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A5608"/>
    <w:rsid w:val="00FA6CBD"/>
    <w:rsid w:val="00FB02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Robert Taylor</cp:lastModifiedBy>
  <cp:revision>3</cp:revision>
  <dcterms:created xsi:type="dcterms:W3CDTF">2021-06-18T09:44:00Z</dcterms:created>
  <dcterms:modified xsi:type="dcterms:W3CDTF">2021-06-18T09:48:00Z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