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widowControl/>
      </w:pPr>
      <w:r>
        <w:rPr>
          <w:rFonts w:ascii="Aptos Display" w:hAnsi="Aptos Display"/>
          <w:b/>
          <w:color w:val="176B45"/>
          <w:sz w:val="30"/>
        </w:rPr>
        <w:t>GREENLIFEAI</w:t>
      </w:r>
    </w:p>
    <w:p>
      <w:pPr>
        <w:pStyle w:val="Title"/>
        <w:jc w:val="center"/>
        <w:widowControl/>
      </w:pPr>
      <w:r>
        <w:t>GreenlifeAI Pharmacy Management System</w:t>
      </w:r>
    </w:p>
    <w:p>
      <w:pPr>
        <w:pStyle w:val="SubtitleGreenlife"/>
        <w:jc w:val="center"/>
        <w:widowControl/>
      </w:pPr>
      <w:r>
        <w:t>Project Overview and Implementation Framework</w:t>
      </w:r>
    </w:p>
    <w:p>
      <w:pPr>
        <w:spacing w:before="360"/>
        <w:jc w:val="center"/>
        <w:widowControl/>
      </w:pPr>
      <w:r>
        <w:rPr>
          <w:color w:val="667085"/>
          <w:sz w:val="22"/>
        </w:rPr>
        <w:t>Single Branch Foundation  Multi Branch Ready  Local and Cloud Deployable</w:t>
      </w:r>
    </w:p>
    <w:p>
      <w:pPr>
        <w:spacing w:before="1800"/>
        <w:jc w:val="center"/>
        <w:widowControl/>
      </w:pPr>
      <w:r>
        <w:rPr>
          <w:b/>
          <w:sz w:val="22"/>
        </w:rPr>
        <w:t>Prepared for Greenlife Pharmacy Operations</w:t>
      </w:r>
    </w:p>
    <w:p>
      <w:pPr>
        <w:jc w:val="center"/>
        <w:widowControl/>
      </w:pPr>
      <w:r>
        <w:rPr>
          <w:color w:val="667085"/>
        </w:rPr>
        <w:t>September 2026</w:t>
      </w:r>
    </w:p>
    <w:p>
      <w:pPr>
        <w:widowControl/>
      </w:pPr>
      <w:r>
        <w:br w:type="page"/>
      </w:r>
    </w:p>
    <w:p>
      <w:pPr>
        <w:pStyle w:val="Heading1"/>
        <w:keepNext/>
        <w:widowControl/>
      </w:pPr>
      <w:r>
        <w:t>Document Purpose</w:t>
      </w:r>
    </w:p>
    <w:p>
      <w:pPr>
        <w:widowControl/>
      </w:pPr>
      <w:r>
        <w:t>This document defines the recommended scope, architecture, security controls, deployment model, data migration process, reporting requirements, and implementation roadmap for GreenlifeAI. The first release will operate one pharmacy branch and will be designed so that wholesale operations, additional branches, cloud hosting, offline support, and artificial intelligence services can be added without rebuilding the core system.</w:t>
      </w:r>
    </w:p>
    <w:p>
      <w:pPr>
        <w:pStyle w:val="Heading1"/>
        <w:keepNext/>
        <w:widowControl/>
      </w:pPr>
      <w:r>
        <w:t>Recommended Direction</w:t>
      </w:r>
    </w:p>
    <w:p>
      <w:pPr>
        <w:widowControl/>
      </w:pPr>
      <w:r>
        <w:t>GreenlifeAI should use React with TypeScript and Tailwind CSS for the frontend, Django with Django REST Framework for the main business backend, and PostgreSQL for transactional storage. Docker Compose should package the services so that the same application can run on a developer computer, a client computer, a dedicated local server, or a virtual private server. FastAPI can be introduced later as a separate service for voice and artificial intelligence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520"/>
            <w:shd w:fill="0F5132"/>
            <w:tcMar>
              <w:top w:w="100" w:type="dxa"/>
              <w:start w:w="120" w:type="dxa"/>
              <w:bottom w:w="100" w:type="dxa"/>
              <w:end w:w="120" w:type="dxa"/>
            </w:tcMar>
            <w:vAlign w:val="center"/>
          </w:tcPr>
          <w:p>
            <w:pPr>
              <w:spacing w:after="0"/>
              <w:jc w:val="left"/>
            </w:pPr>
            <w:r>
              <w:rPr>
                <w:b/>
                <w:color w:val="FFFFFF"/>
                <w:sz w:val="19"/>
              </w:rPr>
              <w:t>Area</w:t>
            </w:r>
          </w:p>
        </w:tc>
        <w:tc>
          <w:tcPr>
            <w:tcW w:type="dxa" w:w="7200"/>
            <w:shd w:fill="0F5132"/>
            <w:tcMar>
              <w:top w:w="100" w:type="dxa"/>
              <w:start w:w="120" w:type="dxa"/>
              <w:bottom w:w="100" w:type="dxa"/>
              <w:end w:w="120" w:type="dxa"/>
            </w:tcMar>
            <w:vAlign w:val="center"/>
          </w:tcPr>
          <w:p>
            <w:pPr>
              <w:spacing w:after="0"/>
              <w:jc w:val="left"/>
            </w:pPr>
            <w:r>
              <w:rPr>
                <w:b/>
                <w:color w:val="FFFFFF"/>
                <w:sz w:val="19"/>
              </w:rPr>
              <w:t>Recommended decision</w:t>
            </w:r>
          </w:p>
        </w:tc>
      </w:tr>
      <w:tr>
        <w:tc>
          <w:tcPr>
            <w:tcW w:type="dxa" w:w="2520"/>
            <w:tcMar>
              <w:top w:w="100" w:type="dxa"/>
              <w:start w:w="120" w:type="dxa"/>
              <w:bottom w:w="100" w:type="dxa"/>
              <w:end w:w="120" w:type="dxa"/>
            </w:tcMar>
            <w:vAlign w:val="center"/>
          </w:tcPr>
          <w:p>
            <w:pPr>
              <w:spacing w:after="0" w:line="252" w:lineRule="auto"/>
            </w:pPr>
            <w:r>
              <w:rPr>
                <w:color w:val="000000"/>
                <w:sz w:val="18"/>
              </w:rPr>
              <w:t>Initial operating model</w:t>
            </w:r>
          </w:p>
        </w:tc>
        <w:tc>
          <w:tcPr>
            <w:tcW w:type="dxa" w:w="7200"/>
            <w:tcMar>
              <w:top w:w="100" w:type="dxa"/>
              <w:start w:w="120" w:type="dxa"/>
              <w:bottom w:w="100" w:type="dxa"/>
              <w:end w:w="120" w:type="dxa"/>
            </w:tcMar>
            <w:vAlign w:val="center"/>
          </w:tcPr>
          <w:p>
            <w:pPr>
              <w:spacing w:after="0" w:line="252" w:lineRule="auto"/>
            </w:pPr>
            <w:r>
              <w:rPr>
                <w:color w:val="000000"/>
                <w:sz w:val="18"/>
              </w:rPr>
              <w:t>One pharmacy branch with retail operations and support for future wholesale functions</w:t>
            </w:r>
          </w:p>
        </w:tc>
      </w:tr>
      <w:tr>
        <w:tc>
          <w:tcPr>
            <w:tcW w:type="dxa" w:w="2520"/>
            <w:tcMar>
              <w:top w:w="100" w:type="dxa"/>
              <w:start w:w="120" w:type="dxa"/>
              <w:bottom w:w="100" w:type="dxa"/>
              <w:end w:w="120" w:type="dxa"/>
            </w:tcMar>
            <w:vAlign w:val="center"/>
            <w:shd w:fill="EAF4EE"/>
          </w:tcPr>
          <w:p>
            <w:pPr>
              <w:spacing w:after="0" w:line="252" w:lineRule="auto"/>
            </w:pPr>
            <w:r>
              <w:rPr>
                <w:color w:val="000000"/>
                <w:sz w:val="18"/>
              </w:rPr>
              <w:t>Frontend</w:t>
            </w:r>
          </w:p>
        </w:tc>
        <w:tc>
          <w:tcPr>
            <w:tcW w:type="dxa" w:w="7200"/>
            <w:tcMar>
              <w:top w:w="100" w:type="dxa"/>
              <w:start w:w="120" w:type="dxa"/>
              <w:bottom w:w="100" w:type="dxa"/>
              <w:end w:w="120" w:type="dxa"/>
            </w:tcMar>
            <w:vAlign w:val="center"/>
            <w:shd w:fill="EAF4EE"/>
          </w:tcPr>
          <w:p>
            <w:pPr>
              <w:spacing w:after="0" w:line="252" w:lineRule="auto"/>
            </w:pPr>
            <w:r>
              <w:rPr>
                <w:color w:val="000000"/>
                <w:sz w:val="18"/>
              </w:rPr>
              <w:t>React with TypeScript and Tailwind CSS</w:t>
            </w:r>
          </w:p>
        </w:tc>
      </w:tr>
      <w:tr>
        <w:tc>
          <w:tcPr>
            <w:tcW w:type="dxa" w:w="2520"/>
            <w:tcMar>
              <w:top w:w="100" w:type="dxa"/>
              <w:start w:w="120" w:type="dxa"/>
              <w:bottom w:w="100" w:type="dxa"/>
              <w:end w:w="120" w:type="dxa"/>
            </w:tcMar>
            <w:vAlign w:val="center"/>
          </w:tcPr>
          <w:p>
            <w:pPr>
              <w:spacing w:after="0" w:line="252" w:lineRule="auto"/>
            </w:pPr>
            <w:r>
              <w:rPr>
                <w:color w:val="000000"/>
                <w:sz w:val="18"/>
              </w:rPr>
              <w:t>Core backend</w:t>
            </w:r>
          </w:p>
        </w:tc>
        <w:tc>
          <w:tcPr>
            <w:tcW w:type="dxa" w:w="7200"/>
            <w:tcMar>
              <w:top w:w="100" w:type="dxa"/>
              <w:start w:w="120" w:type="dxa"/>
              <w:bottom w:w="100" w:type="dxa"/>
              <w:end w:w="120" w:type="dxa"/>
            </w:tcMar>
            <w:vAlign w:val="center"/>
          </w:tcPr>
          <w:p>
            <w:pPr>
              <w:spacing w:after="0" w:line="252" w:lineRule="auto"/>
            </w:pPr>
            <w:r>
              <w:rPr>
                <w:color w:val="000000"/>
                <w:sz w:val="18"/>
              </w:rPr>
              <w:t>Django and Django REST Framework</w:t>
            </w:r>
          </w:p>
        </w:tc>
      </w:tr>
      <w:tr>
        <w:tc>
          <w:tcPr>
            <w:tcW w:type="dxa" w:w="2520"/>
            <w:tcMar>
              <w:top w:w="100" w:type="dxa"/>
              <w:start w:w="120" w:type="dxa"/>
              <w:bottom w:w="100" w:type="dxa"/>
              <w:end w:w="120" w:type="dxa"/>
            </w:tcMar>
            <w:vAlign w:val="center"/>
            <w:shd w:fill="EAF4EE"/>
          </w:tcPr>
          <w:p>
            <w:pPr>
              <w:spacing w:after="0" w:line="252" w:lineRule="auto"/>
            </w:pPr>
            <w:r>
              <w:rPr>
                <w:color w:val="000000"/>
                <w:sz w:val="18"/>
              </w:rPr>
              <w:t>Database</w:t>
            </w:r>
          </w:p>
        </w:tc>
        <w:tc>
          <w:tcPr>
            <w:tcW w:type="dxa" w:w="7200"/>
            <w:tcMar>
              <w:top w:w="100" w:type="dxa"/>
              <w:start w:w="120" w:type="dxa"/>
              <w:bottom w:w="100" w:type="dxa"/>
              <w:end w:w="120" w:type="dxa"/>
            </w:tcMar>
            <w:vAlign w:val="center"/>
            <w:shd w:fill="EAF4EE"/>
          </w:tcPr>
          <w:p>
            <w:pPr>
              <w:spacing w:after="0" w:line="252" w:lineRule="auto"/>
            </w:pPr>
            <w:r>
              <w:rPr>
                <w:color w:val="000000"/>
                <w:sz w:val="18"/>
              </w:rPr>
              <w:t>PostgreSQL</w:t>
            </w:r>
          </w:p>
        </w:tc>
      </w:tr>
      <w:tr>
        <w:tc>
          <w:tcPr>
            <w:tcW w:type="dxa" w:w="2520"/>
            <w:tcMar>
              <w:top w:w="100" w:type="dxa"/>
              <w:start w:w="120" w:type="dxa"/>
              <w:bottom w:w="100" w:type="dxa"/>
              <w:end w:w="120" w:type="dxa"/>
            </w:tcMar>
            <w:vAlign w:val="center"/>
          </w:tcPr>
          <w:p>
            <w:pPr>
              <w:spacing w:after="0" w:line="252" w:lineRule="auto"/>
            </w:pPr>
            <w:r>
              <w:rPr>
                <w:color w:val="000000"/>
                <w:sz w:val="18"/>
              </w:rPr>
              <w:t>Deployment</w:t>
            </w:r>
          </w:p>
        </w:tc>
        <w:tc>
          <w:tcPr>
            <w:tcW w:type="dxa" w:w="7200"/>
            <w:tcMar>
              <w:top w:w="100" w:type="dxa"/>
              <w:start w:w="120" w:type="dxa"/>
              <w:bottom w:w="100" w:type="dxa"/>
              <w:end w:w="120" w:type="dxa"/>
            </w:tcMar>
            <w:vAlign w:val="center"/>
          </w:tcPr>
          <w:p>
            <w:pPr>
              <w:spacing w:after="0" w:line="252" w:lineRule="auto"/>
            </w:pPr>
            <w:r>
              <w:rPr>
                <w:color w:val="000000"/>
                <w:sz w:val="18"/>
              </w:rPr>
              <w:t>Docker Compose on local Windows, local Linux server, VPS, or cloud</w:t>
            </w:r>
          </w:p>
        </w:tc>
      </w:tr>
      <w:tr>
        <w:tc>
          <w:tcPr>
            <w:tcW w:type="dxa" w:w="2520"/>
            <w:tcMar>
              <w:top w:w="100" w:type="dxa"/>
              <w:start w:w="120" w:type="dxa"/>
              <w:bottom w:w="100" w:type="dxa"/>
              <w:end w:w="120" w:type="dxa"/>
            </w:tcMar>
            <w:vAlign w:val="center"/>
            <w:shd w:fill="EAF4EE"/>
          </w:tcPr>
          <w:p>
            <w:pPr>
              <w:spacing w:after="0" w:line="252" w:lineRule="auto"/>
            </w:pPr>
            <w:r>
              <w:rPr>
                <w:color w:val="000000"/>
                <w:sz w:val="18"/>
              </w:rPr>
              <w:t>Future AI services</w:t>
            </w:r>
          </w:p>
        </w:tc>
        <w:tc>
          <w:tcPr>
            <w:tcW w:type="dxa" w:w="7200"/>
            <w:tcMar>
              <w:top w:w="100" w:type="dxa"/>
              <w:start w:w="120" w:type="dxa"/>
              <w:bottom w:w="100" w:type="dxa"/>
              <w:end w:w="120" w:type="dxa"/>
            </w:tcMar>
            <w:vAlign w:val="center"/>
            <w:shd w:fill="EAF4EE"/>
          </w:tcPr>
          <w:p>
            <w:pPr>
              <w:spacing w:after="0" w:line="252" w:lineRule="auto"/>
            </w:pPr>
            <w:r>
              <w:rPr>
                <w:color w:val="000000"/>
                <w:sz w:val="18"/>
              </w:rPr>
              <w:t>FastAPI service connected through controlled Django APIs</w:t>
            </w:r>
          </w:p>
        </w:tc>
      </w:tr>
      <w:tr>
        <w:tc>
          <w:tcPr>
            <w:tcW w:type="dxa" w:w="2520"/>
            <w:tcMar>
              <w:top w:w="100" w:type="dxa"/>
              <w:start w:w="120" w:type="dxa"/>
              <w:bottom w:w="100" w:type="dxa"/>
              <w:end w:w="120" w:type="dxa"/>
            </w:tcMar>
            <w:vAlign w:val="center"/>
          </w:tcPr>
          <w:p>
            <w:pPr>
              <w:spacing w:after="0" w:line="252" w:lineRule="auto"/>
            </w:pPr>
            <w:r>
              <w:rPr>
                <w:color w:val="000000"/>
                <w:sz w:val="18"/>
              </w:rPr>
              <w:t>Migration approach</w:t>
            </w:r>
          </w:p>
        </w:tc>
        <w:tc>
          <w:tcPr>
            <w:tcW w:type="dxa" w:w="7200"/>
            <w:tcMar>
              <w:top w:w="100" w:type="dxa"/>
              <w:start w:w="120" w:type="dxa"/>
              <w:bottom w:w="100" w:type="dxa"/>
              <w:end w:w="120" w:type="dxa"/>
            </w:tcMar>
            <w:vAlign w:val="center"/>
          </w:tcPr>
          <w:p>
            <w:pPr>
              <w:spacing w:after="0" w:line="252" w:lineRule="auto"/>
            </w:pPr>
            <w:r>
              <w:rPr>
                <w:color w:val="000000"/>
                <w:sz w:val="18"/>
              </w:rPr>
              <w:t>Verified opening balances, current stock, outstanding obligations, and optional historical summaries</w:t>
            </w:r>
          </w:p>
        </w:tc>
      </w:tr>
    </w:tbl>
    <w:p>
      <w:pPr>
        <w:spacing w:after="0"/>
        <w:widowControl/>
      </w:pPr>
    </w:p>
    <w:p>
      <w:pPr>
        <w:pStyle w:val="Heading1"/>
        <w:keepNext/>
        <w:widowControl/>
      </w:pPr>
      <w:r>
        <w:t>Contents</w:t>
      </w:r>
    </w:p>
    <w:p>
      <w:pPr>
        <w:pStyle w:val="ListBullet"/>
        <w:spacing w:after="40"/>
        <w:widowControl/>
      </w:pPr>
      <w:r>
        <w:t>1 Project Vision and Objectives</w:t>
      </w:r>
    </w:p>
    <w:p>
      <w:pPr>
        <w:pStyle w:val="ListBullet"/>
        <w:spacing w:after="40"/>
        <w:widowControl/>
      </w:pPr>
      <w:r>
        <w:t>2 Scope and Operating Assumptions</w:t>
      </w:r>
    </w:p>
    <w:p>
      <w:pPr>
        <w:pStyle w:val="ListBullet"/>
        <w:spacing w:after="40"/>
        <w:widowControl/>
      </w:pPr>
      <w:r>
        <w:t>3 Users Roles and Permissions</w:t>
      </w:r>
    </w:p>
    <w:p>
      <w:pPr>
        <w:pStyle w:val="ListBullet"/>
        <w:spacing w:after="40"/>
        <w:widowControl/>
      </w:pPr>
      <w:r>
        <w:t>4 Core Functional Modules</w:t>
      </w:r>
    </w:p>
    <w:p>
      <w:pPr>
        <w:pStyle w:val="ListBullet"/>
        <w:spacing w:after="40"/>
        <w:widowControl/>
      </w:pPr>
      <w:r>
        <w:t>5 Reporting Alerts and Audit Controls</w:t>
      </w:r>
    </w:p>
    <w:p>
      <w:pPr>
        <w:pStyle w:val="ListBullet"/>
        <w:spacing w:after="40"/>
        <w:widowControl/>
      </w:pPr>
      <w:r>
        <w:t>6 Technical Architecture</w:t>
      </w:r>
    </w:p>
    <w:p>
      <w:pPr>
        <w:pStyle w:val="ListBullet"/>
        <w:spacing w:after="40"/>
        <w:widowControl/>
      </w:pPr>
      <w:r>
        <w:t>7 Local Deployment and Client Experience</w:t>
      </w:r>
    </w:p>
    <w:p>
      <w:pPr>
        <w:pStyle w:val="ListBullet"/>
        <w:spacing w:after="40"/>
        <w:widowControl/>
      </w:pPr>
      <w:r>
        <w:t>8 Data Protection Backup and Recovery</w:t>
      </w:r>
    </w:p>
    <w:p>
      <w:pPr>
        <w:pStyle w:val="ListBullet"/>
        <w:spacing w:after="40"/>
        <w:widowControl/>
      </w:pPr>
      <w:r>
        <w:t>9 Existing Data Migration and Reconciliation</w:t>
      </w:r>
    </w:p>
    <w:p>
      <w:pPr>
        <w:pStyle w:val="ListBullet"/>
        <w:spacing w:after="40"/>
        <w:widowControl/>
      </w:pPr>
      <w:r>
        <w:t>10 Future Expansion and Artificial Intelligence</w:t>
      </w:r>
    </w:p>
    <w:p>
      <w:pPr>
        <w:pStyle w:val="ListBullet"/>
        <w:spacing w:after="40"/>
        <w:widowControl/>
      </w:pPr>
      <w:r>
        <w:t>11 Implementation Phases</w:t>
      </w:r>
    </w:p>
    <w:p>
      <w:pPr>
        <w:pStyle w:val="ListBullet"/>
        <w:spacing w:after="40"/>
        <w:widowControl/>
      </w:pPr>
      <w:r>
        <w:t>12 Delivery Recommendations and Acceptance Priorities</w:t>
      </w:r>
    </w:p>
    <w:p>
      <w:pPr>
        <w:pStyle w:val="Heading1"/>
        <w:keepNext/>
        <w:widowControl/>
      </w:pPr>
      <w:r>
        <w:t>1 Project Vision and Objectives</w:t>
      </w:r>
    </w:p>
    <w:p>
      <w:pPr>
        <w:widowControl/>
      </w:pPr>
      <w:r>
        <w:t>GreenlifeAI is a pharmacy management system for controlling daily sales, purchases, stock, medicine batches, expiry dates, suppliers, customers, loans, expenses, users, reports, and audit records from one secure platform. It will support local operation without continuous internet access and retain a clear path to online hosting and multi-branch growth.</w:t>
      </w:r>
    </w:p>
    <w:p>
      <w:pPr>
        <w:pStyle w:val="Heading2"/>
        <w:keepNext/>
        <w:widowControl/>
      </w:pPr>
      <w:r>
        <w:t>Business Objectives</w:t>
      </w:r>
    </w:p>
    <w:p>
      <w:pPr>
        <w:pStyle w:val="ListBullet"/>
        <w:spacing w:after="40"/>
        <w:widowControl/>
      </w:pPr>
      <w:r>
        <w:t>Maintain accurate product, batch, stock, sales, purchase, and financial records.</w:t>
      </w:r>
    </w:p>
    <w:p>
      <w:pPr>
        <w:pStyle w:val="ListBullet"/>
        <w:spacing w:after="40"/>
        <w:widowControl/>
      </w:pPr>
      <w:r>
        <w:t>Prevent the sale of expired, recalled, quarantined, or otherwise blocked products.</w:t>
      </w:r>
    </w:p>
    <w:p>
      <w:pPr>
        <w:pStyle w:val="ListBullet"/>
        <w:spacing w:after="40"/>
        <w:widowControl/>
      </w:pPr>
      <w:r>
        <w:t>Reduce losses caused by expiry, overstocking, stockouts, unrecorded adjustments, and unauthorized discounts.</w:t>
      </w:r>
    </w:p>
    <w:p>
      <w:pPr>
        <w:pStyle w:val="ListBullet"/>
        <w:spacing w:after="40"/>
        <w:widowControl/>
      </w:pPr>
      <w:r>
        <w:t>Give management reliable summary and detailed reports for operational and financial decisions.</w:t>
      </w:r>
    </w:p>
    <w:p>
      <w:pPr>
        <w:pStyle w:val="ListBullet"/>
        <w:spacing w:after="40"/>
        <w:widowControl/>
      </w:pPr>
      <w:r>
        <w:t>Control staff access through configurable roles, page access, action permissions, and approval thresholds.</w:t>
      </w:r>
    </w:p>
    <w:p>
      <w:pPr>
        <w:pStyle w:val="ListBullet"/>
        <w:spacing w:after="40"/>
        <w:widowControl/>
      </w:pPr>
      <w:r>
        <w:t>Preserve a permanent record of important user and system actions.</w:t>
      </w:r>
    </w:p>
    <w:p>
      <w:pPr>
        <w:pStyle w:val="ListBullet"/>
        <w:spacing w:after="40"/>
        <w:widowControl/>
      </w:pPr>
      <w:r>
        <w:t>Allow the application and data to move from a local installation to a VPS or cloud environment.</w:t>
      </w:r>
    </w:p>
    <w:p>
      <w:pPr>
        <w:pStyle w:val="ListBullet"/>
        <w:spacing w:after="40"/>
        <w:widowControl/>
      </w:pPr>
      <w:r>
        <w:t>Prepare the platform for wholesale, multiple branches, voice interaction, forecasting, and other AI functions.</w:t>
      </w:r>
    </w:p>
    <w:p>
      <w:pPr>
        <w:pStyle w:val="Heading2"/>
        <w:keepNext/>
        <w:widowControl/>
      </w:pPr>
      <w:r>
        <w:t>Success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376"/>
            <w:shd w:fill="0F5132"/>
            <w:tcMar>
              <w:top w:w="100" w:type="dxa"/>
              <w:start w:w="120" w:type="dxa"/>
              <w:bottom w:w="100" w:type="dxa"/>
              <w:end w:w="120" w:type="dxa"/>
            </w:tcMar>
            <w:vAlign w:val="center"/>
          </w:tcPr>
          <w:p>
            <w:pPr>
              <w:spacing w:after="0"/>
              <w:jc w:val="left"/>
            </w:pPr>
            <w:r>
              <w:rPr>
                <w:b/>
                <w:color w:val="FFFFFF"/>
                <w:sz w:val="19"/>
              </w:rPr>
              <w:t>Outcome</w:t>
            </w:r>
          </w:p>
        </w:tc>
        <w:tc>
          <w:tcPr>
            <w:tcW w:type="dxa" w:w="7344"/>
            <w:shd w:fill="0F5132"/>
            <w:tcMar>
              <w:top w:w="100" w:type="dxa"/>
              <w:start w:w="120" w:type="dxa"/>
              <w:bottom w:w="100" w:type="dxa"/>
              <w:end w:w="120" w:type="dxa"/>
            </w:tcMar>
            <w:vAlign w:val="center"/>
          </w:tcPr>
          <w:p>
            <w:pPr>
              <w:spacing w:after="0"/>
              <w:jc w:val="left"/>
            </w:pPr>
            <w:r>
              <w:rPr>
                <w:b/>
                <w:color w:val="FFFFFF"/>
                <w:sz w:val="19"/>
              </w:rPr>
              <w:t>How GreenlifeAI will support it</w:t>
            </w:r>
          </w:p>
        </w:tc>
      </w:tr>
      <w:tr>
        <w:tc>
          <w:tcPr>
            <w:tcW w:type="dxa" w:w="2376"/>
            <w:tcMar>
              <w:top w:w="100" w:type="dxa"/>
              <w:start w:w="120" w:type="dxa"/>
              <w:bottom w:w="100" w:type="dxa"/>
              <w:end w:w="120" w:type="dxa"/>
            </w:tcMar>
            <w:vAlign w:val="center"/>
          </w:tcPr>
          <w:p>
            <w:pPr>
              <w:spacing w:after="0" w:line="252" w:lineRule="auto"/>
            </w:pPr>
            <w:r>
              <w:rPr>
                <w:color w:val="000000"/>
                <w:sz w:val="18"/>
              </w:rPr>
              <w:t>Stock accuracy</w:t>
            </w:r>
          </w:p>
        </w:tc>
        <w:tc>
          <w:tcPr>
            <w:tcW w:type="dxa" w:w="7344"/>
            <w:tcMar>
              <w:top w:w="100" w:type="dxa"/>
              <w:start w:w="120" w:type="dxa"/>
              <w:bottom w:w="100" w:type="dxa"/>
              <w:end w:w="120" w:type="dxa"/>
            </w:tcMar>
            <w:vAlign w:val="center"/>
          </w:tcPr>
          <w:p>
            <w:pPr>
              <w:spacing w:after="0" w:line="252" w:lineRule="auto"/>
            </w:pPr>
            <w:r>
              <w:rPr>
                <w:color w:val="000000"/>
                <w:sz w:val="18"/>
              </w:rPr>
              <w:t>Every stock change creates a traceable movement linked to its source transaction.</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Expiry control</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Batch-level dates, alerts, sale blocking, quarantine, returns, and disposal workflows.</w:t>
            </w:r>
          </w:p>
        </w:tc>
      </w:tr>
      <w:tr>
        <w:tc>
          <w:tcPr>
            <w:tcW w:type="dxa" w:w="2376"/>
            <w:tcMar>
              <w:top w:w="100" w:type="dxa"/>
              <w:start w:w="120" w:type="dxa"/>
              <w:bottom w:w="100" w:type="dxa"/>
              <w:end w:w="120" w:type="dxa"/>
            </w:tcMar>
            <w:vAlign w:val="center"/>
          </w:tcPr>
          <w:p>
            <w:pPr>
              <w:spacing w:after="0" w:line="252" w:lineRule="auto"/>
            </w:pPr>
            <w:r>
              <w:rPr>
                <w:color w:val="000000"/>
                <w:sz w:val="18"/>
              </w:rPr>
              <w:t>Financial visibility</w:t>
            </w:r>
          </w:p>
        </w:tc>
        <w:tc>
          <w:tcPr>
            <w:tcW w:type="dxa" w:w="7344"/>
            <w:tcMar>
              <w:top w:w="100" w:type="dxa"/>
              <w:start w:w="120" w:type="dxa"/>
              <w:bottom w:w="100" w:type="dxa"/>
              <w:end w:w="120" w:type="dxa"/>
            </w:tcMar>
            <w:vAlign w:val="center"/>
          </w:tcPr>
          <w:p>
            <w:pPr>
              <w:spacing w:after="0" w:line="252" w:lineRule="auto"/>
            </w:pPr>
            <w:r>
              <w:rPr>
                <w:color w:val="000000"/>
                <w:sz w:val="18"/>
              </w:rPr>
              <w:t>Sales, cost of goods sold, expenses, debt, loan, cash, and payment-channel reports.</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Accountability</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User-level permissions, approvals, immutable audit events, and security logs.</w:t>
            </w:r>
          </w:p>
        </w:tc>
      </w:tr>
      <w:tr>
        <w:tc>
          <w:tcPr>
            <w:tcW w:type="dxa" w:w="2376"/>
            <w:tcMar>
              <w:top w:w="100" w:type="dxa"/>
              <w:start w:w="120" w:type="dxa"/>
              <w:bottom w:w="100" w:type="dxa"/>
              <w:end w:w="120" w:type="dxa"/>
            </w:tcMar>
            <w:vAlign w:val="center"/>
          </w:tcPr>
          <w:p>
            <w:pPr>
              <w:spacing w:after="0" w:line="252" w:lineRule="auto"/>
            </w:pPr>
            <w:r>
              <w:rPr>
                <w:color w:val="000000"/>
                <w:sz w:val="18"/>
              </w:rPr>
              <w:t>Recoverability</w:t>
            </w:r>
          </w:p>
        </w:tc>
        <w:tc>
          <w:tcPr>
            <w:tcW w:type="dxa" w:w="7344"/>
            <w:tcMar>
              <w:top w:w="100" w:type="dxa"/>
              <w:start w:w="120" w:type="dxa"/>
              <w:bottom w:w="100" w:type="dxa"/>
              <w:end w:w="120" w:type="dxa"/>
            </w:tcMar>
            <w:vAlign w:val="center"/>
          </w:tcPr>
          <w:p>
            <w:pPr>
              <w:spacing w:after="0" w:line="252" w:lineRule="auto"/>
            </w:pPr>
            <w:r>
              <w:rPr>
                <w:color w:val="000000"/>
                <w:sz w:val="18"/>
              </w:rPr>
              <w:t>Persistent storage, scheduled encrypted backups, off-device copies, and restore testing.</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Growth readiness</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Branch-aware records, modular architecture, versioned APIs, and containerized deployment.</w:t>
            </w:r>
          </w:p>
        </w:tc>
      </w:tr>
    </w:tbl>
    <w:p>
      <w:pPr>
        <w:spacing w:after="0"/>
        <w:widowControl/>
      </w:pPr>
    </w:p>
    <w:p>
      <w:pPr>
        <w:pStyle w:val="Heading1"/>
        <w:keepNext/>
        <w:widowControl/>
      </w:pPr>
      <w:r>
        <w:t>2 Scope and Operating Assumptions</w:t>
      </w:r>
    </w:p>
    <w:p>
      <w:pPr>
        <w:widowControl/>
      </w:pPr>
      <w:r>
        <w:t>The first release will serve one active pharmacy branch. Branch identifiers should still be included in operational records so that additional branches can be introduced later. Retail is the immediate priority, while product units, pricing, customers, orders, and reports should be structured to support wholesale sales in later phases.</w:t>
      </w:r>
    </w:p>
    <w:p>
      <w:pPr>
        <w:pStyle w:val="Heading2"/>
        <w:keepNext/>
        <w:widowControl/>
      </w:pPr>
      <w:r>
        <w:t>Initial Scope</w:t>
      </w:r>
    </w:p>
    <w:p>
      <w:pPr>
        <w:pStyle w:val="ListBullet"/>
        <w:spacing w:after="40"/>
        <w:widowControl/>
      </w:pPr>
      <w:r>
        <w:t>Authentication, user management, custom roles, page access, and action permissions.</w:t>
      </w:r>
    </w:p>
    <w:p>
      <w:pPr>
        <w:pStyle w:val="ListBullet"/>
        <w:spacing w:after="40"/>
        <w:widowControl/>
      </w:pPr>
      <w:r>
        <w:t>Product catalogue, suppliers, customers, purchases, goods receiving, sales, receipts, and returns.</w:t>
      </w:r>
    </w:p>
    <w:p>
      <w:pPr>
        <w:pStyle w:val="ListBullet"/>
        <w:spacing w:after="40"/>
        <w:widowControl/>
      </w:pPr>
      <w:r>
        <w:t>Batch inventory, unit conversion, stock counts, adjustments, expiry, quarantine, and disposal.</w:t>
      </w:r>
    </w:p>
    <w:p>
      <w:pPr>
        <w:pStyle w:val="ListBullet"/>
        <w:spacing w:after="40"/>
        <w:widowControl/>
      </w:pPr>
      <w:r>
        <w:t>Customer credit, supplier balances, business loans, expenses, payment reconciliation, and cashier shifts.</w:t>
      </w:r>
    </w:p>
    <w:p>
      <w:pPr>
        <w:pStyle w:val="ListBullet"/>
        <w:spacing w:after="40"/>
        <w:widowControl/>
      </w:pPr>
      <w:r>
        <w:t>Dashboard, summary reports, detailed reports, exports, alerts, audit trails, and system logs.</w:t>
      </w:r>
    </w:p>
    <w:p>
      <w:pPr>
        <w:pStyle w:val="ListBullet"/>
        <w:spacing w:after="40"/>
        <w:widowControl/>
      </w:pPr>
      <w:r>
        <w:t>Local deployment, installation, launcher, startup checks, backups, recovery, and migration tools.</w:t>
      </w:r>
    </w:p>
    <w:p>
      <w:pPr>
        <w:pStyle w:val="Heading2"/>
        <w:keepNext/>
        <w:widowControl/>
      </w:pPr>
      <w:r>
        <w:t>Operating Principles</w:t>
      </w:r>
    </w:p>
    <w:p>
      <w:pPr>
        <w:pStyle w:val="ListBullet"/>
        <w:spacing w:after="40"/>
        <w:widowControl/>
      </w:pPr>
      <w:r>
        <w:t>Completed transactions are reversed or corrected through linked records and are not silently deleted.</w:t>
      </w:r>
    </w:p>
    <w:p>
      <w:pPr>
        <w:pStyle w:val="ListBullet"/>
        <w:spacing w:after="40"/>
        <w:widowControl/>
      </w:pPr>
      <w:r>
        <w:t>Stock is changed only through recorded movements, never by directly overwriting quantities.</w:t>
      </w:r>
    </w:p>
    <w:p>
      <w:pPr>
        <w:pStyle w:val="ListBullet"/>
        <w:spacing w:after="40"/>
        <w:widowControl/>
      </w:pPr>
      <w:r>
        <w:t>Products are tracked by batch and expiry date from receiving through sale, return, quarantine, or disposal.</w:t>
      </w:r>
    </w:p>
    <w:p>
      <w:pPr>
        <w:pStyle w:val="ListBullet"/>
        <w:spacing w:after="40"/>
        <w:widowControl/>
      </w:pPr>
      <w:r>
        <w:t>The backend verifies permission for every protected action, even when the frontend hides an unavailable page or button.</w:t>
      </w:r>
    </w:p>
    <w:p>
      <w:pPr>
        <w:pStyle w:val="ListBullet"/>
        <w:spacing w:after="40"/>
        <w:widowControl/>
      </w:pPr>
      <w:r>
        <w:t>The system remains the source of truth for operational records after the agreed cutover date.</w:t>
      </w:r>
    </w:p>
    <w:p>
      <w:pPr>
        <w:pStyle w:val="ListBullet"/>
        <w:spacing w:after="40"/>
        <w:widowControl/>
      </w:pPr>
      <w:r>
        <w:t>Artificial intelligence may recommend or interpret, but it does not bypass pharmacist judgment, permissions, confirmation, or audit controls.</w:t>
      </w:r>
    </w:p>
    <w:p>
      <w:pPr>
        <w:pStyle w:val="Heading1"/>
        <w:keepNext/>
        <w:widowControl/>
      </w:pPr>
      <w:r>
        <w:t>3 Users Roles and Permissions</w:t>
      </w:r>
    </w:p>
    <w:p>
      <w:pPr>
        <w:widowControl/>
      </w:pPr>
      <w:r>
        <w:t>GreenlifeAI will combine predefined roles with a configurable role builder. Authorized administrators can create a role, assign pages, grant individual actions, set approval limits, and restrict the data scope available to that role.</w:t>
      </w:r>
    </w:p>
    <w:p>
      <w:pPr>
        <w:pStyle w:val="Heading2"/>
        <w:keepNext/>
        <w:widowControl/>
      </w:pPr>
      <w:r>
        <w:t>Recommended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160"/>
            <w:shd w:fill="0F5132"/>
            <w:tcMar>
              <w:top w:w="100" w:type="dxa"/>
              <w:start w:w="120" w:type="dxa"/>
              <w:bottom w:w="100" w:type="dxa"/>
              <w:end w:w="120" w:type="dxa"/>
            </w:tcMar>
            <w:vAlign w:val="center"/>
          </w:tcPr>
          <w:p>
            <w:pPr>
              <w:spacing w:after="0"/>
              <w:jc w:val="left"/>
            </w:pPr>
            <w:r>
              <w:rPr>
                <w:b/>
                <w:color w:val="FFFFFF"/>
                <w:sz w:val="19"/>
              </w:rPr>
              <w:t>Role</w:t>
            </w:r>
          </w:p>
        </w:tc>
        <w:tc>
          <w:tcPr>
            <w:tcW w:type="dxa" w:w="7560"/>
            <w:shd w:fill="0F5132"/>
            <w:tcMar>
              <w:top w:w="100" w:type="dxa"/>
              <w:start w:w="120" w:type="dxa"/>
              <w:bottom w:w="100" w:type="dxa"/>
              <w:end w:w="120" w:type="dxa"/>
            </w:tcMar>
            <w:vAlign w:val="center"/>
          </w:tcPr>
          <w:p>
            <w:pPr>
              <w:spacing w:after="0"/>
              <w:jc w:val="left"/>
            </w:pPr>
            <w:r>
              <w:rPr>
                <w:b/>
                <w:color w:val="FFFFFF"/>
                <w:sz w:val="19"/>
              </w:rPr>
              <w:t>Purpose and access</w:t>
            </w:r>
          </w:p>
        </w:tc>
      </w:tr>
      <w:tr>
        <w:tc>
          <w:tcPr>
            <w:tcW w:type="dxa" w:w="2160"/>
            <w:tcMar>
              <w:top w:w="100" w:type="dxa"/>
              <w:start w:w="120" w:type="dxa"/>
              <w:bottom w:w="100" w:type="dxa"/>
              <w:end w:w="120" w:type="dxa"/>
            </w:tcMar>
            <w:vAlign w:val="center"/>
          </w:tcPr>
          <w:p>
            <w:pPr>
              <w:spacing w:after="0" w:line="252" w:lineRule="auto"/>
            </w:pPr>
            <w:r>
              <w:rPr>
                <w:color w:val="000000"/>
                <w:sz w:val="18"/>
              </w:rPr>
              <w:t>Super Admin</w:t>
            </w:r>
          </w:p>
        </w:tc>
        <w:tc>
          <w:tcPr>
            <w:tcW w:type="dxa" w:w="7560"/>
            <w:tcMar>
              <w:top w:w="100" w:type="dxa"/>
              <w:start w:w="120" w:type="dxa"/>
              <w:bottom w:w="100" w:type="dxa"/>
              <w:end w:w="120" w:type="dxa"/>
            </w:tcMar>
            <w:vAlign w:val="center"/>
          </w:tcPr>
          <w:p>
            <w:pPr>
              <w:spacing w:after="0" w:line="252" w:lineRule="auto"/>
            </w:pPr>
            <w:r>
              <w:rPr>
                <w:color w:val="000000"/>
                <w:sz w:val="18"/>
              </w:rPr>
              <w:t>Controls installation-level configuration, recovery, versioning, security, licensing, integrations, and system-wide diagnostics. This account should not be used for daily sales.</w:t>
            </w:r>
          </w:p>
        </w:tc>
      </w:tr>
      <w:tr>
        <w:tc>
          <w:tcPr>
            <w:tcW w:type="dxa" w:w="2160"/>
            <w:tcMar>
              <w:top w:w="100" w:type="dxa"/>
              <w:start w:w="120" w:type="dxa"/>
              <w:bottom w:w="100" w:type="dxa"/>
              <w:end w:w="120" w:type="dxa"/>
            </w:tcMar>
            <w:vAlign w:val="center"/>
            <w:shd w:fill="EAF4EE"/>
          </w:tcPr>
          <w:p>
            <w:pPr>
              <w:spacing w:after="0" w:line="252" w:lineRule="auto"/>
            </w:pPr>
            <w:r>
              <w:rPr>
                <w:color w:val="000000"/>
                <w:sz w:val="18"/>
              </w:rPr>
              <w:t>Pharmacy Admin</w:t>
            </w:r>
          </w:p>
        </w:tc>
        <w:tc>
          <w:tcPr>
            <w:tcW w:type="dxa" w:w="7560"/>
            <w:tcMar>
              <w:top w:w="100" w:type="dxa"/>
              <w:start w:w="120" w:type="dxa"/>
              <w:bottom w:w="100" w:type="dxa"/>
              <w:end w:w="120" w:type="dxa"/>
            </w:tcMar>
            <w:vAlign w:val="center"/>
            <w:shd w:fill="EAF4EE"/>
          </w:tcPr>
          <w:p>
            <w:pPr>
              <w:spacing w:after="0" w:line="252" w:lineRule="auto"/>
            </w:pPr>
            <w:r>
              <w:rPr>
                <w:color w:val="000000"/>
                <w:sz w:val="18"/>
              </w:rPr>
              <w:t>Manages pharmacy users, custom roles, settings, approvals, reports, and pharmacy audit access.</w:t>
            </w:r>
          </w:p>
        </w:tc>
      </w:tr>
      <w:tr>
        <w:tc>
          <w:tcPr>
            <w:tcW w:type="dxa" w:w="2160"/>
            <w:tcMar>
              <w:top w:w="100" w:type="dxa"/>
              <w:start w:w="120" w:type="dxa"/>
              <w:bottom w:w="100" w:type="dxa"/>
              <w:end w:w="120" w:type="dxa"/>
            </w:tcMar>
            <w:vAlign w:val="center"/>
          </w:tcPr>
          <w:p>
            <w:pPr>
              <w:spacing w:after="0" w:line="252" w:lineRule="auto"/>
            </w:pPr>
            <w:r>
              <w:rPr>
                <w:color w:val="000000"/>
                <w:sz w:val="18"/>
              </w:rPr>
              <w:t>Manager</w:t>
            </w:r>
          </w:p>
        </w:tc>
        <w:tc>
          <w:tcPr>
            <w:tcW w:type="dxa" w:w="7560"/>
            <w:tcMar>
              <w:top w:w="100" w:type="dxa"/>
              <w:start w:w="120" w:type="dxa"/>
              <w:bottom w:w="100" w:type="dxa"/>
              <w:end w:w="120" w:type="dxa"/>
            </w:tcMar>
            <w:vAlign w:val="center"/>
          </w:tcPr>
          <w:p>
            <w:pPr>
              <w:spacing w:after="0" w:line="252" w:lineRule="auto"/>
            </w:pPr>
            <w:r>
              <w:rPr>
                <w:color w:val="000000"/>
                <w:sz w:val="18"/>
              </w:rPr>
              <w:t>Oversees daily operations, approvals, purchasing, stock, sales, and reconciliations.</w:t>
            </w:r>
          </w:p>
        </w:tc>
      </w:tr>
      <w:tr>
        <w:tc>
          <w:tcPr>
            <w:tcW w:type="dxa" w:w="2160"/>
            <w:tcMar>
              <w:top w:w="100" w:type="dxa"/>
              <w:start w:w="120" w:type="dxa"/>
              <w:bottom w:w="100" w:type="dxa"/>
              <w:end w:w="120" w:type="dxa"/>
            </w:tcMar>
            <w:vAlign w:val="center"/>
            <w:shd w:fill="EAF4EE"/>
          </w:tcPr>
          <w:p>
            <w:pPr>
              <w:spacing w:after="0" w:line="252" w:lineRule="auto"/>
            </w:pPr>
            <w:r>
              <w:rPr>
                <w:color w:val="000000"/>
                <w:sz w:val="18"/>
              </w:rPr>
              <w:t>Pharmacist</w:t>
            </w:r>
          </w:p>
        </w:tc>
        <w:tc>
          <w:tcPr>
            <w:tcW w:type="dxa" w:w="7560"/>
            <w:tcMar>
              <w:top w:w="100" w:type="dxa"/>
              <w:start w:w="120" w:type="dxa"/>
              <w:bottom w:w="100" w:type="dxa"/>
              <w:end w:w="120" w:type="dxa"/>
            </w:tcMar>
            <w:vAlign w:val="center"/>
            <w:shd w:fill="EAF4EE"/>
          </w:tcPr>
          <w:p>
            <w:pPr>
              <w:spacing w:after="0" w:line="252" w:lineRule="auto"/>
            </w:pPr>
            <w:r>
              <w:rPr>
                <w:color w:val="000000"/>
                <w:sz w:val="18"/>
              </w:rPr>
              <w:t>Reviews prescriptions, supervises dispensing, and controls medicine safety decisions.</w:t>
            </w:r>
          </w:p>
        </w:tc>
      </w:tr>
      <w:tr>
        <w:tc>
          <w:tcPr>
            <w:tcW w:type="dxa" w:w="2160"/>
            <w:tcMar>
              <w:top w:w="100" w:type="dxa"/>
              <w:start w:w="120" w:type="dxa"/>
              <w:bottom w:w="100" w:type="dxa"/>
              <w:end w:w="120" w:type="dxa"/>
            </w:tcMar>
            <w:vAlign w:val="center"/>
          </w:tcPr>
          <w:p>
            <w:pPr>
              <w:spacing w:after="0" w:line="252" w:lineRule="auto"/>
            </w:pPr>
            <w:r>
              <w:rPr>
                <w:color w:val="000000"/>
                <w:sz w:val="18"/>
              </w:rPr>
              <w:t>Cashier</w:t>
            </w:r>
          </w:p>
        </w:tc>
        <w:tc>
          <w:tcPr>
            <w:tcW w:type="dxa" w:w="7560"/>
            <w:tcMar>
              <w:top w:w="100" w:type="dxa"/>
              <w:start w:w="120" w:type="dxa"/>
              <w:bottom w:w="100" w:type="dxa"/>
              <w:end w:w="120" w:type="dxa"/>
            </w:tcMar>
            <w:vAlign w:val="center"/>
          </w:tcPr>
          <w:p>
            <w:pPr>
              <w:spacing w:after="0" w:line="252" w:lineRule="auto"/>
            </w:pPr>
            <w:r>
              <w:rPr>
                <w:color w:val="000000"/>
                <w:sz w:val="18"/>
              </w:rPr>
              <w:t>Processes permitted sales, payments, receipts, and shift reconciliation.</w:t>
            </w:r>
          </w:p>
        </w:tc>
      </w:tr>
      <w:tr>
        <w:tc>
          <w:tcPr>
            <w:tcW w:type="dxa" w:w="2160"/>
            <w:tcMar>
              <w:top w:w="100" w:type="dxa"/>
              <w:start w:w="120" w:type="dxa"/>
              <w:bottom w:w="100" w:type="dxa"/>
              <w:end w:w="120" w:type="dxa"/>
            </w:tcMar>
            <w:vAlign w:val="center"/>
            <w:shd w:fill="EAF4EE"/>
          </w:tcPr>
          <w:p>
            <w:pPr>
              <w:spacing w:after="0" w:line="252" w:lineRule="auto"/>
            </w:pPr>
            <w:r>
              <w:rPr>
                <w:color w:val="000000"/>
                <w:sz w:val="18"/>
              </w:rPr>
              <w:t>Stock Officer</w:t>
            </w:r>
          </w:p>
        </w:tc>
        <w:tc>
          <w:tcPr>
            <w:tcW w:type="dxa" w:w="7560"/>
            <w:tcMar>
              <w:top w:w="100" w:type="dxa"/>
              <w:start w:w="120" w:type="dxa"/>
              <w:bottom w:w="100" w:type="dxa"/>
              <w:end w:w="120" w:type="dxa"/>
            </w:tcMar>
            <w:vAlign w:val="center"/>
            <w:shd w:fill="EAF4EE"/>
          </w:tcPr>
          <w:p>
            <w:pPr>
              <w:spacing w:after="0" w:line="252" w:lineRule="auto"/>
            </w:pPr>
            <w:r>
              <w:rPr>
                <w:color w:val="000000"/>
                <w:sz w:val="18"/>
              </w:rPr>
              <w:t>Receives stock, records batches, conducts counts, and manages stock status.</w:t>
            </w:r>
          </w:p>
        </w:tc>
      </w:tr>
      <w:tr>
        <w:tc>
          <w:tcPr>
            <w:tcW w:type="dxa" w:w="2160"/>
            <w:tcMar>
              <w:top w:w="100" w:type="dxa"/>
              <w:start w:w="120" w:type="dxa"/>
              <w:bottom w:w="100" w:type="dxa"/>
              <w:end w:w="120" w:type="dxa"/>
            </w:tcMar>
            <w:vAlign w:val="center"/>
          </w:tcPr>
          <w:p>
            <w:pPr>
              <w:spacing w:after="0" w:line="252" w:lineRule="auto"/>
            </w:pPr>
            <w:r>
              <w:rPr>
                <w:color w:val="000000"/>
                <w:sz w:val="18"/>
              </w:rPr>
              <w:t>Procurement Officer</w:t>
            </w:r>
          </w:p>
        </w:tc>
        <w:tc>
          <w:tcPr>
            <w:tcW w:type="dxa" w:w="7560"/>
            <w:tcMar>
              <w:top w:w="100" w:type="dxa"/>
              <w:start w:w="120" w:type="dxa"/>
              <w:bottom w:w="100" w:type="dxa"/>
              <w:end w:w="120" w:type="dxa"/>
            </w:tcMar>
            <w:vAlign w:val="center"/>
          </w:tcPr>
          <w:p>
            <w:pPr>
              <w:spacing w:after="0" w:line="252" w:lineRule="auto"/>
            </w:pPr>
            <w:r>
              <w:rPr>
                <w:color w:val="000000"/>
                <w:sz w:val="18"/>
              </w:rPr>
              <w:t>Creates purchase requests and orders and manages supplier activity.</w:t>
            </w:r>
          </w:p>
        </w:tc>
      </w:tr>
      <w:tr>
        <w:tc>
          <w:tcPr>
            <w:tcW w:type="dxa" w:w="2160"/>
            <w:tcMar>
              <w:top w:w="100" w:type="dxa"/>
              <w:start w:w="120" w:type="dxa"/>
              <w:bottom w:w="100" w:type="dxa"/>
              <w:end w:w="120" w:type="dxa"/>
            </w:tcMar>
            <w:vAlign w:val="center"/>
            <w:shd w:fill="EAF4EE"/>
          </w:tcPr>
          <w:p>
            <w:pPr>
              <w:spacing w:after="0" w:line="252" w:lineRule="auto"/>
            </w:pPr>
            <w:r>
              <w:rPr>
                <w:color w:val="000000"/>
                <w:sz w:val="18"/>
              </w:rPr>
              <w:t>Accountant</w:t>
            </w:r>
          </w:p>
        </w:tc>
        <w:tc>
          <w:tcPr>
            <w:tcW w:type="dxa" w:w="7560"/>
            <w:tcMar>
              <w:top w:w="100" w:type="dxa"/>
              <w:start w:w="120" w:type="dxa"/>
              <w:bottom w:w="100" w:type="dxa"/>
              <w:end w:w="120" w:type="dxa"/>
            </w:tcMar>
            <w:vAlign w:val="center"/>
            <w:shd w:fill="EAF4EE"/>
          </w:tcPr>
          <w:p>
            <w:pPr>
              <w:spacing w:after="0" w:line="252" w:lineRule="auto"/>
            </w:pPr>
            <w:r>
              <w:rPr>
                <w:color w:val="000000"/>
                <w:sz w:val="18"/>
              </w:rPr>
              <w:t>Manages expenses, balances, loan records, payments, and financial reports.</w:t>
            </w:r>
          </w:p>
        </w:tc>
      </w:tr>
      <w:tr>
        <w:tc>
          <w:tcPr>
            <w:tcW w:type="dxa" w:w="2160"/>
            <w:tcMar>
              <w:top w:w="100" w:type="dxa"/>
              <w:start w:w="120" w:type="dxa"/>
              <w:bottom w:w="100" w:type="dxa"/>
              <w:end w:w="120" w:type="dxa"/>
            </w:tcMar>
            <w:vAlign w:val="center"/>
          </w:tcPr>
          <w:p>
            <w:pPr>
              <w:spacing w:after="0" w:line="252" w:lineRule="auto"/>
            </w:pPr>
            <w:r>
              <w:rPr>
                <w:color w:val="000000"/>
                <w:sz w:val="18"/>
              </w:rPr>
              <w:t>Auditor</w:t>
            </w:r>
          </w:p>
        </w:tc>
        <w:tc>
          <w:tcPr>
            <w:tcW w:type="dxa" w:w="7560"/>
            <w:tcMar>
              <w:top w:w="100" w:type="dxa"/>
              <w:start w:w="120" w:type="dxa"/>
              <w:bottom w:w="100" w:type="dxa"/>
              <w:end w:w="120" w:type="dxa"/>
            </w:tcMar>
            <w:vAlign w:val="center"/>
          </w:tcPr>
          <w:p>
            <w:pPr>
              <w:spacing w:after="0" w:line="252" w:lineRule="auto"/>
            </w:pPr>
            <w:r>
              <w:rPr>
                <w:color w:val="000000"/>
                <w:sz w:val="18"/>
              </w:rPr>
              <w:t>Receives read-only access to approved records, reports, and audit evidence.</w:t>
            </w:r>
          </w:p>
        </w:tc>
      </w:tr>
      <w:tr>
        <w:tc>
          <w:tcPr>
            <w:tcW w:type="dxa" w:w="2160"/>
            <w:tcMar>
              <w:top w:w="100" w:type="dxa"/>
              <w:start w:w="120" w:type="dxa"/>
              <w:bottom w:w="100" w:type="dxa"/>
              <w:end w:w="120" w:type="dxa"/>
            </w:tcMar>
            <w:vAlign w:val="center"/>
            <w:shd w:fill="EAF4EE"/>
          </w:tcPr>
          <w:p>
            <w:pPr>
              <w:spacing w:after="0" w:line="252" w:lineRule="auto"/>
            </w:pPr>
            <w:r>
              <w:rPr>
                <w:color w:val="000000"/>
                <w:sz w:val="18"/>
              </w:rPr>
              <w:t>Custom Role</w:t>
            </w:r>
          </w:p>
        </w:tc>
        <w:tc>
          <w:tcPr>
            <w:tcW w:type="dxa" w:w="7560"/>
            <w:tcMar>
              <w:top w:w="100" w:type="dxa"/>
              <w:start w:w="120" w:type="dxa"/>
              <w:bottom w:w="100" w:type="dxa"/>
              <w:end w:w="120" w:type="dxa"/>
            </w:tcMar>
            <w:vAlign w:val="center"/>
            <w:shd w:fill="EAF4EE"/>
          </w:tcPr>
          <w:p>
            <w:pPr>
              <w:spacing w:after="0" w:line="252" w:lineRule="auto"/>
            </w:pPr>
            <w:r>
              <w:rPr>
                <w:color w:val="000000"/>
                <w:sz w:val="18"/>
              </w:rPr>
              <w:t>A pharmacy-defined role with selected pages, actions, approval limits, and data scope.</w:t>
            </w:r>
          </w:p>
        </w:tc>
      </w:tr>
    </w:tbl>
    <w:p>
      <w:pPr>
        <w:spacing w:after="0"/>
        <w:widowControl/>
      </w:pPr>
    </w:p>
    <w:p>
      <w:pPr>
        <w:pStyle w:val="Heading2"/>
        <w:keepNext/>
        <w:widowControl/>
      </w:pPr>
      <w:r>
        <w:t>Permission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0F5132"/>
            <w:tcMar>
              <w:top w:w="100" w:type="dxa"/>
              <w:start w:w="120" w:type="dxa"/>
              <w:bottom w:w="100" w:type="dxa"/>
              <w:end w:w="120" w:type="dxa"/>
            </w:tcMar>
            <w:vAlign w:val="center"/>
          </w:tcPr>
          <w:p>
            <w:pPr>
              <w:spacing w:after="0"/>
              <w:jc w:val="left"/>
            </w:pPr>
            <w:r>
              <w:rPr>
                <w:b/>
                <w:color w:val="FFFFFF"/>
                <w:sz w:val="19"/>
              </w:rPr>
              <w:t>Permission</w:t>
            </w:r>
          </w:p>
        </w:tc>
        <w:tc>
          <w:tcPr>
            <w:tcW w:type="dxa" w:w="7488"/>
            <w:shd w:fill="0F5132"/>
            <w:tcMar>
              <w:top w:w="100" w:type="dxa"/>
              <w:start w:w="120" w:type="dxa"/>
              <w:bottom w:w="100" w:type="dxa"/>
              <w:end w:w="120" w:type="dxa"/>
            </w:tcMar>
            <w:vAlign w:val="center"/>
          </w:tcPr>
          <w:p>
            <w:pPr>
              <w:spacing w:after="0"/>
              <w:jc w:val="left"/>
            </w:pPr>
            <w:r>
              <w:rPr>
                <w:b/>
                <w:color w:val="FFFFFF"/>
                <w:sz w:val="19"/>
              </w:rPr>
              <w:t>Purpose</w:t>
            </w:r>
          </w:p>
        </w:tc>
      </w:tr>
      <w:tr>
        <w:tc>
          <w:tcPr>
            <w:tcW w:type="dxa" w:w="2232"/>
            <w:tcMar>
              <w:top w:w="100" w:type="dxa"/>
              <w:start w:w="120" w:type="dxa"/>
              <w:bottom w:w="100" w:type="dxa"/>
              <w:end w:w="120" w:type="dxa"/>
            </w:tcMar>
            <w:vAlign w:val="center"/>
          </w:tcPr>
          <w:p>
            <w:pPr>
              <w:spacing w:after="0" w:line="252" w:lineRule="auto"/>
            </w:pPr>
            <w:r>
              <w:rPr>
                <w:color w:val="000000"/>
                <w:sz w:val="18"/>
              </w:rPr>
              <w:t>Create</w:t>
            </w:r>
          </w:p>
        </w:tc>
        <w:tc>
          <w:tcPr>
            <w:tcW w:type="dxa" w:w="7488"/>
            <w:tcMar>
              <w:top w:w="100" w:type="dxa"/>
              <w:start w:w="120" w:type="dxa"/>
              <w:bottom w:w="100" w:type="dxa"/>
              <w:end w:w="120" w:type="dxa"/>
            </w:tcMar>
            <w:vAlign w:val="center"/>
          </w:tcPr>
          <w:p>
            <w:pPr>
              <w:spacing w:after="0" w:line="252" w:lineRule="auto"/>
            </w:pPr>
            <w:r>
              <w:rPr>
                <w:color w:val="000000"/>
                <w:sz w:val="18"/>
              </w:rPr>
              <w:t>Add a new record or start a transaction.</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Read</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View permitted records and pages.</w:t>
            </w:r>
          </w:p>
        </w:tc>
      </w:tr>
      <w:tr>
        <w:tc>
          <w:tcPr>
            <w:tcW w:type="dxa" w:w="2232"/>
            <w:tcMar>
              <w:top w:w="100" w:type="dxa"/>
              <w:start w:w="120" w:type="dxa"/>
              <w:bottom w:w="100" w:type="dxa"/>
              <w:end w:w="120" w:type="dxa"/>
            </w:tcMar>
            <w:vAlign w:val="center"/>
          </w:tcPr>
          <w:p>
            <w:pPr>
              <w:spacing w:after="0" w:line="252" w:lineRule="auto"/>
            </w:pPr>
            <w:r>
              <w:rPr>
                <w:color w:val="000000"/>
                <w:sz w:val="18"/>
              </w:rPr>
              <w:t>Update</w:t>
            </w:r>
          </w:p>
        </w:tc>
        <w:tc>
          <w:tcPr>
            <w:tcW w:type="dxa" w:w="7488"/>
            <w:tcMar>
              <w:top w:w="100" w:type="dxa"/>
              <w:start w:w="120" w:type="dxa"/>
              <w:bottom w:w="100" w:type="dxa"/>
              <w:end w:w="120" w:type="dxa"/>
            </w:tcMar>
            <w:vAlign w:val="center"/>
          </w:tcPr>
          <w:p>
            <w:pPr>
              <w:spacing w:after="0" w:line="252" w:lineRule="auto"/>
            </w:pPr>
            <w:r>
              <w:rPr>
                <w:color w:val="000000"/>
                <w:sz w:val="18"/>
              </w:rPr>
              <w:t>Edit records that remain editable under business rules.</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Delete draft</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Remove an uncompleted draft where deletion is allowed.</w:t>
            </w:r>
          </w:p>
        </w:tc>
      </w:tr>
      <w:tr>
        <w:tc>
          <w:tcPr>
            <w:tcW w:type="dxa" w:w="2232"/>
            <w:tcMar>
              <w:top w:w="100" w:type="dxa"/>
              <w:start w:w="120" w:type="dxa"/>
              <w:bottom w:w="100" w:type="dxa"/>
              <w:end w:w="120" w:type="dxa"/>
            </w:tcMar>
            <w:vAlign w:val="center"/>
          </w:tcPr>
          <w:p>
            <w:pPr>
              <w:spacing w:after="0" w:line="252" w:lineRule="auto"/>
            </w:pPr>
            <w:r>
              <w:rPr>
                <w:color w:val="000000"/>
                <w:sz w:val="18"/>
              </w:rPr>
              <w:t>Approve or reject</w:t>
            </w:r>
          </w:p>
        </w:tc>
        <w:tc>
          <w:tcPr>
            <w:tcW w:type="dxa" w:w="7488"/>
            <w:tcMar>
              <w:top w:w="100" w:type="dxa"/>
              <w:start w:w="120" w:type="dxa"/>
              <w:bottom w:w="100" w:type="dxa"/>
              <w:end w:w="120" w:type="dxa"/>
            </w:tcMar>
            <w:vAlign w:val="center"/>
          </w:tcPr>
          <w:p>
            <w:pPr>
              <w:spacing w:after="0" w:line="252" w:lineRule="auto"/>
            </w:pPr>
            <w:r>
              <w:rPr>
                <w:color w:val="000000"/>
                <w:sz w:val="18"/>
              </w:rPr>
              <w:t>Decide a purchase, refund, stock adjustment, expense, disposal, or other controlled request.</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Cancel or reverse</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Correct a transaction through an accountable linked workflow.</w:t>
            </w:r>
          </w:p>
        </w:tc>
      </w:tr>
      <w:tr>
        <w:tc>
          <w:tcPr>
            <w:tcW w:type="dxa" w:w="2232"/>
            <w:tcMar>
              <w:top w:w="100" w:type="dxa"/>
              <w:start w:w="120" w:type="dxa"/>
              <w:bottom w:w="100" w:type="dxa"/>
              <w:end w:w="120" w:type="dxa"/>
            </w:tcMar>
            <w:vAlign w:val="center"/>
          </w:tcPr>
          <w:p>
            <w:pPr>
              <w:spacing w:after="0" w:line="252" w:lineRule="auto"/>
            </w:pPr>
            <w:r>
              <w:rPr>
                <w:color w:val="000000"/>
                <w:sz w:val="18"/>
              </w:rPr>
              <w:t>Print or export</w:t>
            </w:r>
          </w:p>
        </w:tc>
        <w:tc>
          <w:tcPr>
            <w:tcW w:type="dxa" w:w="7488"/>
            <w:tcMar>
              <w:top w:w="100" w:type="dxa"/>
              <w:start w:w="120" w:type="dxa"/>
              <w:bottom w:w="100" w:type="dxa"/>
              <w:end w:w="120" w:type="dxa"/>
            </w:tcMar>
            <w:vAlign w:val="center"/>
          </w:tcPr>
          <w:p>
            <w:pPr>
              <w:spacing w:after="0" w:line="252" w:lineRule="auto"/>
            </w:pPr>
            <w:r>
              <w:rPr>
                <w:color w:val="000000"/>
                <w:sz w:val="18"/>
              </w:rPr>
              <w:t>Produce receipts, reports, PDF files, spreadsheets, or CSV data.</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View cost or profit</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Access commercially sensitive cost, margin, and profitability information.</w:t>
            </w:r>
          </w:p>
        </w:tc>
      </w:tr>
      <w:tr>
        <w:tc>
          <w:tcPr>
            <w:tcW w:type="dxa" w:w="2232"/>
            <w:tcMar>
              <w:top w:w="100" w:type="dxa"/>
              <w:start w:w="120" w:type="dxa"/>
              <w:bottom w:w="100" w:type="dxa"/>
              <w:end w:w="120" w:type="dxa"/>
            </w:tcMar>
            <w:vAlign w:val="center"/>
          </w:tcPr>
          <w:p>
            <w:pPr>
              <w:spacing w:after="0" w:line="252" w:lineRule="auto"/>
            </w:pPr>
            <w:r>
              <w:rPr>
                <w:color w:val="000000"/>
                <w:sz w:val="18"/>
              </w:rPr>
              <w:t>Manage settings</w:t>
            </w:r>
          </w:p>
        </w:tc>
        <w:tc>
          <w:tcPr>
            <w:tcW w:type="dxa" w:w="7488"/>
            <w:tcMar>
              <w:top w:w="100" w:type="dxa"/>
              <w:start w:w="120" w:type="dxa"/>
              <w:bottom w:w="100" w:type="dxa"/>
              <w:end w:w="120" w:type="dxa"/>
            </w:tcMar>
            <w:vAlign w:val="center"/>
          </w:tcPr>
          <w:p>
            <w:pPr>
              <w:spacing w:after="0" w:line="252" w:lineRule="auto"/>
            </w:pPr>
            <w:r>
              <w:rPr>
                <w:color w:val="000000"/>
                <w:sz w:val="18"/>
              </w:rPr>
              <w:t>Change configuration within an authorized module.</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View audit records</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Inspect permitted user, transaction, and system activity.</w:t>
            </w:r>
          </w:p>
        </w:tc>
      </w:tr>
    </w:tbl>
    <w:p>
      <w:pPr>
        <w:spacing w:after="0"/>
        <w:widowControl/>
      </w:pPr>
    </w:p>
    <w:p>
      <w:pPr>
        <w:pStyle w:val="Heading2"/>
        <w:keepNext/>
        <w:widowControl/>
      </w:pPr>
      <w:r>
        <w:t>Permission Safeguards</w:t>
      </w:r>
    </w:p>
    <w:p>
      <w:pPr>
        <w:pStyle w:val="ListBullet"/>
        <w:spacing w:after="40"/>
        <w:widowControl/>
      </w:pPr>
      <w:r>
        <w:t>Super Admin and other sensitive accounts should use two-factor authentication.</w:t>
      </w:r>
    </w:p>
    <w:p>
      <w:pPr>
        <w:pStyle w:val="ListBullet"/>
        <w:spacing w:after="40"/>
        <w:widowControl/>
      </w:pPr>
      <w:r>
        <w:t>Critical actions can require password confirmation and a second authorized approver.</w:t>
      </w:r>
    </w:p>
    <w:p>
      <w:pPr>
        <w:pStyle w:val="ListBullet"/>
        <w:spacing w:after="40"/>
        <w:widowControl/>
      </w:pPr>
      <w:r>
        <w:t>Discount, refund, purchase, expense, debt write-off, and stock-adjustment limits can vary by role.</w:t>
      </w:r>
    </w:p>
    <w:p>
      <w:pPr>
        <w:pStyle w:val="ListBullet"/>
        <w:spacing w:after="40"/>
        <w:widowControl/>
      </w:pPr>
      <w:r>
        <w:t>Deactivating a staff account immediately removes access while preserving its previous activity.</w:t>
      </w:r>
    </w:p>
    <w:p>
      <w:pPr>
        <w:pStyle w:val="ListBullet"/>
        <w:spacing w:after="40"/>
        <w:widowControl/>
      </w:pPr>
      <w:r>
        <w:t>Every role, permission, user assignment, activation, and deactivation change creates an audit event.</w:t>
      </w:r>
    </w:p>
    <w:p>
      <w:pPr>
        <w:pStyle w:val="ListBullet"/>
        <w:spacing w:after="40"/>
        <w:widowControl/>
      </w:pPr>
      <w:r>
        <w:t>Future multi-branch deployment will restrict each user to assigned branches unless broader access is explicitly granted.</w:t>
      </w:r>
    </w:p>
    <w:p>
      <w:pPr>
        <w:pStyle w:val="Heading1"/>
        <w:keepNext/>
        <w:widowControl/>
      </w:pPr>
      <w:r>
        <w:t>4 Core Functional Modules</w:t>
      </w:r>
    </w:p>
    <w:p>
      <w:pPr>
        <w:pStyle w:val="Heading2"/>
        <w:keepNext/>
        <w:widowControl/>
      </w:pPr>
      <w:r>
        <w:t>Authentication and account security</w:t>
      </w:r>
    </w:p>
    <w:p>
      <w:pPr>
        <w:pStyle w:val="ListBullet"/>
        <w:spacing w:after="40"/>
        <w:widowControl/>
      </w:pPr>
      <w:r>
        <w:t>Secure sign-in, password reset, account recovery, session timeout, failed-login monitoring, account locking, two-factor authentication, device history, and remote session revocation.</w:t>
      </w:r>
    </w:p>
    <w:p>
      <w:pPr>
        <w:pStyle w:val="Heading2"/>
        <w:keepNext/>
        <w:widowControl/>
      </w:pPr>
      <w:r>
        <w:t>Product and medicine catalogue</w:t>
      </w:r>
    </w:p>
    <w:p>
      <w:pPr>
        <w:pStyle w:val="ListBullet"/>
        <w:spacing w:after="40"/>
        <w:widowControl/>
      </w:pPr>
      <w:r>
        <w:t>Brand and generic names, category, strength, dosage form, manufacturer, barcode, product code, prescription status, storage requirements, supplier, reorder level, cost, price, and active status.</w:t>
      </w:r>
    </w:p>
    <w:p>
      <w:pPr>
        <w:pStyle w:val="ListBullet"/>
        <w:spacing w:after="40"/>
        <w:widowControl/>
      </w:pPr>
      <w:r>
        <w:t>Purchase and selling units with conversions such as carton to pack and pack to tablet.</w:t>
      </w:r>
    </w:p>
    <w:p>
      <w:pPr>
        <w:pStyle w:val="Heading2"/>
        <w:keepNext/>
        <w:widowControl/>
      </w:pPr>
      <w:r>
        <w:t>Supplier management</w:t>
      </w:r>
    </w:p>
    <w:p>
      <w:pPr>
        <w:pStyle w:val="ListBullet"/>
        <w:spacing w:after="40"/>
        <w:widowControl/>
      </w:pPr>
      <w:r>
        <w:t>Supplier profiles, contacts, products, payment terms, purchase history, balances, statements, price comparisons, and delivery performance.</w:t>
      </w:r>
    </w:p>
    <w:p>
      <w:pPr>
        <w:pStyle w:val="Heading2"/>
        <w:keepNext/>
        <w:widowControl/>
      </w:pPr>
      <w:r>
        <w:t>Purchase and goods receiving</w:t>
      </w:r>
    </w:p>
    <w:p>
      <w:pPr>
        <w:pStyle w:val="ListBullet"/>
        <w:spacing w:after="40"/>
        <w:widowControl/>
      </w:pPr>
      <w:r>
        <w:t>Purchase requests, purchase orders, approval, complete or partial receiving, invoice capture, batch and expiry entry, discounts, additional costs, payment status, attachments, and supplier returns.</w:t>
      </w:r>
    </w:p>
    <w:p>
      <w:pPr>
        <w:pStyle w:val="ListBullet"/>
        <w:spacing w:after="40"/>
        <w:widowControl/>
      </w:pPr>
      <w:r>
        <w:t>Stock increases only after goods are received and accepted.</w:t>
      </w:r>
    </w:p>
    <w:p>
      <w:pPr>
        <w:pStyle w:val="Heading2"/>
        <w:keepNext/>
        <w:widowControl/>
      </w:pPr>
      <w:r>
        <w:t>Sales and point of sale</w:t>
      </w:r>
    </w:p>
    <w:p>
      <w:pPr>
        <w:pStyle w:val="ListBullet"/>
        <w:spacing w:after="40"/>
        <w:widowControl/>
      </w:pPr>
      <w:r>
        <w:t>Barcode scanning, brand and generic search, unit conversion, retail and future wholesale pricing, cash, Mobile Money, card, credit, and split payment.</w:t>
      </w:r>
    </w:p>
    <w:p>
      <w:pPr>
        <w:pStyle w:val="ListBullet"/>
        <w:spacing w:after="40"/>
        <w:widowControl/>
      </w:pPr>
      <w:r>
        <w:t>Receipts, suspended sales, discounts, returns, refunds, reversals, cashier shifts, and first-expiry-first-out recommendations.</w:t>
      </w:r>
    </w:p>
    <w:p>
      <w:pPr>
        <w:pStyle w:val="Heading2"/>
        <w:keepNext/>
        <w:widowControl/>
      </w:pPr>
      <w:r>
        <w:t>Prescription and dispensing</w:t>
      </w:r>
    </w:p>
    <w:p>
      <w:pPr>
        <w:pStyle w:val="ListBullet"/>
        <w:spacing w:after="40"/>
        <w:widowControl/>
      </w:pPr>
      <w:r>
        <w:t>Prescription upload, prescriber and facility details, pharmacist review, dosage instructions, partial dispensing, status, patient history, and the identity of the approving pharmacist.</w:t>
      </w:r>
    </w:p>
    <w:p>
      <w:pPr>
        <w:pStyle w:val="Heading2"/>
        <w:keepNext/>
        <w:widowControl/>
      </w:pPr>
      <w:r>
        <w:t>Inventory and stock control</w:t>
      </w:r>
    </w:p>
    <w:p>
      <w:pPr>
        <w:pStyle w:val="ListBullet"/>
        <w:spacing w:after="40"/>
        <w:widowControl/>
      </w:pPr>
      <w:r>
        <w:t>Real-time stock by product, batch, unit, expiry date, and stock condition; opening stock; movement ledger; counts; adjustments; valuation; damaged stock; returns; and disposal.</w:t>
      </w:r>
    </w:p>
    <w:p>
      <w:pPr>
        <w:pStyle w:val="ListBullet"/>
        <w:spacing w:after="40"/>
        <w:widowControl/>
      </w:pPr>
      <w:r>
        <w:t>Separate available, reserved, quarantined, damaged, recalled, and expired quantities.</w:t>
      </w:r>
    </w:p>
    <w:p>
      <w:pPr>
        <w:pStyle w:val="Heading2"/>
        <w:keepNext/>
        <w:widowControl/>
      </w:pPr>
      <w:r>
        <w:t>Batch expiry and recall</w:t>
      </w:r>
    </w:p>
    <w:p>
      <w:pPr>
        <w:pStyle w:val="ListBullet"/>
        <w:spacing w:after="40"/>
        <w:widowControl/>
      </w:pPr>
      <w:r>
        <w:t>Mandatory batch and expiry data at receiving, configurable alerts, automatic blocking, expiry-loss reports, quarantine, supplier return, disposal approval, and recall tracing.</w:t>
      </w:r>
    </w:p>
    <w:p>
      <w:pPr>
        <w:pStyle w:val="Heading2"/>
        <w:keepNext/>
        <w:widowControl/>
      </w:pPr>
      <w:r>
        <w:t>Customer and credit management</w:t>
      </w:r>
    </w:p>
    <w:p>
      <w:pPr>
        <w:pStyle w:val="ListBullet"/>
        <w:spacing w:after="40"/>
        <w:widowControl/>
      </w:pPr>
      <w:r>
        <w:t>Customer profiles, purchase history, credit limits, payment terms, balances, receipts, statements, ageing, reminders, and approved write-offs. Anonymous walk-in sales remain available.</w:t>
      </w:r>
    </w:p>
    <w:p>
      <w:pPr>
        <w:pStyle w:val="Heading2"/>
        <w:keepNext/>
        <w:widowControl/>
      </w:pPr>
      <w:r>
        <w:t>Supplier payables</w:t>
      </w:r>
    </w:p>
    <w:p>
      <w:pPr>
        <w:pStyle w:val="ListBullet"/>
        <w:spacing w:after="40"/>
        <w:widowControl/>
      </w:pPr>
      <w:r>
        <w:t>Credit purchases, invoice due dates, payments, allocations, supplier statements, ageing, overdue alerts, credit notes, and duplicate-invoice prevention.</w:t>
      </w:r>
    </w:p>
    <w:p>
      <w:pPr>
        <w:pStyle w:val="Heading2"/>
        <w:keepNext/>
        <w:widowControl/>
      </w:pPr>
      <w:r>
        <w:t>Business loans</w:t>
      </w:r>
    </w:p>
    <w:p>
      <w:pPr>
        <w:pStyle w:val="ListBullet"/>
        <w:spacing w:after="40"/>
        <w:widowControl/>
      </w:pPr>
      <w:r>
        <w:t>Lender, principal, interest, fees, repayment schedule, payments, balances, due dates, documents, and statements. Loan principal is separated from revenue and operating expense.</w:t>
      </w:r>
    </w:p>
    <w:p>
      <w:pPr>
        <w:pStyle w:val="Heading2"/>
        <w:keepNext/>
        <w:widowControl/>
      </w:pPr>
      <w:r>
        <w:t>Expenses cash and shifts</w:t>
      </w:r>
    </w:p>
    <w:p>
      <w:pPr>
        <w:pStyle w:val="ListBullet"/>
        <w:spacing w:after="40"/>
        <w:widowControl/>
      </w:pPr>
      <w:r>
        <w:t>Expense categories, supporting receipts, approvals, cash inflows and outflows, shift opening and closing, expected versus actual cash, shortages, excesses, and payment-channel reconciliation.</w:t>
      </w:r>
    </w:p>
    <w:p>
      <w:pPr>
        <w:pStyle w:val="Heading2"/>
        <w:keepNext/>
        <w:widowControl/>
      </w:pPr>
      <w:r>
        <w:t>Pricing and discounts</w:t>
      </w:r>
    </w:p>
    <w:p>
      <w:pPr>
        <w:pStyle w:val="ListBullet"/>
        <w:spacing w:after="40"/>
        <w:widowControl/>
      </w:pPr>
      <w:r>
        <w:t>Retail, wholesale, unit, pack, carton, and promotional prices; minimum price controls; margin calculations; scheduled price changes; role-based discount limits; and price history.</w:t>
      </w:r>
    </w:p>
    <w:p>
      <w:pPr>
        <w:pStyle w:val="Heading2"/>
        <w:keepNext/>
        <w:widowControl/>
      </w:pPr>
      <w:r>
        <w:t>Returns refunds and corrections</w:t>
      </w:r>
    </w:p>
    <w:p>
      <w:pPr>
        <w:pStyle w:val="ListBullet"/>
        <w:spacing w:after="40"/>
        <w:widowControl/>
      </w:pPr>
      <w:r>
        <w:t>Original-sale reference, reason, approval, medicine safety decision, refund method, credit note, stock disposition, and complete audit history.</w:t>
      </w:r>
    </w:p>
    <w:p>
      <w:pPr>
        <w:pStyle w:val="Heading2"/>
        <w:keepNext/>
        <w:widowControl/>
      </w:pPr>
      <w:r>
        <w:t>Stock Integrity Rules</w:t>
      </w:r>
    </w:p>
    <w:p>
      <w:pPr>
        <w:pStyle w:val="ListBullet"/>
        <w:spacing w:after="40"/>
        <w:widowControl/>
      </w:pPr>
      <w:r>
        <w:t>Every stock movement references a source transaction, user, time, product, batch, quantity, unit, and reason.</w:t>
      </w:r>
    </w:p>
    <w:p>
      <w:pPr>
        <w:pStyle w:val="ListBullet"/>
        <w:spacing w:after="40"/>
        <w:widowControl/>
      </w:pPr>
      <w:r>
        <w:t>A sale, payment, stock deduction, and audit event complete in one database transaction or all fail together.</w:t>
      </w:r>
    </w:p>
    <w:p>
      <w:pPr>
        <w:pStyle w:val="ListBullet"/>
        <w:spacing w:after="40"/>
        <w:widowControl/>
      </w:pPr>
      <w:r>
        <w:t>Expired, recalled, quarantined, and damaged stock cannot be sold.</w:t>
      </w:r>
    </w:p>
    <w:p>
      <w:pPr>
        <w:pStyle w:val="ListBullet"/>
        <w:spacing w:after="40"/>
        <w:widowControl/>
      </w:pPr>
      <w:r>
        <w:t>Returned medicines do not automatically return to saleable stock; an authorized employee determines their condition.</w:t>
      </w:r>
    </w:p>
    <w:p>
      <w:pPr>
        <w:pStyle w:val="ListBullet"/>
        <w:spacing w:after="40"/>
        <w:widowControl/>
      </w:pPr>
      <w:r>
        <w:t>Opening inventory and later adjustments require approval and remain traceable.</w:t>
      </w:r>
    </w:p>
    <w:p>
      <w:pPr>
        <w:pStyle w:val="Heading1"/>
        <w:keepNext/>
        <w:widowControl/>
      </w:pPr>
      <w:r>
        <w:t>5 Reporting Alerts and Audit Controls</w:t>
      </w:r>
    </w:p>
    <w:p>
      <w:pPr>
        <w:pStyle w:val="Heading2"/>
        <w:keepNext/>
        <w:widowControl/>
      </w:pPr>
      <w:r>
        <w:t>Management Dashboard</w:t>
      </w:r>
    </w:p>
    <w:p>
      <w:pPr>
        <w:pStyle w:val="ListBullet"/>
        <w:spacing w:after="40"/>
        <w:widowControl/>
      </w:pPr>
      <w:r>
        <w:t>Daily sales, transaction count, payment-method totals, purchases received, gross-profit estimate, and expenses.</w:t>
      </w:r>
    </w:p>
    <w:p>
      <w:pPr>
        <w:pStyle w:val="ListBullet"/>
        <w:spacing w:after="40"/>
        <w:widowControl/>
      </w:pPr>
      <w:r>
        <w:t>Stock value, low stock, unavailable products, expiring value, expired value, and slow-moving products.</w:t>
      </w:r>
    </w:p>
    <w:p>
      <w:pPr>
        <w:pStyle w:val="ListBullet"/>
        <w:spacing w:after="40"/>
        <w:widowControl/>
      </w:pPr>
      <w:r>
        <w:t>Customer receivables, supplier payables, loan balances, upcoming repayments, refunds, discounts, and adjustments.</w:t>
      </w:r>
    </w:p>
    <w:p>
      <w:pPr>
        <w:pStyle w:val="ListBullet"/>
        <w:spacing w:after="40"/>
        <w:widowControl/>
      </w:pPr>
      <w:r>
        <w:t>Cashier status, reconciliation differences, security warnings, and latest successful backup.</w:t>
      </w:r>
    </w:p>
    <w:p>
      <w:pPr>
        <w:pStyle w:val="Heading2"/>
        <w:keepNext/>
        <w:widowControl/>
      </w:pPr>
      <w:r>
        <w:t>Summary and Detailed Reports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0F5132"/>
            <w:tcMar>
              <w:top w:w="100" w:type="dxa"/>
              <w:start w:w="120" w:type="dxa"/>
              <w:bottom w:w="100" w:type="dxa"/>
              <w:end w:w="120" w:type="dxa"/>
            </w:tcMar>
            <w:vAlign w:val="center"/>
          </w:tcPr>
          <w:p>
            <w:pPr>
              <w:spacing w:after="0"/>
              <w:jc w:val="left"/>
            </w:pPr>
            <w:r>
              <w:rPr>
                <w:b/>
                <w:color w:val="FFFFFF"/>
                <w:sz w:val="19"/>
              </w:rPr>
              <w:t>Report family</w:t>
            </w:r>
          </w:p>
        </w:tc>
        <w:tc>
          <w:tcPr>
            <w:tcW w:type="dxa" w:w="7488"/>
            <w:shd w:fill="0F5132"/>
            <w:tcMar>
              <w:top w:w="100" w:type="dxa"/>
              <w:start w:w="120" w:type="dxa"/>
              <w:bottom w:w="100" w:type="dxa"/>
              <w:end w:w="120" w:type="dxa"/>
            </w:tcMar>
            <w:vAlign w:val="center"/>
          </w:tcPr>
          <w:p>
            <w:pPr>
              <w:spacing w:after="0"/>
              <w:jc w:val="left"/>
            </w:pPr>
            <w:r>
              <w:rPr>
                <w:b/>
                <w:color w:val="FFFFFF"/>
                <w:sz w:val="19"/>
              </w:rPr>
              <w:t>Examples</w:t>
            </w:r>
          </w:p>
        </w:tc>
      </w:tr>
      <w:tr>
        <w:tc>
          <w:tcPr>
            <w:tcW w:type="dxa" w:w="2232"/>
            <w:tcMar>
              <w:top w:w="100" w:type="dxa"/>
              <w:start w:w="120" w:type="dxa"/>
              <w:bottom w:w="100" w:type="dxa"/>
              <w:end w:w="120" w:type="dxa"/>
            </w:tcMar>
            <w:vAlign w:val="center"/>
          </w:tcPr>
          <w:p>
            <w:pPr>
              <w:spacing w:after="0" w:line="252" w:lineRule="auto"/>
            </w:pPr>
            <w:r>
              <w:rPr>
                <w:color w:val="000000"/>
                <w:sz w:val="18"/>
              </w:rPr>
              <w:t>Sales</w:t>
            </w:r>
          </w:p>
        </w:tc>
        <w:tc>
          <w:tcPr>
            <w:tcW w:type="dxa" w:w="7488"/>
            <w:tcMar>
              <w:top w:w="100" w:type="dxa"/>
              <w:start w:w="120" w:type="dxa"/>
              <w:bottom w:w="100" w:type="dxa"/>
              <w:end w:w="120" w:type="dxa"/>
            </w:tcMar>
            <w:vAlign w:val="center"/>
          </w:tcPr>
          <w:p>
            <w:pPr>
              <w:spacing w:after="0" w:line="252" w:lineRule="auto"/>
            </w:pPr>
            <w:r>
              <w:rPr>
                <w:color w:val="000000"/>
                <w:sz w:val="18"/>
              </w:rPr>
              <w:t>Summary and detailed sales by period, product, category, customer, cashier, branch, payment method, discount, return, and refund.</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Purchases</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Supplier, invoice, product, batch, cost, receiving date, payment status, returns, and price history.</w:t>
            </w:r>
          </w:p>
        </w:tc>
      </w:tr>
      <w:tr>
        <w:tc>
          <w:tcPr>
            <w:tcW w:type="dxa" w:w="2232"/>
            <w:tcMar>
              <w:top w:w="100" w:type="dxa"/>
              <w:start w:w="120" w:type="dxa"/>
              <w:bottom w:w="100" w:type="dxa"/>
              <w:end w:w="120" w:type="dxa"/>
            </w:tcMar>
            <w:vAlign w:val="center"/>
          </w:tcPr>
          <w:p>
            <w:pPr>
              <w:spacing w:after="0" w:line="252" w:lineRule="auto"/>
            </w:pPr>
            <w:r>
              <w:rPr>
                <w:color w:val="000000"/>
                <w:sz w:val="18"/>
              </w:rPr>
              <w:t>Inventory</w:t>
            </w:r>
          </w:p>
        </w:tc>
        <w:tc>
          <w:tcPr>
            <w:tcW w:type="dxa" w:w="7488"/>
            <w:tcMar>
              <w:top w:w="100" w:type="dxa"/>
              <w:start w:w="120" w:type="dxa"/>
              <w:bottom w:w="100" w:type="dxa"/>
              <w:end w:w="120" w:type="dxa"/>
            </w:tcMar>
            <w:vAlign w:val="center"/>
          </w:tcPr>
          <w:p>
            <w:pPr>
              <w:spacing w:after="0" w:line="252" w:lineRule="auto"/>
            </w:pPr>
            <w:r>
              <w:rPr>
                <w:color w:val="000000"/>
                <w:sz w:val="18"/>
              </w:rPr>
              <w:t>Valuation, movement ledger, counts, variance, low stock, stockouts, expiry, damage, quarantine, recalls, and disposal.</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Profit</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Revenue, actual batch cost, gross profit, expenses, interest, and authorized profitability views.</w:t>
            </w:r>
          </w:p>
        </w:tc>
      </w:tr>
      <w:tr>
        <w:tc>
          <w:tcPr>
            <w:tcW w:type="dxa" w:w="2232"/>
            <w:tcMar>
              <w:top w:w="100" w:type="dxa"/>
              <w:start w:w="120" w:type="dxa"/>
              <w:bottom w:w="100" w:type="dxa"/>
              <w:end w:w="120" w:type="dxa"/>
            </w:tcMar>
            <w:vAlign w:val="center"/>
          </w:tcPr>
          <w:p>
            <w:pPr>
              <w:spacing w:after="0" w:line="252" w:lineRule="auto"/>
            </w:pPr>
            <w:r>
              <w:rPr>
                <w:color w:val="000000"/>
                <w:sz w:val="18"/>
              </w:rPr>
              <w:t>Balances</w:t>
            </w:r>
          </w:p>
        </w:tc>
        <w:tc>
          <w:tcPr>
            <w:tcW w:type="dxa" w:w="7488"/>
            <w:tcMar>
              <w:top w:w="100" w:type="dxa"/>
              <w:start w:w="120" w:type="dxa"/>
              <w:bottom w:w="100" w:type="dxa"/>
              <w:end w:w="120" w:type="dxa"/>
            </w:tcMar>
            <w:vAlign w:val="center"/>
          </w:tcPr>
          <w:p>
            <w:pPr>
              <w:spacing w:after="0" w:line="252" w:lineRule="auto"/>
            </w:pPr>
            <w:r>
              <w:rPr>
                <w:color w:val="000000"/>
                <w:sz w:val="18"/>
              </w:rPr>
              <w:t>Customer receivables, supplier payables, ageing, payments, loan principal, interest, and repayment schedules.</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Cash control</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Shift opening, collections, expected cash, actual cash, shortages, excesses, and payment-channel reconciliation.</w:t>
            </w:r>
          </w:p>
        </w:tc>
      </w:tr>
      <w:tr>
        <w:tc>
          <w:tcPr>
            <w:tcW w:type="dxa" w:w="2232"/>
            <w:tcMar>
              <w:top w:w="100" w:type="dxa"/>
              <w:start w:w="120" w:type="dxa"/>
              <w:bottom w:w="100" w:type="dxa"/>
              <w:end w:w="120" w:type="dxa"/>
            </w:tcMar>
            <w:vAlign w:val="center"/>
          </w:tcPr>
          <w:p>
            <w:pPr>
              <w:spacing w:after="0" w:line="252" w:lineRule="auto"/>
            </w:pPr>
            <w:r>
              <w:rPr>
                <w:color w:val="000000"/>
                <w:sz w:val="18"/>
              </w:rPr>
              <w:t>Staff and security</w:t>
            </w:r>
          </w:p>
        </w:tc>
        <w:tc>
          <w:tcPr>
            <w:tcW w:type="dxa" w:w="7488"/>
            <w:tcMar>
              <w:top w:w="100" w:type="dxa"/>
              <w:start w:w="120" w:type="dxa"/>
              <w:bottom w:w="100" w:type="dxa"/>
              <w:end w:w="120" w:type="dxa"/>
            </w:tcMar>
            <w:vAlign w:val="center"/>
          </w:tcPr>
          <w:p>
            <w:pPr>
              <w:spacing w:after="0" w:line="252" w:lineRule="auto"/>
            </w:pPr>
            <w:r>
              <w:rPr>
                <w:color w:val="000000"/>
                <w:sz w:val="18"/>
              </w:rPr>
              <w:t>User activity, permissions, approvals, failed access, exports, adjustments, and audit evidence.</w:t>
            </w:r>
          </w:p>
        </w:tc>
      </w:tr>
    </w:tbl>
    <w:p>
      <w:pPr>
        <w:spacing w:after="0"/>
        <w:widowControl/>
      </w:pPr>
    </w:p>
    <w:p>
      <w:pPr>
        <w:pStyle w:val="Heading2"/>
        <w:keepNext/>
        <w:widowControl/>
      </w:pPr>
      <w:r>
        <w:t>Alerts and Notifications</w:t>
      </w:r>
    </w:p>
    <w:p>
      <w:pPr>
        <w:pStyle w:val="ListBullet"/>
        <w:spacing w:after="40"/>
        <w:widowControl/>
      </w:pPr>
      <w:r>
        <w:t>Low stock, out of stock, approaching expiry, expired batches, recalled products, and failed stock movements.</w:t>
      </w:r>
    </w:p>
    <w:p>
      <w:pPr>
        <w:pStyle w:val="ListBullet"/>
        <w:spacing w:after="40"/>
        <w:widowControl/>
      </w:pPr>
      <w:r>
        <w:t>Large discounts, frequent refunds, unusual adjustments, below-minimum prices, and activity outside expected hours.</w:t>
      </w:r>
    </w:p>
    <w:p>
      <w:pPr>
        <w:pStyle w:val="ListBullet"/>
        <w:spacing w:after="40"/>
        <w:widowControl/>
      </w:pPr>
      <w:r>
        <w:t>Overdue customer balances, supplier invoices, loan repayments, failed backups, low disk space, and repeated failed logins.</w:t>
      </w:r>
    </w:p>
    <w:p>
      <w:pPr>
        <w:pStyle w:val="ListBullet"/>
        <w:spacing w:after="40"/>
        <w:widowControl/>
      </w:pPr>
      <w:r>
        <w:t>In-application alerts first, with optional email, SMS, or WhatsApp delivery in later releases.</w:t>
      </w:r>
    </w:p>
    <w:p>
      <w:pPr>
        <w:pStyle w:val="Heading2"/>
        <w:keepNext/>
        <w:widowControl/>
      </w:pPr>
      <w:r>
        <w:t>Audit Trail</w:t>
      </w:r>
    </w:p>
    <w:p>
      <w:pPr>
        <w:widowControl/>
      </w:pPr>
      <w:r>
        <w:t>Audit events will be append-only. Users will not edit or delete audit history through the application. A correction creates a new linked event while preserving the original state.</w:t>
      </w:r>
    </w:p>
    <w:p>
      <w:pPr>
        <w:pStyle w:val="ListBullet"/>
        <w:spacing w:after="40"/>
        <w:widowControl/>
      </w:pPr>
      <w:r>
        <w:t>User, role, action, module, affected record, date, time, result, reason, approver, session, and device context where appropriate.</w:t>
      </w:r>
    </w:p>
    <w:p>
      <w:pPr>
        <w:pStyle w:val="ListBullet"/>
        <w:spacing w:after="40"/>
        <w:widowControl/>
      </w:pPr>
      <w:r>
        <w:t>Previous and new values for controlled changes.</w:t>
      </w:r>
    </w:p>
    <w:p>
      <w:pPr>
        <w:pStyle w:val="ListBullet"/>
        <w:spacing w:after="40"/>
        <w:widowControl/>
      </w:pPr>
      <w:r>
        <w:t>Coverage for authentication, users, roles, purchases, sales, prices, stock, expiry, payments, loans, expenses, reports, exports, settings, backups, restoration, and updates.</w:t>
      </w:r>
    </w:p>
    <w:p>
      <w:pPr>
        <w:pStyle w:val="ListBullet"/>
        <w:spacing w:after="40"/>
        <w:widowControl/>
      </w:pPr>
      <w:r>
        <w:t>No passwords, authentication secrets, payment secrets, or encryption keys in logs.</w:t>
      </w:r>
    </w:p>
    <w:p>
      <w:pPr>
        <w:pStyle w:val="Heading1"/>
        <w:keepNext/>
        <w:widowControl/>
      </w:pPr>
      <w:r>
        <w:t>6 Technical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088"/>
            <w:shd w:fill="0F5132"/>
            <w:tcMar>
              <w:top w:w="100" w:type="dxa"/>
              <w:start w:w="120" w:type="dxa"/>
              <w:bottom w:w="100" w:type="dxa"/>
              <w:end w:w="120" w:type="dxa"/>
            </w:tcMar>
            <w:vAlign w:val="center"/>
          </w:tcPr>
          <w:p>
            <w:pPr>
              <w:spacing w:after="0"/>
              <w:jc w:val="left"/>
            </w:pPr>
            <w:r>
              <w:rPr>
                <w:b/>
                <w:color w:val="FFFFFF"/>
                <w:sz w:val="19"/>
              </w:rPr>
              <w:t>Layer</w:t>
            </w:r>
          </w:p>
        </w:tc>
        <w:tc>
          <w:tcPr>
            <w:tcW w:type="dxa" w:w="7632"/>
            <w:shd w:fill="0F5132"/>
            <w:tcMar>
              <w:top w:w="100" w:type="dxa"/>
              <w:start w:w="120" w:type="dxa"/>
              <w:bottom w:w="100" w:type="dxa"/>
              <w:end w:w="120" w:type="dxa"/>
            </w:tcMar>
            <w:vAlign w:val="center"/>
          </w:tcPr>
          <w:p>
            <w:pPr>
              <w:spacing w:after="0"/>
              <w:jc w:val="left"/>
            </w:pPr>
            <w:r>
              <w:rPr>
                <w:b/>
                <w:color w:val="FFFFFF"/>
                <w:sz w:val="19"/>
              </w:rPr>
              <w:t>Technology and responsibility</w:t>
            </w:r>
          </w:p>
        </w:tc>
      </w:tr>
      <w:tr>
        <w:tc>
          <w:tcPr>
            <w:tcW w:type="dxa" w:w="2088"/>
            <w:tcMar>
              <w:top w:w="100" w:type="dxa"/>
              <w:start w:w="120" w:type="dxa"/>
              <w:bottom w:w="100" w:type="dxa"/>
              <w:end w:w="120" w:type="dxa"/>
            </w:tcMar>
            <w:vAlign w:val="center"/>
          </w:tcPr>
          <w:p>
            <w:pPr>
              <w:spacing w:after="0" w:line="252" w:lineRule="auto"/>
            </w:pPr>
            <w:r>
              <w:rPr>
                <w:color w:val="000000"/>
                <w:sz w:val="18"/>
              </w:rPr>
              <w:t>Frontend</w:t>
            </w:r>
          </w:p>
        </w:tc>
        <w:tc>
          <w:tcPr>
            <w:tcW w:type="dxa" w:w="7632"/>
            <w:tcMar>
              <w:top w:w="100" w:type="dxa"/>
              <w:start w:w="120" w:type="dxa"/>
              <w:bottom w:w="100" w:type="dxa"/>
              <w:end w:w="120" w:type="dxa"/>
            </w:tcMar>
            <w:vAlign w:val="center"/>
          </w:tcPr>
          <w:p>
            <w:pPr>
              <w:spacing w:after="0" w:line="252" w:lineRule="auto"/>
            </w:pPr>
            <w:r>
              <w:rPr>
                <w:color w:val="000000"/>
                <w:sz w:val="18"/>
              </w:rPr>
              <w:t>React, TypeScript, Tailwind CSS, routing, forms, responsive screens, barcode workflows, and permitted-page presentation.</w:t>
            </w:r>
          </w:p>
        </w:tc>
      </w:tr>
      <w:tr>
        <w:tc>
          <w:tcPr>
            <w:tcW w:type="dxa" w:w="2088"/>
            <w:tcMar>
              <w:top w:w="100" w:type="dxa"/>
              <w:start w:w="120" w:type="dxa"/>
              <w:bottom w:w="100" w:type="dxa"/>
              <w:end w:w="120" w:type="dxa"/>
            </w:tcMar>
            <w:vAlign w:val="center"/>
            <w:shd w:fill="EAF4EE"/>
          </w:tcPr>
          <w:p>
            <w:pPr>
              <w:spacing w:after="0" w:line="252" w:lineRule="auto"/>
            </w:pPr>
            <w:r>
              <w:rPr>
                <w:color w:val="000000"/>
                <w:sz w:val="18"/>
              </w:rPr>
              <w:t>Core API</w:t>
            </w:r>
          </w:p>
        </w:tc>
        <w:tc>
          <w:tcPr>
            <w:tcW w:type="dxa" w:w="7632"/>
            <w:tcMar>
              <w:top w:w="100" w:type="dxa"/>
              <w:start w:w="120" w:type="dxa"/>
              <w:bottom w:w="100" w:type="dxa"/>
              <w:end w:w="120" w:type="dxa"/>
            </w:tcMar>
            <w:vAlign w:val="center"/>
            <w:shd w:fill="EAF4EE"/>
          </w:tcPr>
          <w:p>
            <w:pPr>
              <w:spacing w:after="0" w:line="252" w:lineRule="auto"/>
            </w:pPr>
            <w:r>
              <w:rPr>
                <w:color w:val="000000"/>
                <w:sz w:val="18"/>
              </w:rPr>
              <w:t>Django and Django REST Framework for business rules, authentication, authorization, transactions, auditing, and reports.</w:t>
            </w:r>
          </w:p>
        </w:tc>
      </w:tr>
      <w:tr>
        <w:tc>
          <w:tcPr>
            <w:tcW w:type="dxa" w:w="2088"/>
            <w:tcMar>
              <w:top w:w="100" w:type="dxa"/>
              <w:start w:w="120" w:type="dxa"/>
              <w:bottom w:w="100" w:type="dxa"/>
              <w:end w:w="120" w:type="dxa"/>
            </w:tcMar>
            <w:vAlign w:val="center"/>
          </w:tcPr>
          <w:p>
            <w:pPr>
              <w:spacing w:after="0" w:line="252" w:lineRule="auto"/>
            </w:pPr>
            <w:r>
              <w:rPr>
                <w:color w:val="000000"/>
                <w:sz w:val="18"/>
              </w:rPr>
              <w:t>Database</w:t>
            </w:r>
          </w:p>
        </w:tc>
        <w:tc>
          <w:tcPr>
            <w:tcW w:type="dxa" w:w="7632"/>
            <w:tcMar>
              <w:top w:w="100" w:type="dxa"/>
              <w:start w:w="120" w:type="dxa"/>
              <w:bottom w:w="100" w:type="dxa"/>
              <w:end w:w="120" w:type="dxa"/>
            </w:tcMar>
            <w:vAlign w:val="center"/>
          </w:tcPr>
          <w:p>
            <w:pPr>
              <w:spacing w:after="0" w:line="252" w:lineRule="auto"/>
            </w:pPr>
            <w:r>
              <w:rPr>
                <w:color w:val="000000"/>
                <w:sz w:val="18"/>
              </w:rPr>
              <w:t>PostgreSQL for products, batches, transactions, balances, audit records, configuration, and reporting.</w:t>
            </w:r>
          </w:p>
        </w:tc>
      </w:tr>
      <w:tr>
        <w:tc>
          <w:tcPr>
            <w:tcW w:type="dxa" w:w="2088"/>
            <w:tcMar>
              <w:top w:w="100" w:type="dxa"/>
              <w:start w:w="120" w:type="dxa"/>
              <w:bottom w:w="100" w:type="dxa"/>
              <w:end w:w="120" w:type="dxa"/>
            </w:tcMar>
            <w:vAlign w:val="center"/>
            <w:shd w:fill="EAF4EE"/>
          </w:tcPr>
          <w:p>
            <w:pPr>
              <w:spacing w:after="0" w:line="252" w:lineRule="auto"/>
            </w:pPr>
            <w:r>
              <w:rPr>
                <w:color w:val="000000"/>
                <w:sz w:val="18"/>
              </w:rPr>
              <w:t>Gateway</w:t>
            </w:r>
          </w:p>
        </w:tc>
        <w:tc>
          <w:tcPr>
            <w:tcW w:type="dxa" w:w="7632"/>
            <w:tcMar>
              <w:top w:w="100" w:type="dxa"/>
              <w:start w:w="120" w:type="dxa"/>
              <w:bottom w:w="100" w:type="dxa"/>
              <w:end w:w="120" w:type="dxa"/>
            </w:tcMar>
            <w:vAlign w:val="center"/>
            <w:shd w:fill="EAF4EE"/>
          </w:tcPr>
          <w:p>
            <w:pPr>
              <w:spacing w:after="0" w:line="252" w:lineRule="auto"/>
            </w:pPr>
            <w:r>
              <w:rPr>
                <w:color w:val="000000"/>
                <w:sz w:val="18"/>
              </w:rPr>
              <w:t>Nginx or Caddy for one local or online address and controlled routing to frontend and backend.</w:t>
            </w:r>
          </w:p>
        </w:tc>
      </w:tr>
      <w:tr>
        <w:tc>
          <w:tcPr>
            <w:tcW w:type="dxa" w:w="2088"/>
            <w:tcMar>
              <w:top w:w="100" w:type="dxa"/>
              <w:start w:w="120" w:type="dxa"/>
              <w:bottom w:w="100" w:type="dxa"/>
              <w:end w:w="120" w:type="dxa"/>
            </w:tcMar>
            <w:vAlign w:val="center"/>
          </w:tcPr>
          <w:p>
            <w:pPr>
              <w:spacing w:after="0" w:line="252" w:lineRule="auto"/>
            </w:pPr>
            <w:r>
              <w:rPr>
                <w:color w:val="000000"/>
                <w:sz w:val="18"/>
              </w:rPr>
              <w:t>Background work</w:t>
            </w:r>
          </w:p>
        </w:tc>
        <w:tc>
          <w:tcPr>
            <w:tcW w:type="dxa" w:w="7632"/>
            <w:tcMar>
              <w:top w:w="100" w:type="dxa"/>
              <w:start w:w="120" w:type="dxa"/>
              <w:bottom w:w="100" w:type="dxa"/>
              <w:end w:w="120" w:type="dxa"/>
            </w:tcMar>
            <w:vAlign w:val="center"/>
          </w:tcPr>
          <w:p>
            <w:pPr>
              <w:spacing w:after="0" w:line="252" w:lineRule="auto"/>
            </w:pPr>
            <w:r>
              <w:rPr>
                <w:color w:val="000000"/>
                <w:sz w:val="18"/>
              </w:rPr>
              <w:t>Celery and Redis when imports, report generation, alerts, messages, or AI tasks require queues.</w:t>
            </w:r>
          </w:p>
        </w:tc>
      </w:tr>
      <w:tr>
        <w:tc>
          <w:tcPr>
            <w:tcW w:type="dxa" w:w="2088"/>
            <w:tcMar>
              <w:top w:w="100" w:type="dxa"/>
              <w:start w:w="120" w:type="dxa"/>
              <w:bottom w:w="100" w:type="dxa"/>
              <w:end w:w="120" w:type="dxa"/>
            </w:tcMar>
            <w:vAlign w:val="center"/>
            <w:shd w:fill="EAF4EE"/>
          </w:tcPr>
          <w:p>
            <w:pPr>
              <w:spacing w:after="0" w:line="252" w:lineRule="auto"/>
            </w:pPr>
            <w:r>
              <w:rPr>
                <w:color w:val="000000"/>
                <w:sz w:val="18"/>
              </w:rPr>
              <w:t>Files</w:t>
            </w:r>
          </w:p>
        </w:tc>
        <w:tc>
          <w:tcPr>
            <w:tcW w:type="dxa" w:w="7632"/>
            <w:tcMar>
              <w:top w:w="100" w:type="dxa"/>
              <w:start w:w="120" w:type="dxa"/>
              <w:bottom w:w="100" w:type="dxa"/>
              <w:end w:w="120" w:type="dxa"/>
            </w:tcMar>
            <w:vAlign w:val="center"/>
            <w:shd w:fill="EAF4EE"/>
          </w:tcPr>
          <w:p>
            <w:pPr>
              <w:spacing w:after="0" w:line="252" w:lineRule="auto"/>
            </w:pPr>
            <w:r>
              <w:rPr>
                <w:color w:val="000000"/>
                <w:sz w:val="18"/>
              </w:rPr>
              <w:t>Protected local media storage initially and S3-compatible storage for cloud deployments.</w:t>
            </w:r>
          </w:p>
        </w:tc>
      </w:tr>
      <w:tr>
        <w:tc>
          <w:tcPr>
            <w:tcW w:type="dxa" w:w="2088"/>
            <w:tcMar>
              <w:top w:w="100" w:type="dxa"/>
              <w:start w:w="120" w:type="dxa"/>
              <w:bottom w:w="100" w:type="dxa"/>
              <w:end w:w="120" w:type="dxa"/>
            </w:tcMar>
            <w:vAlign w:val="center"/>
          </w:tcPr>
          <w:p>
            <w:pPr>
              <w:spacing w:after="0" w:line="252" w:lineRule="auto"/>
            </w:pPr>
            <w:r>
              <w:rPr>
                <w:color w:val="000000"/>
                <w:sz w:val="18"/>
              </w:rPr>
              <w:t>AI service</w:t>
            </w:r>
          </w:p>
        </w:tc>
        <w:tc>
          <w:tcPr>
            <w:tcW w:type="dxa" w:w="7632"/>
            <w:tcMar>
              <w:top w:w="100" w:type="dxa"/>
              <w:start w:w="120" w:type="dxa"/>
              <w:bottom w:w="100" w:type="dxa"/>
              <w:end w:w="120" w:type="dxa"/>
            </w:tcMar>
            <w:vAlign w:val="center"/>
          </w:tcPr>
          <w:p>
            <w:pPr>
              <w:spacing w:after="0" w:line="252" w:lineRule="auto"/>
            </w:pPr>
            <w:r>
              <w:rPr>
                <w:color w:val="000000"/>
                <w:sz w:val="18"/>
              </w:rPr>
              <w:t>FastAPI introduced later for voice, transcription, document extraction, forecasting, and language functions.</w:t>
            </w:r>
          </w:p>
        </w:tc>
      </w:tr>
      <w:tr>
        <w:tc>
          <w:tcPr>
            <w:tcW w:type="dxa" w:w="2088"/>
            <w:tcMar>
              <w:top w:w="100" w:type="dxa"/>
              <w:start w:w="120" w:type="dxa"/>
              <w:bottom w:w="100" w:type="dxa"/>
              <w:end w:w="120" w:type="dxa"/>
            </w:tcMar>
            <w:vAlign w:val="center"/>
            <w:shd w:fill="EAF4EE"/>
          </w:tcPr>
          <w:p>
            <w:pPr>
              <w:spacing w:after="0" w:line="252" w:lineRule="auto"/>
            </w:pPr>
            <w:r>
              <w:rPr>
                <w:color w:val="000000"/>
                <w:sz w:val="18"/>
              </w:rPr>
              <w:t>Packaging</w:t>
            </w:r>
          </w:p>
        </w:tc>
        <w:tc>
          <w:tcPr>
            <w:tcW w:type="dxa" w:w="7632"/>
            <w:tcMar>
              <w:top w:w="100" w:type="dxa"/>
              <w:start w:w="120" w:type="dxa"/>
              <w:bottom w:w="100" w:type="dxa"/>
              <w:end w:w="120" w:type="dxa"/>
            </w:tcMar>
            <w:vAlign w:val="center"/>
            <w:shd w:fill="EAF4EE"/>
          </w:tcPr>
          <w:p>
            <w:pPr>
              <w:spacing w:after="0" w:line="252" w:lineRule="auto"/>
            </w:pPr>
            <w:r>
              <w:rPr>
                <w:color w:val="000000"/>
                <w:sz w:val="18"/>
              </w:rPr>
              <w:t>Docker Compose with versioned application images and environment-specific configuration.</w:t>
            </w:r>
          </w:p>
        </w:tc>
      </w:tr>
    </w:tbl>
    <w:p>
      <w:pPr>
        <w:spacing w:after="0"/>
        <w:widowControl/>
      </w:pPr>
    </w:p>
    <w:p>
      <w:pPr>
        <w:pStyle w:val="Heading2"/>
        <w:keepNext/>
        <w:widowControl/>
      </w:pPr>
      <w:r>
        <w:t>Architecture Approach</w:t>
      </w:r>
    </w:p>
    <w:p>
      <w:pPr>
        <w:widowControl/>
      </w:pPr>
      <w:r>
        <w:t>The first releases should use a modular Django monolith. Accounts, products, purchases, sales, inventory, finance, reports, auditing, backups, and migration remain clearly separated inside one deployable backend. This approach reduces deployment and transaction complexity. Separate services should be introduced only where an independent workload, such as speech processing, justifies them.</w:t>
      </w:r>
    </w:p>
    <w:p>
      <w:pPr>
        <w:pStyle w:val="Heading2"/>
        <w:keepNext/>
        <w:widowControl/>
      </w:pPr>
      <w:r>
        <w:t>Database and Identifier Design</w:t>
      </w:r>
    </w:p>
    <w:p>
      <w:pPr>
        <w:pStyle w:val="ListBullet"/>
        <w:spacing w:after="40"/>
        <w:widowControl/>
      </w:pPr>
      <w:r>
        <w:t>Use PostgreSQL in development, testing, local production, VPS, and cloud environments.</w:t>
      </w:r>
    </w:p>
    <w:p>
      <w:pPr>
        <w:pStyle w:val="ListBullet"/>
        <w:spacing w:after="40"/>
        <w:widowControl/>
      </w:pPr>
      <w:r>
        <w:t>Include a branch identifier in users, stock, sales, purchases, expenses, payments, and reports from the beginning.</w:t>
      </w:r>
    </w:p>
    <w:p>
      <w:pPr>
        <w:pStyle w:val="ListBullet"/>
        <w:spacing w:after="40"/>
        <w:widowControl/>
      </w:pPr>
      <w:r>
        <w:t>Use UUIDs for internal records that may later synchronize or migrate between installations.</w:t>
      </w:r>
    </w:p>
    <w:p>
      <w:pPr>
        <w:pStyle w:val="ListBullet"/>
        <w:spacing w:after="40"/>
        <w:widowControl/>
      </w:pPr>
      <w:r>
        <w:t>Use human-readable transaction references such as SAL-2026-000001 and PUR-2026-000001.</w:t>
      </w:r>
    </w:p>
    <w:p>
      <w:pPr>
        <w:pStyle w:val="ListBullet"/>
        <w:spacing w:after="40"/>
        <w:widowControl/>
      </w:pPr>
      <w:r>
        <w:t>Maintain database constraints for quantities, statuses, uniqueness, relationships, and authorized state transitions.</w:t>
      </w:r>
    </w:p>
    <w:p>
      <w:pPr>
        <w:pStyle w:val="ListBullet"/>
        <w:spacing w:after="40"/>
        <w:widowControl/>
      </w:pPr>
      <w:r>
        <w:t>Keep structured data in PostgreSQL and store large files separately with controlled references.</w:t>
      </w:r>
    </w:p>
    <w:p>
      <w:pPr>
        <w:pStyle w:val="Heading2"/>
        <w:keepNext/>
        <w:widowControl/>
      </w:pPr>
      <w:r>
        <w:t>Docker Resource Naming</w:t>
      </w:r>
    </w:p>
    <w:p>
      <w:pPr>
        <w:widowControl/>
      </w:pPr>
      <w:r>
        <w:t>Every installation should use a unique Compose project prefix, for example greenlifeai_greenlife_001_prod. Docker Compose can apply this prefix to containers, networks, and named volumes so support personnel can identify the resources belonging to the installation.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376"/>
            <w:shd w:fill="0F5132"/>
            <w:tcMar>
              <w:top w:w="100" w:type="dxa"/>
              <w:start w:w="120" w:type="dxa"/>
              <w:bottom w:w="100" w:type="dxa"/>
              <w:end w:w="120" w:type="dxa"/>
            </w:tcMar>
            <w:vAlign w:val="center"/>
          </w:tcPr>
          <w:p>
            <w:pPr>
              <w:spacing w:after="0"/>
              <w:jc w:val="left"/>
            </w:pPr>
            <w:r>
              <w:rPr>
                <w:b/>
                <w:color w:val="FFFFFF"/>
                <w:sz w:val="19"/>
              </w:rPr>
              <w:t>Resource</w:t>
            </w:r>
          </w:p>
        </w:tc>
        <w:tc>
          <w:tcPr>
            <w:tcW w:type="dxa" w:w="7344"/>
            <w:shd w:fill="0F5132"/>
            <w:tcMar>
              <w:top w:w="100" w:type="dxa"/>
              <w:start w:w="120" w:type="dxa"/>
              <w:bottom w:w="100" w:type="dxa"/>
              <w:end w:w="120" w:type="dxa"/>
            </w:tcMar>
            <w:vAlign w:val="center"/>
          </w:tcPr>
          <w:p>
            <w:pPr>
              <w:spacing w:after="0"/>
              <w:jc w:val="left"/>
            </w:pPr>
            <w:r>
              <w:rPr>
                <w:b/>
                <w:color w:val="FFFFFF"/>
                <w:sz w:val="19"/>
              </w:rPr>
              <w:t>Example</w:t>
            </w:r>
          </w:p>
        </w:tc>
      </w:tr>
      <w:tr>
        <w:tc>
          <w:tcPr>
            <w:tcW w:type="dxa" w:w="2376"/>
            <w:tcMar>
              <w:top w:w="100" w:type="dxa"/>
              <w:start w:w="120" w:type="dxa"/>
              <w:bottom w:w="100" w:type="dxa"/>
              <w:end w:w="120" w:type="dxa"/>
            </w:tcMar>
            <w:vAlign w:val="center"/>
          </w:tcPr>
          <w:p>
            <w:pPr>
              <w:spacing w:after="0" w:line="252" w:lineRule="auto"/>
            </w:pPr>
            <w:r>
              <w:rPr>
                <w:color w:val="000000"/>
                <w:sz w:val="18"/>
              </w:rPr>
              <w:t>Compose project</w:t>
            </w:r>
          </w:p>
        </w:tc>
        <w:tc>
          <w:tcPr>
            <w:tcW w:type="dxa" w:w="7344"/>
            <w:tcMar>
              <w:top w:w="100" w:type="dxa"/>
              <w:start w:w="120" w:type="dxa"/>
              <w:bottom w:w="100" w:type="dxa"/>
              <w:end w:w="120" w:type="dxa"/>
            </w:tcMar>
            <w:vAlign w:val="center"/>
          </w:tcPr>
          <w:p>
            <w:pPr>
              <w:spacing w:after="0" w:line="252" w:lineRule="auto"/>
            </w:pPr>
            <w:r>
              <w:rPr>
                <w:color w:val="000000"/>
                <w:sz w:val="18"/>
              </w:rPr>
              <w:t>greenlifeai_greenlife_001_prod</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Backend container</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greenlifeai_greenlife_001_prod-backend-1</w:t>
            </w:r>
          </w:p>
        </w:tc>
      </w:tr>
      <w:tr>
        <w:tc>
          <w:tcPr>
            <w:tcW w:type="dxa" w:w="2376"/>
            <w:tcMar>
              <w:top w:w="100" w:type="dxa"/>
              <w:start w:w="120" w:type="dxa"/>
              <w:bottom w:w="100" w:type="dxa"/>
              <w:end w:w="120" w:type="dxa"/>
            </w:tcMar>
            <w:vAlign w:val="center"/>
          </w:tcPr>
          <w:p>
            <w:pPr>
              <w:spacing w:after="0" w:line="252" w:lineRule="auto"/>
            </w:pPr>
            <w:r>
              <w:rPr>
                <w:color w:val="000000"/>
                <w:sz w:val="18"/>
              </w:rPr>
              <w:t>Database container</w:t>
            </w:r>
          </w:p>
        </w:tc>
        <w:tc>
          <w:tcPr>
            <w:tcW w:type="dxa" w:w="7344"/>
            <w:tcMar>
              <w:top w:w="100" w:type="dxa"/>
              <w:start w:w="120" w:type="dxa"/>
              <w:bottom w:w="100" w:type="dxa"/>
              <w:end w:w="120" w:type="dxa"/>
            </w:tcMar>
            <w:vAlign w:val="center"/>
          </w:tcPr>
          <w:p>
            <w:pPr>
              <w:spacing w:after="0" w:line="252" w:lineRule="auto"/>
            </w:pPr>
            <w:r>
              <w:rPr>
                <w:color w:val="000000"/>
                <w:sz w:val="18"/>
              </w:rPr>
              <w:t>greenlifeai_greenlife_001_prod-database-1</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Network</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greenlifeai_greenlife_001_prod_default</w:t>
            </w:r>
          </w:p>
        </w:tc>
      </w:tr>
      <w:tr>
        <w:tc>
          <w:tcPr>
            <w:tcW w:type="dxa" w:w="2376"/>
            <w:tcMar>
              <w:top w:w="100" w:type="dxa"/>
              <w:start w:w="120" w:type="dxa"/>
              <w:bottom w:w="100" w:type="dxa"/>
              <w:end w:w="120" w:type="dxa"/>
            </w:tcMar>
            <w:vAlign w:val="center"/>
          </w:tcPr>
          <w:p>
            <w:pPr>
              <w:spacing w:after="0" w:line="252" w:lineRule="auto"/>
            </w:pPr>
            <w:r>
              <w:rPr>
                <w:color w:val="000000"/>
                <w:sz w:val="18"/>
              </w:rPr>
              <w:t>Database volume</w:t>
            </w:r>
          </w:p>
        </w:tc>
        <w:tc>
          <w:tcPr>
            <w:tcW w:type="dxa" w:w="7344"/>
            <w:tcMar>
              <w:top w:w="100" w:type="dxa"/>
              <w:start w:w="120" w:type="dxa"/>
              <w:bottom w:w="100" w:type="dxa"/>
              <w:end w:w="120" w:type="dxa"/>
            </w:tcMar>
            <w:vAlign w:val="center"/>
          </w:tcPr>
          <w:p>
            <w:pPr>
              <w:spacing w:after="0" w:line="252" w:lineRule="auto"/>
            </w:pPr>
            <w:r>
              <w:rPr>
                <w:color w:val="000000"/>
                <w:sz w:val="18"/>
              </w:rPr>
              <w:t>greenlifeai_greenlife_001_prod_postgres_data</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Application image</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greenlifeai/backend:1.0.0</w:t>
            </w:r>
          </w:p>
        </w:tc>
      </w:tr>
    </w:tbl>
    <w:p>
      <w:pPr>
        <w:spacing w:after="0"/>
        <w:widowControl/>
      </w:pPr>
    </w:p>
    <w:p>
      <w:pPr>
        <w:pStyle w:val="Heading1"/>
        <w:keepNext/>
        <w:widowControl/>
      </w:pPr>
      <w:r>
        <w:t>7 Local Deployment and Client Experience</w:t>
      </w:r>
    </w:p>
    <w:p>
      <w:pPr>
        <w:pStyle w:val="Heading2"/>
        <w:keepNext/>
        <w:widowControl/>
      </w:pPr>
      <w:r>
        <w:t>Development Environment</w:t>
      </w:r>
    </w:p>
    <w:p>
      <w:pPr>
        <w:widowControl/>
      </w:pPr>
      <w:r>
        <w:t>Docker Desktop can run React, Django, PostgreSQL, Nginx, and supporting services on the development computer. Developers can load test data and test complete workflows without installing PostgreSQL, Python, or Node.js directly when those runtimes are included in the containers.</w:t>
      </w:r>
    </w:p>
    <w:p>
      <w:pPr>
        <w:pStyle w:val="Heading2"/>
        <w:keepNext/>
        <w:widowControl/>
      </w:pPr>
      <w:r>
        <w:t>Client Deployment Options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952"/>
            <w:shd w:fill="0F5132"/>
            <w:tcMar>
              <w:top w:w="100" w:type="dxa"/>
              <w:start w:w="120" w:type="dxa"/>
              <w:bottom w:w="100" w:type="dxa"/>
              <w:end w:w="120" w:type="dxa"/>
            </w:tcMar>
            <w:vAlign w:val="center"/>
          </w:tcPr>
          <w:p>
            <w:pPr>
              <w:spacing w:after="0"/>
              <w:jc w:val="left"/>
            </w:pPr>
            <w:r>
              <w:rPr>
                <w:b/>
                <w:color w:val="FFFFFF"/>
                <w:sz w:val="19"/>
              </w:rPr>
              <w:t>Option</w:t>
            </w:r>
          </w:p>
        </w:tc>
        <w:tc>
          <w:tcPr>
            <w:tcW w:type="dxa" w:w="6768"/>
            <w:shd w:fill="0F5132"/>
            <w:tcMar>
              <w:top w:w="100" w:type="dxa"/>
              <w:start w:w="120" w:type="dxa"/>
              <w:bottom w:w="100" w:type="dxa"/>
              <w:end w:w="120" w:type="dxa"/>
            </w:tcMar>
            <w:vAlign w:val="center"/>
          </w:tcPr>
          <w:p>
            <w:pPr>
              <w:spacing w:after="0"/>
              <w:jc w:val="left"/>
            </w:pPr>
            <w:r>
              <w:rPr>
                <w:b/>
                <w:color w:val="FFFFFF"/>
                <w:sz w:val="19"/>
              </w:rPr>
              <w:t>Use and considerations</w:t>
            </w:r>
          </w:p>
        </w:tc>
      </w:tr>
      <w:tr>
        <w:tc>
          <w:tcPr>
            <w:tcW w:type="dxa" w:w="2952"/>
            <w:tcMar>
              <w:top w:w="100" w:type="dxa"/>
              <w:start w:w="120" w:type="dxa"/>
              <w:bottom w:w="100" w:type="dxa"/>
              <w:end w:w="120" w:type="dxa"/>
            </w:tcMar>
            <w:vAlign w:val="center"/>
          </w:tcPr>
          <w:p>
            <w:pPr>
              <w:spacing w:after="0" w:line="252" w:lineRule="auto"/>
            </w:pPr>
            <w:r>
              <w:rPr>
                <w:color w:val="000000"/>
                <w:sz w:val="18"/>
              </w:rPr>
              <w:t>Windows computer with Docker Desktop</w:t>
            </w:r>
          </w:p>
        </w:tc>
        <w:tc>
          <w:tcPr>
            <w:tcW w:type="dxa" w:w="6768"/>
            <w:tcMar>
              <w:top w:w="100" w:type="dxa"/>
              <w:start w:w="120" w:type="dxa"/>
              <w:bottom w:w="100" w:type="dxa"/>
              <w:end w:w="120" w:type="dxa"/>
            </w:tcMar>
            <w:vAlign w:val="center"/>
          </w:tcPr>
          <w:p>
            <w:pPr>
              <w:spacing w:after="0" w:line="252" w:lineRule="auto"/>
            </w:pPr>
            <w:r>
              <w:rPr>
                <w:color w:val="000000"/>
                <w:sz w:val="18"/>
              </w:rPr>
              <w:t>Suitable for a pilot or small single-computer installation. Docker starts after the configured Windows user signs in. WSL 2, virtualization, resource allocation, updates, and current licensing requirements must be verified.</w:t>
            </w:r>
          </w:p>
        </w:tc>
      </w:tr>
      <w:tr>
        <w:tc>
          <w:tcPr>
            <w:tcW w:type="dxa" w:w="2952"/>
            <w:tcMar>
              <w:top w:w="100" w:type="dxa"/>
              <w:start w:w="120" w:type="dxa"/>
              <w:bottom w:w="100" w:type="dxa"/>
              <w:end w:w="120" w:type="dxa"/>
            </w:tcMar>
            <w:vAlign w:val="center"/>
            <w:shd w:fill="EAF4EE"/>
          </w:tcPr>
          <w:p>
            <w:pPr>
              <w:spacing w:after="0" w:line="252" w:lineRule="auto"/>
            </w:pPr>
            <w:r>
              <w:rPr>
                <w:color w:val="000000"/>
                <w:sz w:val="18"/>
              </w:rPr>
              <w:t>Dedicated Ubuntu mini-server</w:t>
            </w:r>
          </w:p>
        </w:tc>
        <w:tc>
          <w:tcPr>
            <w:tcW w:type="dxa" w:w="6768"/>
            <w:tcMar>
              <w:top w:w="100" w:type="dxa"/>
              <w:start w:w="120" w:type="dxa"/>
              <w:bottom w:w="100" w:type="dxa"/>
              <w:end w:w="120" w:type="dxa"/>
            </w:tcMar>
            <w:vAlign w:val="center"/>
            <w:shd w:fill="EAF4EE"/>
          </w:tcPr>
          <w:p>
            <w:pPr>
              <w:spacing w:after="0" w:line="252" w:lineRule="auto"/>
            </w:pPr>
            <w:r>
              <w:rPr>
                <w:color w:val="000000"/>
                <w:sz w:val="18"/>
              </w:rPr>
              <w:t>Preferred for dependable multi-user local operation. Docker Engine starts as a system service, staff use browsers on the local network, and the server can use a fixed local address and UPS.</w:t>
            </w:r>
          </w:p>
        </w:tc>
      </w:tr>
      <w:tr>
        <w:tc>
          <w:tcPr>
            <w:tcW w:type="dxa" w:w="2952"/>
            <w:tcMar>
              <w:top w:w="100" w:type="dxa"/>
              <w:start w:w="120" w:type="dxa"/>
              <w:bottom w:w="100" w:type="dxa"/>
              <w:end w:w="120" w:type="dxa"/>
            </w:tcMar>
            <w:vAlign w:val="center"/>
          </w:tcPr>
          <w:p>
            <w:pPr>
              <w:spacing w:after="0" w:line="252" w:lineRule="auto"/>
            </w:pPr>
            <w:r>
              <w:rPr>
                <w:color w:val="000000"/>
                <w:sz w:val="18"/>
              </w:rPr>
              <w:t>VPS or managed cloud</w:t>
            </w:r>
          </w:p>
        </w:tc>
        <w:tc>
          <w:tcPr>
            <w:tcW w:type="dxa" w:w="6768"/>
            <w:tcMar>
              <w:top w:w="100" w:type="dxa"/>
              <w:start w:w="120" w:type="dxa"/>
              <w:bottom w:w="100" w:type="dxa"/>
              <w:end w:w="120" w:type="dxa"/>
            </w:tcMar>
            <w:vAlign w:val="center"/>
          </w:tcPr>
          <w:p>
            <w:pPr>
              <w:spacing w:after="0" w:line="252" w:lineRule="auto"/>
            </w:pPr>
            <w:r>
              <w:rPr>
                <w:color w:val="000000"/>
                <w:sz w:val="18"/>
              </w:rPr>
              <w:t>Suitable when internet reliability, remote access, centralized support, and multi-branch connectivity justify online hosting.</w:t>
            </w:r>
          </w:p>
        </w:tc>
      </w:tr>
    </w:tbl>
    <w:p>
      <w:pPr>
        <w:spacing w:after="0"/>
        <w:widowControl/>
      </w:pPr>
    </w:p>
    <w:p>
      <w:pPr>
        <w:pStyle w:val="Heading2"/>
        <w:keepNext/>
        <w:widowControl/>
      </w:pPr>
      <w:r>
        <w:t>First Time Client Installer</w:t>
      </w:r>
    </w:p>
    <w:p>
      <w:pPr>
        <w:widowControl/>
      </w:pPr>
      <w:r>
        <w:t>A controlled installer will prepare the first local installation and later support repair and upgrades. It should perform the following tasks in a fixed, logged sequence.</w:t>
      </w:r>
    </w:p>
    <w:p>
      <w:pPr>
        <w:pStyle w:val="ListNumber"/>
        <w:spacing w:after="60"/>
        <w:widowControl/>
      </w:pPr>
      <w:r>
        <w:t>Check the operating system, processor, memory, disk space, virtualization, WSL 2, administrator rights, network settings, ports, date, and existing installation.</w:t>
      </w:r>
    </w:p>
    <w:p>
      <w:pPr>
        <w:pStyle w:val="ListNumber"/>
        <w:spacing w:after="60"/>
        <w:widowControl/>
      </w:pPr>
      <w:r>
        <w:t>Install or verify Docker Desktop or Docker Engine and confirm that the supported Linux-container runtime works.</w:t>
      </w:r>
    </w:p>
    <w:p>
      <w:pPr>
        <w:pStyle w:val="ListNumber"/>
        <w:spacing w:after="60"/>
        <w:widowControl/>
      </w:pPr>
      <w:r>
        <w:t>Load signed, versioned application images from an online registry or approved offline package.</w:t>
      </w:r>
    </w:p>
    <w:p>
      <w:pPr>
        <w:pStyle w:val="ListNumber"/>
        <w:spacing w:after="60"/>
        <w:widowControl/>
      </w:pPr>
      <w:r>
        <w:t>Collect the pharmacy configuration and generate environment-specific settings.</w:t>
      </w:r>
    </w:p>
    <w:p>
      <w:pPr>
        <w:pStyle w:val="ListNumber"/>
        <w:spacing w:after="60"/>
        <w:widowControl/>
      </w:pPr>
      <w:r>
        <w:t>Generate a unique Django secret, database credentials, backup-encryption key, installation identity, and activation token.</w:t>
      </w:r>
    </w:p>
    <w:p>
      <w:pPr>
        <w:pStyle w:val="ListNumber"/>
        <w:spacing w:after="60"/>
        <w:widowControl/>
      </w:pPr>
      <w:r>
        <w:t>Create PostgreSQL and media volumes and verify that they survive a controlled service restart.</w:t>
      </w:r>
    </w:p>
    <w:p>
      <w:pPr>
        <w:pStyle w:val="ListNumber"/>
        <w:spacing w:after="60"/>
        <w:widowControl/>
      </w:pPr>
      <w:r>
        <w:t>Run Django database migrations and record the resulting schema version.</w:t>
      </w:r>
    </w:p>
    <w:p>
      <w:pPr>
        <w:pStyle w:val="ListNumber"/>
        <w:spacing w:after="60"/>
        <w:widowControl/>
      </w:pPr>
      <w:r>
        <w:t>Create a one-time Super Admin activation flow instead of distributing a universal password.</w:t>
      </w:r>
    </w:p>
    <w:p>
      <w:pPr>
        <w:pStyle w:val="ListNumber"/>
        <w:spacing w:after="60"/>
        <w:widowControl/>
      </w:pPr>
      <w:r>
        <w:t>Configure backup destinations, schedules, retention, encryption, verification, and the first backup.</w:t>
      </w:r>
    </w:p>
    <w:p>
      <w:pPr>
        <w:pStyle w:val="ListNumber"/>
        <w:spacing w:after="60"/>
        <w:widowControl/>
      </w:pPr>
      <w:r>
        <w:t>Configure automatic startup, container restart policies, and health checks.</w:t>
      </w:r>
    </w:p>
    <w:p>
      <w:pPr>
        <w:pStyle w:val="ListNumber"/>
        <w:spacing w:after="60"/>
        <w:widowControl/>
      </w:pPr>
      <w:r>
        <w:t>Create the branded GreenlifeAI desktop shortcut and launcher.</w:t>
      </w:r>
    </w:p>
    <w:p>
      <w:pPr>
        <w:pStyle w:val="ListNumber"/>
        <w:spacing w:after="60"/>
        <w:widowControl/>
      </w:pPr>
      <w:r>
        <w:t>Run end-to-end health checks and create an installation log without recording secrets.</w:t>
      </w:r>
    </w:p>
    <w:p>
      <w:pPr>
        <w:pStyle w:val="Heading2"/>
        <w:keepNext/>
        <w:widowControl/>
      </w:pPr>
      <w:r>
        <w:t>Installation Identity</w:t>
      </w:r>
    </w:p>
    <w:p>
      <w:pPr>
        <w:pStyle w:val="ListBullet"/>
        <w:spacing w:after="40"/>
        <w:widowControl/>
      </w:pPr>
      <w:r>
        <w:t>Unique installation ID, secret key, database password, backup-encryption key, and Super Admin account.</w:t>
      </w:r>
    </w:p>
    <w:p>
      <w:pPr>
        <w:pStyle w:val="ListBullet"/>
        <w:spacing w:after="40"/>
        <w:widowControl/>
      </w:pPr>
      <w:r>
        <w:t>Recorded application version, database schema version, environment type, and licensing status where applicable.</w:t>
      </w:r>
    </w:p>
    <w:p>
      <w:pPr>
        <w:pStyle w:val="ListBullet"/>
        <w:spacing w:after="40"/>
        <w:widowControl/>
      </w:pPr>
      <w:r>
        <w:t>No shared production environment file, default password, or universal secret across clients.</w:t>
      </w:r>
    </w:p>
    <w:p>
      <w:pPr>
        <w:pStyle w:val="Heading2"/>
        <w:keepNext/>
        <w:widowControl/>
      </w:pPr>
      <w:r>
        <w:t>Automatic Startup</w:t>
      </w:r>
    </w:p>
    <w:p>
      <w:pPr>
        <w:widowControl/>
      </w:pPr>
      <w:r>
        <w:t>On a Windows deployment, Docker Desktop should start when the designated Windows user signs in and its dashboard should remain closed. Containers should use an appropriate restart policy such as unless-stopped. On a Linux server, Docker Engine and the application containers should start as system services. Staff should not need to run commands.</w:t>
      </w:r>
    </w:p>
    <w:p>
      <w:pPr>
        <w:pStyle w:val="Heading2"/>
        <w:keepNext/>
        <w:widowControl/>
      </w:pPr>
      <w:r>
        <w:t>GreenlifeAI Launcher</w:t>
      </w:r>
    </w:p>
    <w:p>
      <w:pPr>
        <w:widowControl/>
      </w:pPr>
      <w:r>
        <w:t>The desktop shortcut will open a signed launcher that checks the installation before opening the login page. The launcher must not automatically create an empty database if the production volume is missing.</w:t>
      </w:r>
    </w:p>
    <w:p>
      <w:pPr>
        <w:pStyle w:val="ListNumber"/>
        <w:spacing w:after="60"/>
        <w:widowControl/>
      </w:pPr>
      <w:r>
        <w:t>Confirm that Docker and the expected Compose project are available.</w:t>
      </w:r>
    </w:p>
    <w:p>
      <w:pPr>
        <w:pStyle w:val="ListNumber"/>
        <w:spacing w:after="60"/>
        <w:widowControl/>
      </w:pPr>
      <w:r>
        <w:t>Confirm that configuration, secrets, application images, and persistent volumes exist.</w:t>
      </w:r>
    </w:p>
    <w:p>
      <w:pPr>
        <w:pStyle w:val="ListNumber"/>
        <w:spacing w:after="60"/>
        <w:widowControl/>
      </w:pPr>
      <w:r>
        <w:t>Check disk capacity, PostgreSQL health, API health, frontend health, schema compatibility, and backup status.</w:t>
      </w:r>
    </w:p>
    <w:p>
      <w:pPr>
        <w:pStyle w:val="ListNumber"/>
        <w:spacing w:after="60"/>
        <w:widowControl/>
      </w:pPr>
      <w:r>
        <w:t>Open the login page when critical checks pass.</w:t>
      </w:r>
    </w:p>
    <w:p>
      <w:pPr>
        <w:pStyle w:val="ListNumber"/>
        <w:spacing w:after="60"/>
        <w:widowControl/>
      </w:pPr>
      <w:r>
        <w:t>Show a safe error, support code, retry option, and sanitized diagnostics when a critical check fails.</w:t>
      </w:r>
    </w:p>
    <w:p>
      <w:pPr>
        <w:pStyle w:val="Heading2"/>
        <w:keepNext/>
        <w:widowControl/>
      </w:pPr>
      <w:r>
        <w:t>Startup Screen</w:t>
      </w:r>
    </w:p>
    <w:p>
      <w:pPr>
        <w:widowControl/>
      </w:pPr>
      <w:r>
        <w:t>The launcher will display GreenlifeAI with the caption Pharmacy Management System. When services are already running, checks should normally finish within five to seven seconds and should not be delayed artificially.</w:t>
      </w:r>
    </w:p>
    <w:p>
      <w:pPr>
        <w:pStyle w:val="ListBullet"/>
        <w:spacing w:after="40"/>
        <w:widowControl/>
      </w:pPr>
      <w:r>
        <w:t>Checking system readiness.</w:t>
      </w:r>
    </w:p>
    <w:p>
      <w:pPr>
        <w:pStyle w:val="ListBullet"/>
        <w:spacing w:after="40"/>
        <w:widowControl/>
      </w:pPr>
      <w:r>
        <w:t>Connecting securely.</w:t>
      </w:r>
    </w:p>
    <w:p>
      <w:pPr>
        <w:pStyle w:val="ListBullet"/>
        <w:spacing w:after="40"/>
        <w:widowControl/>
      </w:pPr>
      <w:r>
        <w:t>Verifying pharmacy database.</w:t>
      </w:r>
    </w:p>
    <w:p>
      <w:pPr>
        <w:pStyle w:val="ListBullet"/>
        <w:spacing w:after="40"/>
        <w:widowControl/>
      </w:pPr>
      <w:r>
        <w:t>Loading pharmacy configuration.</w:t>
      </w:r>
    </w:p>
    <w:p>
      <w:pPr>
        <w:pStyle w:val="ListBullet"/>
        <w:spacing w:after="40"/>
        <w:widowControl/>
      </w:pPr>
      <w:r>
        <w:t>Confirming backup status.</w:t>
      </w:r>
    </w:p>
    <w:p>
      <w:pPr>
        <w:pStyle w:val="ListBullet"/>
        <w:spacing w:after="40"/>
        <w:widowControl/>
      </w:pPr>
      <w:r>
        <w:t>Preparing your workspace.</w:t>
      </w:r>
    </w:p>
    <w:p>
      <w:pPr>
        <w:widowControl/>
      </w:pPr>
      <w:r>
        <w:t>If Docker is still starting after a computer restart, the screen may take longer and should explain that secure local services are starting. Backup connectivity may produce a warning without blocking local work, but database or application failures must block login until resolved.</w:t>
      </w:r>
    </w:p>
    <w:p>
      <w:pPr>
        <w:pStyle w:val="Heading1"/>
        <w:keepNext/>
        <w:widowControl/>
      </w:pPr>
      <w:r>
        <w:t>8 Data Protection Backup and Recovery</w:t>
      </w:r>
    </w:p>
    <w:p>
      <w:pPr>
        <w:widowControl/>
      </w:pPr>
      <w:r>
        <w:t>Docker is suitable for pharmacy operations when persistence, backup, security, monitoring, and recovery are configured correctly. A PostgreSQL named volume protects data when a container is restarted or replaced, but the volume is not a backup and may be lost if the disk, operating system, or Docker installation is damaged.</w:t>
      </w:r>
    </w:p>
    <w:p>
      <w:pPr>
        <w:pStyle w:val="Heading2"/>
        <w:keepNext/>
        <w:widowControl/>
      </w:pPr>
      <w:r>
        <w:t>Protection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0F5132"/>
            <w:tcMar>
              <w:top w:w="100" w:type="dxa"/>
              <w:start w:w="120" w:type="dxa"/>
              <w:bottom w:w="100" w:type="dxa"/>
              <w:end w:w="120" w:type="dxa"/>
            </w:tcMar>
            <w:vAlign w:val="center"/>
          </w:tcPr>
          <w:p>
            <w:pPr>
              <w:spacing w:after="0"/>
              <w:jc w:val="left"/>
            </w:pPr>
            <w:r>
              <w:rPr>
                <w:b/>
                <w:color w:val="FFFFFF"/>
                <w:sz w:val="19"/>
              </w:rPr>
              <w:t>Layer</w:t>
            </w:r>
          </w:p>
        </w:tc>
        <w:tc>
          <w:tcPr>
            <w:tcW w:type="dxa" w:w="7488"/>
            <w:shd w:fill="0F5132"/>
            <w:tcMar>
              <w:top w:w="100" w:type="dxa"/>
              <w:start w:w="120" w:type="dxa"/>
              <w:bottom w:w="100" w:type="dxa"/>
              <w:end w:w="120" w:type="dxa"/>
            </w:tcMar>
            <w:vAlign w:val="center"/>
          </w:tcPr>
          <w:p>
            <w:pPr>
              <w:spacing w:after="0"/>
              <w:jc w:val="left"/>
            </w:pPr>
            <w:r>
              <w:rPr>
                <w:b/>
                <w:color w:val="FFFFFF"/>
                <w:sz w:val="19"/>
              </w:rPr>
              <w:t>Control</w:t>
            </w:r>
          </w:p>
        </w:tc>
      </w:tr>
      <w:tr>
        <w:tc>
          <w:tcPr>
            <w:tcW w:type="dxa" w:w="2232"/>
            <w:tcMar>
              <w:top w:w="100" w:type="dxa"/>
              <w:start w:w="120" w:type="dxa"/>
              <w:bottom w:w="100" w:type="dxa"/>
              <w:end w:w="120" w:type="dxa"/>
            </w:tcMar>
            <w:vAlign w:val="center"/>
          </w:tcPr>
          <w:p>
            <w:pPr>
              <w:spacing w:after="0" w:line="252" w:lineRule="auto"/>
            </w:pPr>
            <w:r>
              <w:rPr>
                <w:color w:val="000000"/>
                <w:sz w:val="18"/>
              </w:rPr>
              <w:t>Persistent storage</w:t>
            </w:r>
          </w:p>
        </w:tc>
        <w:tc>
          <w:tcPr>
            <w:tcW w:type="dxa" w:w="7488"/>
            <w:tcMar>
              <w:top w:w="100" w:type="dxa"/>
              <w:start w:w="120" w:type="dxa"/>
              <w:bottom w:w="100" w:type="dxa"/>
              <w:end w:w="120" w:type="dxa"/>
            </w:tcMar>
            <w:vAlign w:val="center"/>
          </w:tcPr>
          <w:p>
            <w:pPr>
              <w:spacing w:after="0" w:line="252" w:lineRule="auto"/>
            </w:pPr>
            <w:r>
              <w:rPr>
                <w:color w:val="000000"/>
                <w:sz w:val="18"/>
              </w:rPr>
              <w:t>Named PostgreSQL and media volumes outside temporary container filesystems.</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Database backup</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Scheduled encrypted PostgreSQL-aware backups using approved tools and retention rules.</w:t>
            </w:r>
          </w:p>
        </w:tc>
      </w:tr>
      <w:tr>
        <w:tc>
          <w:tcPr>
            <w:tcW w:type="dxa" w:w="2232"/>
            <w:tcMar>
              <w:top w:w="100" w:type="dxa"/>
              <w:start w:w="120" w:type="dxa"/>
              <w:bottom w:w="100" w:type="dxa"/>
              <w:end w:w="120" w:type="dxa"/>
            </w:tcMar>
            <w:vAlign w:val="center"/>
          </w:tcPr>
          <w:p>
            <w:pPr>
              <w:spacing w:after="0" w:line="252" w:lineRule="auto"/>
            </w:pPr>
            <w:r>
              <w:rPr>
                <w:color w:val="000000"/>
                <w:sz w:val="18"/>
              </w:rPr>
              <w:t>File backup</w:t>
            </w:r>
          </w:p>
        </w:tc>
        <w:tc>
          <w:tcPr>
            <w:tcW w:type="dxa" w:w="7488"/>
            <w:tcMar>
              <w:top w:w="100" w:type="dxa"/>
              <w:start w:w="120" w:type="dxa"/>
              <w:bottom w:w="100" w:type="dxa"/>
              <w:end w:w="120" w:type="dxa"/>
            </w:tcMar>
            <w:vAlign w:val="center"/>
          </w:tcPr>
          <w:p>
            <w:pPr>
              <w:spacing w:after="0" w:line="252" w:lineRule="auto"/>
            </w:pPr>
            <w:r>
              <w:rPr>
                <w:color w:val="000000"/>
                <w:sz w:val="18"/>
              </w:rPr>
              <w:t>Copies of prescriptions, invoices, receipts, configuration artifacts, and required attachments.</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Multiple locations</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Production copy, separate local or external-device copy, and encrypted off-site copy when available.</w:t>
            </w:r>
          </w:p>
        </w:tc>
      </w:tr>
      <w:tr>
        <w:tc>
          <w:tcPr>
            <w:tcW w:type="dxa" w:w="2232"/>
            <w:tcMar>
              <w:top w:w="100" w:type="dxa"/>
              <w:start w:w="120" w:type="dxa"/>
              <w:bottom w:w="100" w:type="dxa"/>
              <w:end w:w="120" w:type="dxa"/>
            </w:tcMar>
            <w:vAlign w:val="center"/>
          </w:tcPr>
          <w:p>
            <w:pPr>
              <w:spacing w:after="0" w:line="252" w:lineRule="auto"/>
            </w:pPr>
            <w:r>
              <w:rPr>
                <w:color w:val="000000"/>
                <w:sz w:val="18"/>
              </w:rPr>
              <w:t>Verification</w:t>
            </w:r>
          </w:p>
        </w:tc>
        <w:tc>
          <w:tcPr>
            <w:tcW w:type="dxa" w:w="7488"/>
            <w:tcMar>
              <w:top w:w="100" w:type="dxa"/>
              <w:start w:w="120" w:type="dxa"/>
              <w:bottom w:w="100" w:type="dxa"/>
              <w:end w:w="120" w:type="dxa"/>
            </w:tcMar>
            <w:vAlign w:val="center"/>
          </w:tcPr>
          <w:p>
            <w:pPr>
              <w:spacing w:after="0" w:line="252" w:lineRule="auto"/>
            </w:pPr>
            <w:r>
              <w:rPr>
                <w:color w:val="000000"/>
                <w:sz w:val="18"/>
              </w:rPr>
              <w:t>Backup ID, size, checksum, encryption state, application version, schema version, and completion status.</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Restore testing</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Periodic restoration into an isolated environment with recorded results.</w:t>
            </w:r>
          </w:p>
        </w:tc>
      </w:tr>
      <w:tr>
        <w:tc>
          <w:tcPr>
            <w:tcW w:type="dxa" w:w="2232"/>
            <w:tcMar>
              <w:top w:w="100" w:type="dxa"/>
              <w:start w:w="120" w:type="dxa"/>
              <w:bottom w:w="100" w:type="dxa"/>
              <w:end w:w="120" w:type="dxa"/>
            </w:tcMar>
            <w:vAlign w:val="center"/>
          </w:tcPr>
          <w:p>
            <w:pPr>
              <w:spacing w:after="0" w:line="252" w:lineRule="auto"/>
            </w:pPr>
            <w:r>
              <w:rPr>
                <w:color w:val="000000"/>
                <w:sz w:val="18"/>
              </w:rPr>
              <w:t>Hardware</w:t>
            </w:r>
          </w:p>
        </w:tc>
        <w:tc>
          <w:tcPr>
            <w:tcW w:type="dxa" w:w="7488"/>
            <w:tcMar>
              <w:top w:w="100" w:type="dxa"/>
              <w:start w:w="120" w:type="dxa"/>
              <w:bottom w:w="100" w:type="dxa"/>
              <w:end w:w="120" w:type="dxa"/>
            </w:tcMar>
            <w:vAlign w:val="center"/>
          </w:tcPr>
          <w:p>
            <w:pPr>
              <w:spacing w:after="0" w:line="252" w:lineRule="auto"/>
            </w:pPr>
            <w:r>
              <w:rPr>
                <w:color w:val="000000"/>
                <w:sz w:val="18"/>
              </w:rPr>
              <w:t>UPS, surge protection, SSD health monitoring, free-space alerts, and physical access control.</w:t>
            </w:r>
          </w:p>
        </w:tc>
      </w:tr>
      <w:tr>
        <w:tc>
          <w:tcPr>
            <w:tcW w:type="dxa" w:w="2232"/>
            <w:tcMar>
              <w:top w:w="100" w:type="dxa"/>
              <w:start w:w="120" w:type="dxa"/>
              <w:bottom w:w="100" w:type="dxa"/>
              <w:end w:w="120" w:type="dxa"/>
            </w:tcMar>
            <w:vAlign w:val="center"/>
            <w:shd w:fill="EAF4EE"/>
          </w:tcPr>
          <w:p>
            <w:pPr>
              <w:spacing w:after="0" w:line="252" w:lineRule="auto"/>
            </w:pPr>
            <w:r>
              <w:rPr>
                <w:color w:val="000000"/>
                <w:sz w:val="18"/>
              </w:rPr>
              <w:t>Application integrity</w:t>
            </w:r>
          </w:p>
        </w:tc>
        <w:tc>
          <w:tcPr>
            <w:tcW w:type="dxa" w:w="7488"/>
            <w:tcMar>
              <w:top w:w="100" w:type="dxa"/>
              <w:start w:w="120" w:type="dxa"/>
              <w:bottom w:w="100" w:type="dxa"/>
              <w:end w:w="120" w:type="dxa"/>
            </w:tcMar>
            <w:vAlign w:val="center"/>
            <w:shd w:fill="EAF4EE"/>
          </w:tcPr>
          <w:p>
            <w:pPr>
              <w:spacing w:after="0" w:line="252" w:lineRule="auto"/>
            </w:pPr>
            <w:r>
              <w:rPr>
                <w:color w:val="000000"/>
                <w:sz w:val="18"/>
              </w:rPr>
              <w:t>Database transactions, validation, authorization, audit events, and controlled updates.</w:t>
            </w:r>
          </w:p>
        </w:tc>
      </w:tr>
    </w:tbl>
    <w:p>
      <w:pPr>
        <w:spacing w:after="0"/>
        <w:widowControl/>
      </w:pPr>
    </w:p>
    <w:p>
      <w:pPr>
        <w:pStyle w:val="Heading2"/>
        <w:keepNext/>
        <w:widowControl/>
      </w:pPr>
      <w:r>
        <w:t>Recommended Backup Policy</w:t>
      </w:r>
    </w:p>
    <w:p>
      <w:pPr>
        <w:pStyle w:val="ListBullet"/>
        <w:spacing w:after="40"/>
        <w:widowControl/>
      </w:pPr>
      <w:r>
        <w:t>Create backups several times per operating day when the pharmacy cannot tolerate losing a full day of transactions.</w:t>
      </w:r>
    </w:p>
    <w:p>
      <w:pPr>
        <w:pStyle w:val="ListBullet"/>
        <w:spacing w:after="40"/>
        <w:widowControl/>
      </w:pPr>
      <w:r>
        <w:t>Retain daily, weekly, and monthly recovery points according to business and regulatory needs.</w:t>
      </w:r>
    </w:p>
    <w:p>
      <w:pPr>
        <w:pStyle w:val="ListBullet"/>
        <w:spacing w:after="40"/>
        <w:widowControl/>
      </w:pPr>
      <w:r>
        <w:t>Encrypt backups and store encryption material separately under controlled access.</w:t>
      </w:r>
    </w:p>
    <w:p>
      <w:pPr>
        <w:pStyle w:val="ListBullet"/>
        <w:spacing w:after="40"/>
        <w:widowControl/>
      </w:pPr>
      <w:r>
        <w:t>Copy verified backups to another physical device and to an approved off-site destination when connectivity permits.</w:t>
      </w:r>
    </w:p>
    <w:p>
      <w:pPr>
        <w:pStyle w:val="ListBullet"/>
        <w:spacing w:after="40"/>
        <w:widowControl/>
      </w:pPr>
      <w:r>
        <w:t>Alert administrators about failed backups, low disk space, checksum failures, or overdue restore tests.</w:t>
      </w:r>
    </w:p>
    <w:p>
      <w:pPr>
        <w:pStyle w:val="ListBullet"/>
        <w:spacing w:after="40"/>
        <w:widowControl/>
      </w:pPr>
      <w:r>
        <w:t>Document recovery time and acceptable data-loss objectives before production launch.</w:t>
      </w:r>
    </w:p>
    <w:p>
      <w:pPr>
        <w:pStyle w:val="Heading2"/>
        <w:keepNext/>
        <w:widowControl/>
      </w:pPr>
      <w:r>
        <w:t>Security Controls</w:t>
      </w:r>
    </w:p>
    <w:p>
      <w:pPr>
        <w:pStyle w:val="ListBullet"/>
        <w:spacing w:after="40"/>
        <w:widowControl/>
      </w:pPr>
      <w:r>
        <w:t>Secure password hashing, optional or mandatory two-factor authentication, session expiry, login throttling, and account locking.</w:t>
      </w:r>
    </w:p>
    <w:p>
      <w:pPr>
        <w:pStyle w:val="ListBullet"/>
        <w:spacing w:after="40"/>
        <w:widowControl/>
      </w:pPr>
      <w:r>
        <w:t>Least-privilege roles, action-level permissions, approval thresholds, and controlled export access.</w:t>
      </w:r>
    </w:p>
    <w:p>
      <w:pPr>
        <w:pStyle w:val="ListBullet"/>
        <w:spacing w:after="40"/>
        <w:widowControl/>
      </w:pPr>
      <w:r>
        <w:t>Server-side authorization and input validation for every protected API endpoint.</w:t>
      </w:r>
    </w:p>
    <w:p>
      <w:pPr>
        <w:pStyle w:val="ListBullet"/>
        <w:spacing w:after="40"/>
        <w:widowControl/>
      </w:pPr>
      <w:r>
        <w:t>Encryption for sensitive traffic, backup files, and appropriate stored data.</w:t>
      </w:r>
    </w:p>
    <w:p>
      <w:pPr>
        <w:pStyle w:val="ListBullet"/>
        <w:spacing w:after="40"/>
        <w:widowControl/>
      </w:pPr>
      <w:r>
        <w:t>Database access limited to approved services; no general network exposure of the PostgreSQL port.</w:t>
      </w:r>
    </w:p>
    <w:p>
      <w:pPr>
        <w:pStyle w:val="ListBullet"/>
        <w:spacing w:after="40"/>
        <w:widowControl/>
      </w:pPr>
      <w:r>
        <w:t>Protected secrets stored outside source code and excluded from logs and support bundles.</w:t>
      </w:r>
    </w:p>
    <w:p>
      <w:pPr>
        <w:pStyle w:val="ListBullet"/>
        <w:spacing w:after="40"/>
        <w:widowControl/>
      </w:pPr>
      <w:r>
        <w:t>Versioned releases, pre-update backups, migration testing, health checks, and rollback planning.</w:t>
      </w:r>
    </w:p>
    <w:p>
      <w:pPr>
        <w:pStyle w:val="ListBullet"/>
        <w:spacing w:after="40"/>
        <w:widowControl/>
      </w:pPr>
      <w:r>
        <w:t>Security, transaction, inventory, error, notification, backup, and export logs with appropriate retention.</w:t>
      </w:r>
    </w:p>
    <w:p>
      <w:pPr>
        <w:pStyle w:val="Heading1"/>
        <w:keepNext/>
        <w:widowControl/>
      </w:pPr>
      <w:r>
        <w:t>9 Existing Data Migration and Reconciliation</w:t>
      </w:r>
    </w:p>
    <w:p>
      <w:pPr>
        <w:widowControl/>
      </w:pPr>
      <w:r>
        <w:t>The pharmacy should select a firm cutover date. Records before that date remain in the existing books, spreadsheets, invoices, receipts, or earlier software. GreenlifeAI becomes the operational source of truth from the cutover date. Reconstructing every sale and purchase from the year is unnecessary unless complete digital history is available and management specifically requires transaction-level historical analysis.</w:t>
      </w:r>
    </w:p>
    <w:p>
      <w:pPr>
        <w:pStyle w:val="Heading2"/>
        <w:keepNext/>
        <w:widowControl/>
      </w:pPr>
      <w:r>
        <w:t>Recommended Migration Scope</w:t>
      </w:r>
    </w:p>
    <w:p>
      <w:pPr>
        <w:pStyle w:val="ListBullet"/>
        <w:spacing w:after="40"/>
        <w:widowControl/>
      </w:pPr>
      <w:r>
        <w:t>Product catalogue with names, codes, categories, units, conversions, costs, prices, and reorder levels.</w:t>
      </w:r>
    </w:p>
    <w:p>
      <w:pPr>
        <w:pStyle w:val="ListBullet"/>
        <w:spacing w:after="40"/>
        <w:widowControl/>
      </w:pPr>
      <w:r>
        <w:t>Verified physical stock by product, batch, expiry date, quantity, cost, and condition.</w:t>
      </w:r>
    </w:p>
    <w:p>
      <w:pPr>
        <w:pStyle w:val="ListBullet"/>
        <w:spacing w:after="40"/>
        <w:widowControl/>
      </w:pPr>
      <w:r>
        <w:t>Suppliers and customers required for current operations.</w:t>
      </w:r>
    </w:p>
    <w:p>
      <w:pPr>
        <w:pStyle w:val="ListBullet"/>
        <w:spacing w:after="40"/>
        <w:widowControl/>
      </w:pPr>
      <w:r>
        <w:t>Outstanding customer receivables, supplier payables, business loans, cash, bank, and Mobile Money balances.</w:t>
      </w:r>
    </w:p>
    <w:p>
      <w:pPr>
        <w:pStyle w:val="ListBullet"/>
        <w:spacing w:after="40"/>
        <w:widowControl/>
      </w:pPr>
      <w:r>
        <w:t>Optional monthly historical summaries for sales, purchases, expenses, and estimated profit.</w:t>
      </w:r>
    </w:p>
    <w:p>
      <w:pPr>
        <w:pStyle w:val="ListBullet"/>
        <w:spacing w:after="40"/>
        <w:widowControl/>
      </w:pPr>
      <w:r>
        <w:t>Supporting source documents retained for reference and audit.</w:t>
      </w:r>
    </w:p>
    <w:p>
      <w:pPr>
        <w:pStyle w:val="Heading2"/>
        <w:keepNext/>
        <w:widowControl/>
      </w:pPr>
      <w:r>
        <w:t>Treatment of Previous Purchases and Sales</w:t>
      </w:r>
    </w:p>
    <w:p>
      <w:pPr>
        <w:widowControl/>
      </w:pPr>
      <w:r>
        <w:t>If 100 packs were purchased before cutover and 70 were already sold, only the verified 30 remaining packs should enter GreenlifeAI as opening stock. The old purchase should not be entered as a new purchase unless all related sales, returns, adjustments, and payments are also migrated. Otherwise, stock and financial figures would be overstated.</w:t>
      </w:r>
    </w:p>
    <w:p>
      <w:pPr>
        <w:widowControl/>
      </w:pPr>
      <w:r>
        <w:t>An old supplier invoice that remains unpaid should enter as an opening supplier payable, while the remaining physical goods enter opening stock. An old credit sale with an outstanding customer balance should enter as an opening receivable, not as a new sale.</w:t>
      </w:r>
    </w:p>
    <w:p>
      <w:pPr>
        <w:pStyle w:val="Heading2"/>
        <w:keepNext/>
        <w:widowControl/>
      </w:pPr>
      <w:r>
        <w:t>Migration Workflow</w:t>
      </w:r>
    </w:p>
    <w:p>
      <w:pPr>
        <w:pStyle w:val="ListNumber"/>
        <w:spacing w:after="60"/>
        <w:widowControl/>
      </w:pPr>
      <w:r>
        <w:t>Choose a quiet cutover date, preferably after closing or at month-end.</w:t>
      </w:r>
    </w:p>
    <w:p>
      <w:pPr>
        <w:pStyle w:val="ListNumber"/>
        <w:spacing w:after="60"/>
        <w:widowControl/>
      </w:pPr>
      <w:r>
        <w:t>Clean the product spreadsheet and resolve duplicates, units, barcodes, and names.</w:t>
      </w:r>
    </w:p>
    <w:p>
      <w:pPr>
        <w:pStyle w:val="ListNumber"/>
        <w:spacing w:after="60"/>
        <w:widowControl/>
      </w:pPr>
      <w:r>
        <w:t>Stop transactions briefly and perform a physical count by batch, expiry date, and stock condition.</w:t>
      </w:r>
    </w:p>
    <w:p>
      <w:pPr>
        <w:pStyle w:val="ListNumber"/>
        <w:spacing w:after="60"/>
        <w:widowControl/>
      </w:pPr>
      <w:r>
        <w:t>Reconcile cash, Mobile Money, bank, customer debt, supplier debt, loans, expired stock, and damaged stock.</w:t>
      </w:r>
    </w:p>
    <w:p>
      <w:pPr>
        <w:pStyle w:val="ListNumber"/>
        <w:spacing w:after="60"/>
        <w:widowControl/>
      </w:pPr>
      <w:r>
        <w:t>Import products, opening stock, and financial opening balances through controlled templates.</w:t>
      </w:r>
    </w:p>
    <w:p>
      <w:pPr>
        <w:pStyle w:val="ListNumber"/>
        <w:spacing w:after="60"/>
        <w:widowControl/>
      </w:pPr>
      <w:r>
        <w:t>Review import errors, stock value, balances, batch dates, and record counts.</w:t>
      </w:r>
    </w:p>
    <w:p>
      <w:pPr>
        <w:pStyle w:val="ListNumber"/>
        <w:spacing w:after="60"/>
        <w:widowControl/>
      </w:pPr>
      <w:r>
        <w:t>Obtain owner or manager approval and lock the approved opening position.</w:t>
      </w:r>
    </w:p>
    <w:p>
      <w:pPr>
        <w:pStyle w:val="ListNumber"/>
        <w:spacing w:after="60"/>
        <w:widowControl/>
      </w:pPr>
      <w:r>
        <w:t>Begin all new purchases, sales, payments, returns, expenses, and adjustments in GreenlifeAI.</w:t>
      </w:r>
    </w:p>
    <w:p>
      <w:pPr>
        <w:pStyle w:val="ListNumber"/>
        <w:spacing w:after="60"/>
        <w:widowControl/>
      </w:pPr>
      <w:r>
        <w:t>Use a short parallel verification period, investigate differences daily, and then make GreenlifeAI the official system.</w:t>
      </w:r>
    </w:p>
    <w:p>
      <w:pPr>
        <w:pStyle w:val="Heading2"/>
        <w:keepNext/>
        <w:widowControl/>
      </w:pPr>
      <w:r>
        <w:t>Import Controls</w:t>
      </w:r>
    </w:p>
    <w:p>
      <w:pPr>
        <w:pStyle w:val="ListBullet"/>
        <w:spacing w:after="40"/>
        <w:widowControl/>
      </w:pPr>
      <w:r>
        <w:t>Validate spreadsheets before import and show rejected rows clearly.</w:t>
      </w:r>
    </w:p>
    <w:p>
      <w:pPr>
        <w:pStyle w:val="ListBullet"/>
        <w:spacing w:after="40"/>
        <w:widowControl/>
      </w:pPr>
      <w:r>
        <w:t>Detect likely duplicate products, suppliers, customers, invoices, and balances.</w:t>
      </w:r>
    </w:p>
    <w:p>
      <w:pPr>
        <w:pStyle w:val="ListBullet"/>
        <w:spacing w:after="40"/>
        <w:widowControl/>
      </w:pPr>
      <w:r>
        <w:t>Record the source file, user, time, result, errors, and approval in the audit trail.</w:t>
      </w:r>
    </w:p>
    <w:p>
      <w:pPr>
        <w:pStyle w:val="ListBullet"/>
        <w:spacing w:after="40"/>
        <w:widowControl/>
      </w:pPr>
      <w:r>
        <w:t>Use batch-specific cost from invoices where available, otherwise use the latest reliable cost or an approved estimate.</w:t>
      </w:r>
    </w:p>
    <w:p>
      <w:pPr>
        <w:pStyle w:val="ListBullet"/>
        <w:spacing w:after="40"/>
        <w:widowControl/>
      </w:pPr>
      <w:r>
        <w:t>Label estimated opening costs so early profitability reports are interpreted correctly.</w:t>
      </w:r>
    </w:p>
    <w:p>
      <w:pPr>
        <w:pStyle w:val="ListBullet"/>
        <w:spacing w:after="40"/>
        <w:widowControl/>
      </w:pPr>
      <w:r>
        <w:t>After approval, correct opening values through documented adjustments rather than silent edits.</w:t>
      </w:r>
    </w:p>
    <w:p>
      <w:pPr>
        <w:pStyle w:val="Heading1"/>
        <w:keepNext/>
        <w:widowControl/>
      </w:pPr>
      <w:r>
        <w:t>10 Future Expansion and Artificial Intelligence</w:t>
      </w:r>
    </w:p>
    <w:p>
      <w:pPr>
        <w:pStyle w:val="Heading2"/>
        <w:keepNext/>
        <w:widowControl/>
      </w:pPr>
      <w:r>
        <w:t>Multiple Branches and Wholesale</w:t>
      </w:r>
    </w:p>
    <w:p>
      <w:pPr>
        <w:pStyle w:val="ListBullet"/>
        <w:spacing w:after="40"/>
        <w:widowControl/>
      </w:pPr>
      <w:r>
        <w:t>Branch-specific stock, users, prices, reports, shifts, expenses, and permissions.</w:t>
      </w:r>
    </w:p>
    <w:p>
      <w:pPr>
        <w:pStyle w:val="ListBullet"/>
        <w:spacing w:after="40"/>
        <w:widowControl/>
      </w:pPr>
      <w:r>
        <w:t>Inter-branch requests, dispatch, transit, receipt, variance, and transfer audit records.</w:t>
      </w:r>
    </w:p>
    <w:p>
      <w:pPr>
        <w:pStyle w:val="ListBullet"/>
        <w:spacing w:after="40"/>
        <w:widowControl/>
      </w:pPr>
      <w:r>
        <w:t>Wholesale quotations, customer-specific prices, cartons and packs, credit limits, delivery notes, partial fulfilment, collections, and customer portals.</w:t>
      </w:r>
    </w:p>
    <w:p>
      <w:pPr>
        <w:pStyle w:val="ListBullet"/>
        <w:spacing w:after="40"/>
        <w:widowControl/>
      </w:pPr>
      <w:r>
        <w:t>Consolidated owner dashboard with branch comparison and organization-wide stock search.</w:t>
      </w:r>
    </w:p>
    <w:p>
      <w:pPr>
        <w:pStyle w:val="Heading2"/>
        <w:keepNext/>
        <w:widowControl/>
      </w:pPr>
      <w:r>
        <w:t>Local to Cloud Migration</w:t>
      </w:r>
    </w:p>
    <w:p>
      <w:pPr>
        <w:widowControl/>
      </w:pPr>
      <w:r>
        <w:t>The preferred first migration method is a controlled one-time cutover. Stop writes locally, create and verify PostgreSQL and file backups, deploy the same application version online, restore the data, run schema migrations if required, reconcile key balances, and then make the online system official. The local installation can remain read-only for reference.</w:t>
      </w:r>
    </w:p>
    <w:p>
      <w:pPr>
        <w:widowControl/>
      </w:pPr>
      <w:r>
        <w:t>Operating independent local and cloud databases at the same time requires conflict detection, globally unique events, idempotency, synchronization status, retry controls, and clear ownership of stock. This should not be included in the first release unless there is a funded operational requirement.</w:t>
      </w:r>
    </w:p>
    <w:p>
      <w:pPr>
        <w:pStyle w:val="Heading2"/>
        <w:keepNext/>
        <w:widowControl/>
      </w:pPr>
      <w:r>
        <w:t>FastAPI Artificial Intelligence Service</w:t>
      </w:r>
    </w:p>
    <w:p>
      <w:pPr>
        <w:widowControl/>
      </w:pPr>
      <w:r>
        <w:t>FastAPI can be introduced later as a separate AI service. Django remains responsible for authentication, permissions, transactions, stock, finance, and audit controls. FastAPI processes approved requests and returns results through controlled interfaces.</w:t>
      </w:r>
    </w:p>
    <w:p>
      <w:pPr>
        <w:pStyle w:val="ListBullet"/>
        <w:spacing w:after="40"/>
        <w:widowControl/>
      </w:pPr>
      <w:r>
        <w:t>Speech-to-text and local-language voice interaction.</w:t>
      </w:r>
    </w:p>
    <w:p>
      <w:pPr>
        <w:pStyle w:val="ListBullet"/>
        <w:spacing w:after="40"/>
        <w:widowControl/>
      </w:pPr>
      <w:r>
        <w:t>Voice medicine search and voice-assisted stock counting.</w:t>
      </w:r>
    </w:p>
    <w:p>
      <w:pPr>
        <w:pStyle w:val="ListBullet"/>
        <w:spacing w:after="40"/>
        <w:widowControl/>
      </w:pPr>
      <w:r>
        <w:t>Invoice and prescription data extraction.</w:t>
      </w:r>
    </w:p>
    <w:p>
      <w:pPr>
        <w:pStyle w:val="ListBullet"/>
        <w:spacing w:after="40"/>
        <w:widowControl/>
      </w:pPr>
      <w:r>
        <w:t>Demand forecasting and reorder recommendations.</w:t>
      </w:r>
    </w:p>
    <w:p>
      <w:pPr>
        <w:pStyle w:val="ListBullet"/>
        <w:spacing w:after="40"/>
        <w:widowControl/>
      </w:pPr>
      <w:r>
        <w:t>Expiry-risk prediction and slow-moving-stock analysis.</w:t>
      </w:r>
    </w:p>
    <w:p>
      <w:pPr>
        <w:pStyle w:val="ListBullet"/>
        <w:spacing w:after="40"/>
        <w:widowControl/>
      </w:pPr>
      <w:r>
        <w:t>Natural-language report summaries and management questions.</w:t>
      </w:r>
    </w:p>
    <w:p>
      <w:pPr>
        <w:pStyle w:val="ListBullet"/>
        <w:spacing w:after="40"/>
        <w:widowControl/>
      </w:pPr>
      <w:r>
        <w:t>Detection of unusual activity for human review.</w:t>
      </w:r>
    </w:p>
    <w:p>
      <w:pPr>
        <w:widowControl/>
      </w:pPr>
      <w:r>
        <w:t>A voice request that changes data must be converted into a proposed action, checked against the user permission, shown for confirmation, executed by Django, and recorded in the audit trail. AI services should not directly alter core pharmacy records.</w:t>
      </w:r>
    </w:p>
    <w:p>
      <w:pPr>
        <w:pStyle w:val="Heading1"/>
        <w:keepNext/>
        <w:widowControl/>
      </w:pPr>
      <w:r>
        <w:t>11 Implementation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376"/>
            <w:shd w:fill="0F5132"/>
            <w:tcMar>
              <w:top w:w="100" w:type="dxa"/>
              <w:start w:w="120" w:type="dxa"/>
              <w:bottom w:w="100" w:type="dxa"/>
              <w:end w:w="120" w:type="dxa"/>
            </w:tcMar>
            <w:vAlign w:val="center"/>
          </w:tcPr>
          <w:p>
            <w:pPr>
              <w:spacing w:after="0"/>
              <w:jc w:val="left"/>
            </w:pPr>
            <w:r>
              <w:rPr>
                <w:b/>
                <w:color w:val="FFFFFF"/>
                <w:sz w:val="19"/>
              </w:rPr>
              <w:t>Phase</w:t>
            </w:r>
          </w:p>
        </w:tc>
        <w:tc>
          <w:tcPr>
            <w:tcW w:type="dxa" w:w="7344"/>
            <w:shd w:fill="0F5132"/>
            <w:tcMar>
              <w:top w:w="100" w:type="dxa"/>
              <w:start w:w="120" w:type="dxa"/>
              <w:bottom w:w="100" w:type="dxa"/>
              <w:end w:w="120" w:type="dxa"/>
            </w:tcMar>
            <w:vAlign w:val="center"/>
          </w:tcPr>
          <w:p>
            <w:pPr>
              <w:spacing w:after="0"/>
              <w:jc w:val="left"/>
            </w:pPr>
            <w:r>
              <w:rPr>
                <w:b/>
                <w:color w:val="FFFFFF"/>
                <w:sz w:val="19"/>
              </w:rPr>
              <w:t>Scope</w:t>
            </w:r>
          </w:p>
        </w:tc>
      </w:tr>
      <w:tr>
        <w:tc>
          <w:tcPr>
            <w:tcW w:type="dxa" w:w="2376"/>
            <w:tcMar>
              <w:top w:w="100" w:type="dxa"/>
              <w:start w:w="120" w:type="dxa"/>
              <w:bottom w:w="100" w:type="dxa"/>
              <w:end w:w="120" w:type="dxa"/>
            </w:tcMar>
            <w:vAlign w:val="center"/>
          </w:tcPr>
          <w:p>
            <w:pPr>
              <w:spacing w:after="0" w:line="252" w:lineRule="auto"/>
            </w:pPr>
            <w:r>
              <w:rPr>
                <w:color w:val="000000"/>
                <w:sz w:val="18"/>
              </w:rPr>
              <w:t>Phase 1 Core operations</w:t>
            </w:r>
          </w:p>
        </w:tc>
        <w:tc>
          <w:tcPr>
            <w:tcW w:type="dxa" w:w="7344"/>
            <w:tcMar>
              <w:top w:w="100" w:type="dxa"/>
              <w:start w:w="120" w:type="dxa"/>
              <w:bottom w:w="100" w:type="dxa"/>
              <w:end w:w="120" w:type="dxa"/>
            </w:tcMar>
            <w:vAlign w:val="center"/>
          </w:tcPr>
          <w:p>
            <w:pPr>
              <w:spacing w:after="0" w:line="252" w:lineRule="auto"/>
            </w:pPr>
            <w:r>
              <w:rPr>
                <w:color w:val="000000"/>
                <w:sz w:val="18"/>
              </w:rPr>
              <w:t>Authentication, Super Admin, users, custom roles, CRUD and action permissions, products, suppliers, purchases, receiving, sales, receipts, batch stock, expiry, expenses, shifts, audit records, reports, backup, installer, launcher, and data migration.</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Phase 2 Financial and pharmacy controls</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Prescription workflows, customer credit, supplier payables, business loans, advanced approvals, detailed reconciliation, and notifications.</w:t>
            </w:r>
          </w:p>
        </w:tc>
      </w:tr>
      <w:tr>
        <w:tc>
          <w:tcPr>
            <w:tcW w:type="dxa" w:w="2376"/>
            <w:tcMar>
              <w:top w:w="100" w:type="dxa"/>
              <w:start w:w="120" w:type="dxa"/>
              <w:bottom w:w="100" w:type="dxa"/>
              <w:end w:w="120" w:type="dxa"/>
            </w:tcMar>
            <w:vAlign w:val="center"/>
          </w:tcPr>
          <w:p>
            <w:pPr>
              <w:spacing w:after="0" w:line="252" w:lineRule="auto"/>
            </w:pPr>
            <w:r>
              <w:rPr>
                <w:color w:val="000000"/>
                <w:sz w:val="18"/>
              </w:rPr>
              <w:t>Phase 3 Growth</w:t>
            </w:r>
          </w:p>
        </w:tc>
        <w:tc>
          <w:tcPr>
            <w:tcW w:type="dxa" w:w="7344"/>
            <w:tcMar>
              <w:top w:w="100" w:type="dxa"/>
              <w:start w:w="120" w:type="dxa"/>
              <w:bottom w:w="100" w:type="dxa"/>
              <w:end w:w="120" w:type="dxa"/>
            </w:tcMar>
            <w:vAlign w:val="center"/>
          </w:tcPr>
          <w:p>
            <w:pPr>
              <w:spacing w:after="0" w:line="252" w:lineRule="auto"/>
            </w:pPr>
            <w:r>
              <w:rPr>
                <w:color w:val="000000"/>
                <w:sz w:val="18"/>
              </w:rPr>
              <w:t>Wholesale, multiple branches, transfers, portals, cloud hosting, loyalty, refill reminders, and carefully scoped offline support.</w:t>
            </w:r>
          </w:p>
        </w:tc>
      </w:tr>
      <w:tr>
        <w:tc>
          <w:tcPr>
            <w:tcW w:type="dxa" w:w="2376"/>
            <w:tcMar>
              <w:top w:w="100" w:type="dxa"/>
              <w:start w:w="120" w:type="dxa"/>
              <w:bottom w:w="100" w:type="dxa"/>
              <w:end w:w="120" w:type="dxa"/>
            </w:tcMar>
            <w:vAlign w:val="center"/>
            <w:shd w:fill="EAF4EE"/>
          </w:tcPr>
          <w:p>
            <w:pPr>
              <w:spacing w:after="0" w:line="252" w:lineRule="auto"/>
            </w:pPr>
            <w:r>
              <w:rPr>
                <w:color w:val="000000"/>
                <w:sz w:val="18"/>
              </w:rPr>
              <w:t>Phase 4 Artificial intelligence</w:t>
            </w:r>
          </w:p>
        </w:tc>
        <w:tc>
          <w:tcPr>
            <w:tcW w:type="dxa" w:w="7344"/>
            <w:tcMar>
              <w:top w:w="100" w:type="dxa"/>
              <w:start w:w="120" w:type="dxa"/>
              <w:bottom w:w="100" w:type="dxa"/>
              <w:end w:w="120" w:type="dxa"/>
            </w:tcMar>
            <w:vAlign w:val="center"/>
            <w:shd w:fill="EAF4EE"/>
          </w:tcPr>
          <w:p>
            <w:pPr>
              <w:spacing w:after="0" w:line="252" w:lineRule="auto"/>
            </w:pPr>
            <w:r>
              <w:rPr>
                <w:color w:val="000000"/>
                <w:sz w:val="18"/>
              </w:rPr>
              <w:t>FastAPI AI service, voice, local languages, document extraction, forecasting, expiry prediction, and natural-language reporting.</w:t>
            </w:r>
          </w:p>
        </w:tc>
      </w:tr>
    </w:tbl>
    <w:p>
      <w:pPr>
        <w:spacing w:after="0"/>
        <w:widowControl/>
      </w:pPr>
    </w:p>
    <w:p>
      <w:pPr>
        <w:pStyle w:val="Heading1"/>
        <w:keepNext/>
        <w:widowControl/>
      </w:pPr>
      <w:r>
        <w:t>12 Delivery Recommendations and Acceptance Priorities</w:t>
      </w:r>
    </w:p>
    <w:p>
      <w:pPr>
        <w:pStyle w:val="Heading2"/>
        <w:keepNext/>
        <w:widowControl/>
      </w:pPr>
      <w:r>
        <w:t>Build Priorities</w:t>
      </w:r>
    </w:p>
    <w:p>
      <w:pPr>
        <w:pStyle w:val="ListNumber"/>
        <w:spacing w:after="60"/>
        <w:widowControl/>
      </w:pPr>
      <w:r>
        <w:t>Finalize the product, batch, stock-movement, transaction, user, role, permission, and audit data models before building screens.</w:t>
      </w:r>
    </w:p>
    <w:p>
      <w:pPr>
        <w:pStyle w:val="ListNumber"/>
        <w:spacing w:after="60"/>
        <w:widowControl/>
      </w:pPr>
      <w:r>
        <w:t>Build authentication, authorization, user management, and audit foundations before transactional modules.</w:t>
      </w:r>
    </w:p>
    <w:p>
      <w:pPr>
        <w:pStyle w:val="ListNumber"/>
        <w:spacing w:after="60"/>
        <w:widowControl/>
      </w:pPr>
      <w:r>
        <w:t>Implement products, suppliers, purchasing, receiving, inventory, sales, and expiry as one connected operational flow.</w:t>
      </w:r>
    </w:p>
    <w:p>
      <w:pPr>
        <w:pStyle w:val="ListNumber"/>
        <w:spacing w:after="60"/>
        <w:widowControl/>
      </w:pPr>
      <w:r>
        <w:t>Add financial balances, expenses, shifts, reports, imports, and reconciliation after stock integrity is stable.</w:t>
      </w:r>
    </w:p>
    <w:p>
      <w:pPr>
        <w:pStyle w:val="ListNumber"/>
        <w:spacing w:after="60"/>
        <w:widowControl/>
      </w:pPr>
      <w:r>
        <w:t>Complete the installer, launcher, backups, restore procedure, migration rehearsal, and production acceptance testing before go-live.</w:t>
      </w:r>
    </w:p>
    <w:p>
      <w:pPr>
        <w:pStyle w:val="Heading2"/>
        <w:keepNext/>
        <w:widowControl/>
      </w:pPr>
      <w:r>
        <w:t>Production Acceptance Priorities</w:t>
      </w:r>
    </w:p>
    <w:p>
      <w:pPr>
        <w:pStyle w:val="ListBullet"/>
        <w:spacing w:after="40"/>
        <w:widowControl/>
      </w:pPr>
      <w:r>
        <w:t>Users cannot access pages or actions outside their role, including through direct API requests.</w:t>
      </w:r>
    </w:p>
    <w:p>
      <w:pPr>
        <w:pStyle w:val="ListBullet"/>
        <w:spacing w:after="40"/>
        <w:widowControl/>
      </w:pPr>
      <w:r>
        <w:t>Completed transactions cannot be silently edited or deleted.</w:t>
      </w:r>
    </w:p>
    <w:p>
      <w:pPr>
        <w:pStyle w:val="ListBullet"/>
        <w:spacing w:after="40"/>
        <w:widowControl/>
      </w:pPr>
      <w:r>
        <w:t>Sales cannot reduce stock below allowed limits or use blocked batches.</w:t>
      </w:r>
    </w:p>
    <w:p>
      <w:pPr>
        <w:pStyle w:val="ListBullet"/>
        <w:spacing w:after="40"/>
        <w:widowControl/>
      </w:pPr>
      <w:r>
        <w:t>Purchase receiving creates the correct batch quantities and supplier obligation.</w:t>
      </w:r>
    </w:p>
    <w:p>
      <w:pPr>
        <w:pStyle w:val="ListBullet"/>
        <w:spacing w:after="40"/>
        <w:widowControl/>
      </w:pPr>
      <w:r>
        <w:t>Refund, adjustment, discount, disposal, and approval workflows create complete audit evidence.</w:t>
      </w:r>
    </w:p>
    <w:p>
      <w:pPr>
        <w:pStyle w:val="ListBullet"/>
        <w:spacing w:after="40"/>
        <w:widowControl/>
      </w:pPr>
      <w:r>
        <w:t>Summary and detailed reports reconcile to source transactions and payment records.</w:t>
      </w:r>
    </w:p>
    <w:p>
      <w:pPr>
        <w:pStyle w:val="ListBullet"/>
        <w:spacing w:after="40"/>
        <w:widowControl/>
      </w:pPr>
      <w:r>
        <w:t>Backups complete automatically, failed backups trigger alerts, and a verified restore succeeds.</w:t>
      </w:r>
    </w:p>
    <w:p>
      <w:pPr>
        <w:pStyle w:val="ListBullet"/>
        <w:spacing w:after="40"/>
        <w:widowControl/>
      </w:pPr>
      <w:r>
        <w:t>The client computer restarts, services recover automatically, and the GreenlifeAI launcher opens the correct login page.</w:t>
      </w:r>
    </w:p>
    <w:p>
      <w:pPr>
        <w:pStyle w:val="ListBullet"/>
        <w:spacing w:after="40"/>
        <w:widowControl/>
      </w:pPr>
      <w:r>
        <w:t>Missing production storage blocks startup instead of creating an empty replacement database.</w:t>
      </w:r>
    </w:p>
    <w:p>
      <w:pPr>
        <w:pStyle w:val="ListBullet"/>
        <w:spacing w:after="40"/>
        <w:widowControl/>
      </w:pPr>
      <w:r>
        <w:t>The migration rehearsal produces the approved opening stock, balances, batches, expiry dates, and total valuation.</w:t>
      </w:r>
    </w:p>
    <w:p>
      <w:pPr>
        <w:pStyle w:val="Heading2"/>
        <w:keepNext/>
        <w:widowControl/>
      </w:pPr>
      <w:r>
        <w:t>Final Recommendation</w:t>
      </w:r>
    </w:p>
    <w:p>
      <w:pPr>
        <w:widowControl/>
      </w:pPr>
      <w:r>
        <w:t>GreenlifeAI should begin as a secure, single-branch, local-first pharmacy system built with React, TypeScript, Tailwind CSS, Django, Django REST Framework, PostgreSQL, and Docker Compose. The first release should prioritize accurate stock movements, batch and expiry control, permissions, auditability, reporting, recoverable backups, and a disciplined opening-balance migration. This foundation will support future cloud deployment, wholesale operations, multiple branches, and FastAPI-based voice and AI services without weakening the integrity of core pharmacy records.</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667085"/>
        <w:sz w:val="16"/>
      </w:rPr>
      <w:t xml:space="preserve">GreenlifeAI Pharmacy Management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Greenlife">
    <w:name w:val="Subtitle Greenlife"/>
    <w:pPr>
      <w:spacing w:after="240"/>
    </w:pPr>
    <w:rPr>
      <w:rFonts w:ascii="Aptos" w:hAnsi="Aptos"/>
      <w:b/>
      <w:color w:val="176B45"/>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GreenlifeAI Pharmacy Management System Project Overview</dc:title>
  <dc:subject>Functional scope technical architecture security deployment migration and roadmap</dc:subject>
  <dc:creator>GreenlifeAI</dc:creator>
  <cp:keywords/>
  <dc:description>generated by python-docx</dc:description>
  <cp:lastModifiedBy/>
  <cp:revision>1</cp:revision>
  <dcterms:created xsi:type="dcterms:W3CDTF">2013-12-23T23:15:00Z</dcterms:created>
  <dcterms:modified xsi:type="dcterms:W3CDTF">2013-12-23T23:15:00Z</dcterms:modified>
  <cp:category/>
</cp:coreProperties>
</file>