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center"/>
        <w:widowControl/>
      </w:pPr>
      <w:r>
        <w:rPr>
          <w:b/>
          <w:color w:val="176B45"/>
          <w:sz w:val="30"/>
        </w:rPr>
        <w:t>GREENLIFEAI</w:t>
      </w:r>
    </w:p>
    <w:p>
      <w:pPr>
        <w:pStyle w:val="Title"/>
        <w:jc w:val="center"/>
        <w:widowControl/>
      </w:pPr>
      <w:r>
        <w:t>GreenlifeAI Technical Architecture Specification</w:t>
      </w:r>
    </w:p>
    <w:p>
      <w:pPr>
        <w:pStyle w:val="TASSubtitle"/>
        <w:jc w:val="center"/>
        <w:widowControl/>
      </w:pPr>
      <w:r>
        <w:t>Pharmacy Management System</w:t>
      </w:r>
    </w:p>
    <w:p>
      <w:pPr>
        <w:spacing w:before="360"/>
        <w:jc w:val="center"/>
        <w:widowControl/>
      </w:pPr>
      <w:r>
        <w:rPr>
          <w:color w:val="667085"/>
          <w:sz w:val="22"/>
        </w:rPr>
        <w:t>System design deployment security data and operational architecture</w:t>
      </w:r>
    </w:p>
    <w:p>
      <w:pPr>
        <w:spacing w:before="1680"/>
        <w:jc w:val="center"/>
        <w:widowControl/>
      </w:pPr>
      <w:r>
        <w:rPr>
          <w:b/>
        </w:rPr>
        <w:t>Version 1.0</w:t>
      </w:r>
    </w:p>
    <w:p>
      <w:pPr>
        <w:jc w:val="center"/>
        <w:widowControl/>
      </w:pPr>
      <w:r>
        <w:rPr>
          <w:color w:val="667085"/>
        </w:rPr>
        <w:t>September 2026</w:t>
      </w:r>
    </w:p>
    <w:p>
      <w:pPr>
        <w:widowControl/>
      </w:pPr>
      <w:r>
        <w:br w:type="page"/>
      </w:r>
    </w:p>
    <w:p>
      <w:pPr>
        <w:pStyle w:val="Heading1"/>
        <w:keepNext/>
        <w:widowControl/>
      </w:pPr>
      <w: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376"/>
            <w:shd w:fill="0F5132"/>
            <w:tcMar>
              <w:top w:w="95" w:type="dxa"/>
              <w:start w:w="95" w:type="dxa"/>
              <w:bottom w:w="95" w:type="dxa"/>
              <w:end w:w="95" w:type="dxa"/>
            </w:tcMar>
            <w:vAlign w:val="center"/>
          </w:tcPr>
          <w:p>
            <w:pPr>
              <w:spacing w:after="0"/>
            </w:pPr>
            <w:r>
              <w:rPr>
                <w:b/>
                <w:color w:val="FFFFFF"/>
                <w:sz w:val="18"/>
              </w:rPr>
              <w:t>Field</w:t>
            </w:r>
          </w:p>
        </w:tc>
        <w:tc>
          <w:tcPr>
            <w:tcW w:type="dxa" w:w="7416"/>
            <w:shd w:fill="0F5132"/>
            <w:tcMar>
              <w:top w:w="95" w:type="dxa"/>
              <w:start w:w="95" w:type="dxa"/>
              <w:bottom w:w="95" w:type="dxa"/>
              <w:end w:w="95" w:type="dxa"/>
            </w:tcMar>
            <w:vAlign w:val="center"/>
          </w:tcPr>
          <w:p>
            <w:pPr>
              <w:spacing w:after="0"/>
            </w:pPr>
            <w:r>
              <w:rPr>
                <w:b/>
                <w:color w:val="FFFFFF"/>
                <w:sz w:val="18"/>
              </w:rPr>
              <w:t>Value</w:t>
            </w:r>
          </w:p>
        </w:tc>
      </w:tr>
      <w:tr>
        <w:tc>
          <w:tcPr>
            <w:tcW w:type="dxa" w:w="2376"/>
            <w:tcMar>
              <w:top w:w="95" w:type="dxa"/>
              <w:start w:w="95" w:type="dxa"/>
              <w:bottom w:w="95" w:type="dxa"/>
              <w:end w:w="95" w:type="dxa"/>
            </w:tcMar>
            <w:vAlign w:val="center"/>
          </w:tcPr>
          <w:p>
            <w:pPr>
              <w:spacing w:after="0" w:line="245" w:lineRule="auto"/>
            </w:pPr>
            <w:r>
              <w:rPr>
                <w:sz w:val="18"/>
              </w:rPr>
              <w:t>Product</w:t>
            </w:r>
          </w:p>
        </w:tc>
        <w:tc>
          <w:tcPr>
            <w:tcW w:type="dxa" w:w="7416"/>
            <w:tcMar>
              <w:top w:w="95" w:type="dxa"/>
              <w:start w:w="95" w:type="dxa"/>
              <w:bottom w:w="95" w:type="dxa"/>
              <w:end w:w="95" w:type="dxa"/>
            </w:tcMar>
            <w:vAlign w:val="center"/>
          </w:tcPr>
          <w:p>
            <w:pPr>
              <w:spacing w:after="0" w:line="245" w:lineRule="auto"/>
            </w:pPr>
            <w:r>
              <w:rPr>
                <w:sz w:val="18"/>
              </w:rPr>
              <w:t>GreenlifeAI Pharmacy Management System</w:t>
            </w:r>
          </w:p>
        </w:tc>
      </w:tr>
      <w:tr>
        <w:tc>
          <w:tcPr>
            <w:tcW w:type="dxa" w:w="2376"/>
            <w:tcMar>
              <w:top w:w="95" w:type="dxa"/>
              <w:start w:w="95" w:type="dxa"/>
              <w:bottom w:w="95" w:type="dxa"/>
              <w:end w:w="95" w:type="dxa"/>
            </w:tcMar>
            <w:vAlign w:val="center"/>
            <w:shd w:fill="EAF4EE"/>
          </w:tcPr>
          <w:p>
            <w:pPr>
              <w:spacing w:after="0" w:line="245" w:lineRule="auto"/>
            </w:pPr>
            <w:r>
              <w:rPr>
                <w:sz w:val="18"/>
              </w:rPr>
              <w:t>Document</w:t>
            </w:r>
          </w:p>
        </w:tc>
        <w:tc>
          <w:tcPr>
            <w:tcW w:type="dxa" w:w="7416"/>
            <w:tcMar>
              <w:top w:w="95" w:type="dxa"/>
              <w:start w:w="95" w:type="dxa"/>
              <w:bottom w:w="95" w:type="dxa"/>
              <w:end w:w="95" w:type="dxa"/>
            </w:tcMar>
            <w:vAlign w:val="center"/>
            <w:shd w:fill="EAF4EE"/>
          </w:tcPr>
          <w:p>
            <w:pPr>
              <w:spacing w:after="0" w:line="245" w:lineRule="auto"/>
            </w:pPr>
            <w:r>
              <w:rPr>
                <w:sz w:val="18"/>
              </w:rPr>
              <w:t>Technical Architecture Specification</w:t>
            </w:r>
          </w:p>
        </w:tc>
      </w:tr>
      <w:tr>
        <w:tc>
          <w:tcPr>
            <w:tcW w:type="dxa" w:w="2376"/>
            <w:tcMar>
              <w:top w:w="95" w:type="dxa"/>
              <w:start w:w="95" w:type="dxa"/>
              <w:bottom w:w="95" w:type="dxa"/>
              <w:end w:w="95" w:type="dxa"/>
            </w:tcMar>
            <w:vAlign w:val="center"/>
          </w:tcPr>
          <w:p>
            <w:pPr>
              <w:spacing w:after="0" w:line="245" w:lineRule="auto"/>
            </w:pPr>
            <w:r>
              <w:rPr>
                <w:sz w:val="18"/>
              </w:rPr>
              <w:t>Version</w:t>
            </w:r>
          </w:p>
        </w:tc>
        <w:tc>
          <w:tcPr>
            <w:tcW w:type="dxa" w:w="7416"/>
            <w:tcMar>
              <w:top w:w="95" w:type="dxa"/>
              <w:start w:w="95" w:type="dxa"/>
              <w:bottom w:w="95" w:type="dxa"/>
              <w:end w:w="95" w:type="dxa"/>
            </w:tcMar>
            <w:vAlign w:val="center"/>
          </w:tcPr>
          <w:p>
            <w:pPr>
              <w:spacing w:after="0" w:line="245" w:lineRule="auto"/>
            </w:pPr>
            <w:r>
              <w:rPr>
                <w:sz w:val="18"/>
              </w:rPr>
              <w:t>1.0</w:t>
            </w:r>
          </w:p>
        </w:tc>
      </w:tr>
      <w:tr>
        <w:tc>
          <w:tcPr>
            <w:tcW w:type="dxa" w:w="2376"/>
            <w:tcMar>
              <w:top w:w="95" w:type="dxa"/>
              <w:start w:w="95" w:type="dxa"/>
              <w:bottom w:w="95" w:type="dxa"/>
              <w:end w:w="95" w:type="dxa"/>
            </w:tcMar>
            <w:vAlign w:val="center"/>
            <w:shd w:fill="EAF4EE"/>
          </w:tcPr>
          <w:p>
            <w:pPr>
              <w:spacing w:after="0" w:line="245" w:lineRule="auto"/>
            </w:pPr>
            <w:r>
              <w:rPr>
                <w:sz w:val="18"/>
              </w:rPr>
              <w:t>Architecture status</w:t>
            </w:r>
          </w:p>
        </w:tc>
        <w:tc>
          <w:tcPr>
            <w:tcW w:type="dxa" w:w="7416"/>
            <w:tcMar>
              <w:top w:w="95" w:type="dxa"/>
              <w:start w:w="95" w:type="dxa"/>
              <w:bottom w:w="95" w:type="dxa"/>
              <w:end w:w="95" w:type="dxa"/>
            </w:tcMar>
            <w:vAlign w:val="center"/>
            <w:shd w:fill="EAF4EE"/>
          </w:tcPr>
          <w:p>
            <w:pPr>
              <w:spacing w:after="0" w:line="245" w:lineRule="auto"/>
            </w:pPr>
            <w:r>
              <w:rPr>
                <w:sz w:val="18"/>
              </w:rPr>
              <w:t>Baseline architecture for implementation and technical review</w:t>
            </w:r>
          </w:p>
        </w:tc>
      </w:tr>
      <w:tr>
        <w:tc>
          <w:tcPr>
            <w:tcW w:type="dxa" w:w="2376"/>
            <w:tcMar>
              <w:top w:w="95" w:type="dxa"/>
              <w:start w:w="95" w:type="dxa"/>
              <w:bottom w:w="95" w:type="dxa"/>
              <w:end w:w="95" w:type="dxa"/>
            </w:tcMar>
            <w:vAlign w:val="center"/>
          </w:tcPr>
          <w:p>
            <w:pPr>
              <w:spacing w:after="0" w:line="245" w:lineRule="auto"/>
            </w:pPr>
            <w:r>
              <w:rPr>
                <w:sz w:val="18"/>
              </w:rPr>
              <w:t>Initial topology</w:t>
            </w:r>
          </w:p>
        </w:tc>
        <w:tc>
          <w:tcPr>
            <w:tcW w:type="dxa" w:w="7416"/>
            <w:tcMar>
              <w:top w:w="95" w:type="dxa"/>
              <w:start w:w="95" w:type="dxa"/>
              <w:bottom w:w="95" w:type="dxa"/>
              <w:end w:w="95" w:type="dxa"/>
            </w:tcMar>
            <w:vAlign w:val="center"/>
          </w:tcPr>
          <w:p>
            <w:pPr>
              <w:spacing w:after="0" w:line="245" w:lineRule="auto"/>
            </w:pPr>
            <w:r>
              <w:rPr>
                <w:sz w:val="18"/>
              </w:rPr>
              <w:t>Single branch local first with VPS and cloud portability</w:t>
            </w:r>
          </w:p>
        </w:tc>
      </w:tr>
      <w:tr>
        <w:tc>
          <w:tcPr>
            <w:tcW w:type="dxa" w:w="2376"/>
            <w:tcMar>
              <w:top w:w="95" w:type="dxa"/>
              <w:start w:w="95" w:type="dxa"/>
              <w:bottom w:w="95" w:type="dxa"/>
              <w:end w:w="95" w:type="dxa"/>
            </w:tcMar>
            <w:vAlign w:val="center"/>
            <w:shd w:fill="EAF4EE"/>
          </w:tcPr>
          <w:p>
            <w:pPr>
              <w:spacing w:after="0" w:line="245" w:lineRule="auto"/>
            </w:pPr>
            <w:r>
              <w:rPr>
                <w:sz w:val="18"/>
              </w:rPr>
              <w:t>Primary stack</w:t>
            </w:r>
          </w:p>
        </w:tc>
        <w:tc>
          <w:tcPr>
            <w:tcW w:type="dxa" w:w="7416"/>
            <w:tcMar>
              <w:top w:w="95" w:type="dxa"/>
              <w:start w:w="95" w:type="dxa"/>
              <w:bottom w:w="95" w:type="dxa"/>
              <w:end w:w="95" w:type="dxa"/>
            </w:tcMar>
            <w:vAlign w:val="center"/>
            <w:shd w:fill="EAF4EE"/>
          </w:tcPr>
          <w:p>
            <w:pPr>
              <w:spacing w:after="0" w:line="245" w:lineRule="auto"/>
            </w:pPr>
            <w:r>
              <w:rPr>
                <w:sz w:val="18"/>
              </w:rPr>
              <w:t>React TypeScript Tailwind CSS Django REST Framework PostgreSQL and Docker Compose</w:t>
            </w:r>
          </w:p>
        </w:tc>
      </w:tr>
      <w:tr>
        <w:tc>
          <w:tcPr>
            <w:tcW w:type="dxa" w:w="2376"/>
            <w:tcMar>
              <w:top w:w="95" w:type="dxa"/>
              <w:start w:w="95" w:type="dxa"/>
              <w:bottom w:w="95" w:type="dxa"/>
              <w:end w:w="95" w:type="dxa"/>
            </w:tcMar>
            <w:vAlign w:val="center"/>
          </w:tcPr>
          <w:p>
            <w:pPr>
              <w:spacing w:after="0" w:line="245" w:lineRule="auto"/>
            </w:pPr>
            <w:r>
              <w:rPr>
                <w:sz w:val="18"/>
              </w:rPr>
              <w:t>Future extension</w:t>
            </w:r>
          </w:p>
        </w:tc>
        <w:tc>
          <w:tcPr>
            <w:tcW w:type="dxa" w:w="7416"/>
            <w:tcMar>
              <w:top w:w="95" w:type="dxa"/>
              <w:start w:w="95" w:type="dxa"/>
              <w:bottom w:w="95" w:type="dxa"/>
              <w:end w:w="95" w:type="dxa"/>
            </w:tcMar>
            <w:vAlign w:val="center"/>
          </w:tcPr>
          <w:p>
            <w:pPr>
              <w:spacing w:after="0" w:line="245" w:lineRule="auto"/>
            </w:pPr>
            <w:r>
              <w:rPr>
                <w:sz w:val="18"/>
              </w:rPr>
              <w:t>FastAPI service for voice transcription document extraction forecasting and language processing</w:t>
            </w:r>
          </w:p>
        </w:tc>
      </w:tr>
    </w:tbl>
    <w:p>
      <w:pPr>
        <w:spacing w:after="0"/>
        <w:widowControl/>
      </w:pPr>
    </w:p>
    <w:p>
      <w:pPr>
        <w:pStyle w:val="Heading1"/>
        <w:keepNext/>
        <w:widowControl/>
      </w:pPr>
      <w:r>
        <w:t>Purpose</w:t>
      </w:r>
    </w:p>
    <w:p>
      <w:pPr>
        <w:widowControl/>
      </w:pPr>
      <w:r>
        <w:t>This specification defines the architecture that will implement the GreenlifeAI Product Requirements Document. It describes system boundaries, components, responsibilities, data design, security controls, deployment topology, startup behavior, backup and recovery, migration, observability, testing, and the controlled addition of future AI services.</w:t>
      </w:r>
    </w:p>
    <w:p>
      <w:pPr>
        <w:pStyle w:val="Heading1"/>
        <w:keepNext/>
        <w:widowControl/>
      </w:pPr>
      <w:r>
        <w:t>Architecture Decision</w:t>
      </w:r>
    </w:p>
    <w:p>
      <w:pPr>
        <w:widowControl/>
      </w:pPr>
      <w:r>
        <w:t>The first release will use a modular Django monolith with a React frontend and PostgreSQL database. Docker Compose will package the application for development, client-local installation, a dedicated local Linux server, and later VPS or cloud hosting. This design keeps stock and financial transactions inside one consistency boundary while allowing specialized services to be separated later.</w:t>
      </w:r>
    </w:p>
    <w:p>
      <w:pPr>
        <w:pStyle w:val="Heading1"/>
        <w:keepNext/>
        <w:widowControl/>
      </w:pPr>
      <w:r>
        <w:t>Contents</w:t>
      </w:r>
    </w:p>
    <w:p>
      <w:pPr>
        <w:pStyle w:val="ListBullet"/>
        <w:spacing w:after="40"/>
        <w:widowControl/>
      </w:pPr>
      <w:r>
        <w:t>1 Architecture Goals and Constraints</w:t>
      </w:r>
    </w:p>
    <w:p>
      <w:pPr>
        <w:pStyle w:val="ListBullet"/>
        <w:spacing w:after="40"/>
        <w:widowControl/>
      </w:pPr>
      <w:r>
        <w:t>2 System Context and Boundaries</w:t>
      </w:r>
    </w:p>
    <w:p>
      <w:pPr>
        <w:pStyle w:val="ListBullet"/>
        <w:spacing w:after="40"/>
        <w:widowControl/>
      </w:pPr>
      <w:r>
        <w:t>3 Logical Architecture</w:t>
      </w:r>
    </w:p>
    <w:p>
      <w:pPr>
        <w:pStyle w:val="ListBullet"/>
        <w:spacing w:after="40"/>
        <w:widowControl/>
      </w:pPr>
      <w:r>
        <w:t>4 Backend Architecture</w:t>
      </w:r>
    </w:p>
    <w:p>
      <w:pPr>
        <w:pStyle w:val="ListBullet"/>
        <w:spacing w:after="40"/>
        <w:widowControl/>
      </w:pPr>
      <w:r>
        <w:t>5 Frontend Architecture</w:t>
      </w:r>
    </w:p>
    <w:p>
      <w:pPr>
        <w:pStyle w:val="ListBullet"/>
        <w:spacing w:after="40"/>
        <w:widowControl/>
      </w:pPr>
      <w:r>
        <w:t>6 Data Architecture</w:t>
      </w:r>
    </w:p>
    <w:p>
      <w:pPr>
        <w:pStyle w:val="ListBullet"/>
        <w:spacing w:after="40"/>
        <w:widowControl/>
      </w:pPr>
      <w:r>
        <w:t>7 API and Integration Architecture</w:t>
      </w:r>
    </w:p>
    <w:p>
      <w:pPr>
        <w:pStyle w:val="ListBullet"/>
        <w:spacing w:after="40"/>
        <w:widowControl/>
      </w:pPr>
      <w:r>
        <w:t>8 Identity Security and Audit</w:t>
      </w:r>
    </w:p>
    <w:p>
      <w:pPr>
        <w:pStyle w:val="ListBullet"/>
        <w:spacing w:after="40"/>
        <w:widowControl/>
      </w:pPr>
      <w:r>
        <w:t>9 Deployment Architecture</w:t>
      </w:r>
    </w:p>
    <w:p>
      <w:pPr>
        <w:pStyle w:val="ListBullet"/>
        <w:spacing w:after="40"/>
        <w:widowControl/>
      </w:pPr>
      <w:r>
        <w:t>10 Installer Launcher and Startup</w:t>
      </w:r>
    </w:p>
    <w:p>
      <w:pPr>
        <w:pStyle w:val="ListBullet"/>
        <w:spacing w:after="40"/>
        <w:widowControl/>
      </w:pPr>
      <w:r>
        <w:t>11 Backup Recovery and Migration</w:t>
      </w:r>
    </w:p>
    <w:p>
      <w:pPr>
        <w:pStyle w:val="ListBullet"/>
        <w:spacing w:after="40"/>
        <w:widowControl/>
      </w:pPr>
      <w:r>
        <w:t>12 Observability Performance and Operations</w:t>
      </w:r>
    </w:p>
    <w:p>
      <w:pPr>
        <w:pStyle w:val="ListBullet"/>
        <w:spacing w:after="40"/>
        <w:widowControl/>
      </w:pPr>
      <w:r>
        <w:t>13 Testing Release and Change Management</w:t>
      </w:r>
    </w:p>
    <w:p>
      <w:pPr>
        <w:pStyle w:val="ListBullet"/>
        <w:spacing w:after="40"/>
        <w:widowControl/>
      </w:pPr>
      <w:r>
        <w:t>14 Future Branch Wholesale and AI Architecture</w:t>
      </w:r>
    </w:p>
    <w:p>
      <w:pPr>
        <w:pStyle w:val="ListBullet"/>
        <w:spacing w:after="40"/>
        <w:widowControl/>
      </w:pPr>
      <w:r>
        <w:t>15 Architecture Decisions and Implementation Checklist</w:t>
      </w:r>
    </w:p>
    <w:p>
      <w:pPr>
        <w:pStyle w:val="Heading1"/>
        <w:keepNext/>
        <w:widowControl/>
      </w:pPr>
      <w:r>
        <w:t>1 Architecture Goals and Constraints</w:t>
      </w:r>
    </w:p>
    <w:p>
      <w:pPr>
        <w:pStyle w:val="Heading2"/>
        <w:keepNext/>
        <w:widowControl/>
      </w:pPr>
      <w:r>
        <w:t>Architecture Goals</w:t>
      </w:r>
    </w:p>
    <w:p>
      <w:pPr>
        <w:pStyle w:val="ListBullet"/>
        <w:spacing w:after="40"/>
        <w:widowControl/>
      </w:pPr>
      <w:r>
        <w:t>Preserve transactional consistency across sales payments stock movements purchases balances and audit evidence.</w:t>
      </w:r>
    </w:p>
    <w:p>
      <w:pPr>
        <w:pStyle w:val="ListBullet"/>
        <w:spacing w:after="40"/>
        <w:widowControl/>
      </w:pPr>
      <w:r>
        <w:t>Run without continuous internet access in the first local deployment.</w:t>
      </w:r>
    </w:p>
    <w:p>
      <w:pPr>
        <w:pStyle w:val="ListBullet"/>
        <w:spacing w:after="40"/>
        <w:widowControl/>
      </w:pPr>
      <w:r>
        <w:t>Use the same versioned application package across development local VPS and cloud environments.</w:t>
      </w:r>
    </w:p>
    <w:p>
      <w:pPr>
        <w:pStyle w:val="ListBullet"/>
        <w:spacing w:after="40"/>
        <w:widowControl/>
      </w:pPr>
      <w:r>
        <w:t>Apply authorization at the API and data-access layers rather than relying on hidden frontend controls.</w:t>
      </w:r>
    </w:p>
    <w:p>
      <w:pPr>
        <w:pStyle w:val="ListBullet"/>
        <w:spacing w:after="40"/>
        <w:widowControl/>
      </w:pPr>
      <w:r>
        <w:t>Support reliable backup restoration migration and troubleshooting without exposing confidential information.</w:t>
      </w:r>
    </w:p>
    <w:p>
      <w:pPr>
        <w:pStyle w:val="ListBullet"/>
        <w:spacing w:after="40"/>
        <w:widowControl/>
      </w:pPr>
      <w:r>
        <w:t>Prepare the system for wholesale multiple branches and AI services without introducing premature distributed-system complexity.</w:t>
      </w:r>
    </w:p>
    <w:p>
      <w:pPr>
        <w:pStyle w:val="Heading2"/>
        <w:keepNext/>
        <w:widowControl/>
      </w:pPr>
      <w:r>
        <w:t>Constraints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3024"/>
            <w:shd w:fill="0F5132"/>
            <w:tcMar>
              <w:top w:w="95" w:type="dxa"/>
              <w:start w:w="95" w:type="dxa"/>
              <w:bottom w:w="95" w:type="dxa"/>
              <w:end w:w="95" w:type="dxa"/>
            </w:tcMar>
            <w:vAlign w:val="center"/>
          </w:tcPr>
          <w:p>
            <w:pPr>
              <w:spacing w:after="0"/>
            </w:pPr>
            <w:r>
              <w:rPr>
                <w:b/>
                <w:color w:val="FFFFFF"/>
                <w:sz w:val="17"/>
              </w:rPr>
              <w:t>Constraint</w:t>
            </w:r>
          </w:p>
        </w:tc>
        <w:tc>
          <w:tcPr>
            <w:tcW w:type="dxa" w:w="6768"/>
            <w:shd w:fill="0F5132"/>
            <w:tcMar>
              <w:top w:w="95" w:type="dxa"/>
              <w:start w:w="95" w:type="dxa"/>
              <w:bottom w:w="95" w:type="dxa"/>
              <w:end w:w="95" w:type="dxa"/>
            </w:tcMar>
            <w:vAlign w:val="center"/>
          </w:tcPr>
          <w:p>
            <w:pPr>
              <w:spacing w:after="0"/>
            </w:pPr>
            <w:r>
              <w:rPr>
                <w:b/>
                <w:color w:val="FFFFFF"/>
                <w:sz w:val="17"/>
              </w:rPr>
              <w:t>Architectural response</w:t>
            </w:r>
          </w:p>
        </w:tc>
      </w:tr>
      <w:tr>
        <w:tc>
          <w:tcPr>
            <w:tcW w:type="dxa" w:w="3024"/>
            <w:tcMar>
              <w:top w:w="95" w:type="dxa"/>
              <w:start w:w="95" w:type="dxa"/>
              <w:bottom w:w="95" w:type="dxa"/>
              <w:end w:w="95" w:type="dxa"/>
            </w:tcMar>
            <w:vAlign w:val="center"/>
          </w:tcPr>
          <w:p>
            <w:pPr>
              <w:spacing w:after="0" w:line="245" w:lineRule="auto"/>
            </w:pPr>
            <w:r>
              <w:rPr>
                <w:sz w:val="17"/>
              </w:rPr>
              <w:t>Initial client may use Windows</w:t>
            </w:r>
          </w:p>
        </w:tc>
        <w:tc>
          <w:tcPr>
            <w:tcW w:type="dxa" w:w="6768"/>
            <w:tcMar>
              <w:top w:w="95" w:type="dxa"/>
              <w:start w:w="95" w:type="dxa"/>
              <w:bottom w:w="95" w:type="dxa"/>
              <w:end w:w="95" w:type="dxa"/>
            </w:tcMar>
            <w:vAlign w:val="center"/>
          </w:tcPr>
          <w:p>
            <w:pPr>
              <w:spacing w:after="0" w:line="245" w:lineRule="auto"/>
            </w:pPr>
            <w:r>
              <w:rPr>
                <w:sz w:val="17"/>
              </w:rPr>
              <w:t>Support Docker Desktop with WSL 2 and a signed launcher while keeping a dedicated Linux server as the preferred mature topology.</w:t>
            </w:r>
          </w:p>
        </w:tc>
      </w:tr>
      <w:tr>
        <w:tc>
          <w:tcPr>
            <w:tcW w:type="dxa" w:w="3024"/>
            <w:tcMar>
              <w:top w:w="95" w:type="dxa"/>
              <w:start w:w="95" w:type="dxa"/>
              <w:bottom w:w="95" w:type="dxa"/>
              <w:end w:w="95" w:type="dxa"/>
            </w:tcMar>
            <w:vAlign w:val="center"/>
            <w:shd w:fill="EAF4EE"/>
          </w:tcPr>
          <w:p>
            <w:pPr>
              <w:spacing w:after="0" w:line="245" w:lineRule="auto"/>
            </w:pPr>
            <w:r>
              <w:rPr>
                <w:sz w:val="17"/>
              </w:rPr>
              <w:t>Internet may be unavailable</w:t>
            </w:r>
          </w:p>
        </w:tc>
        <w:tc>
          <w:tcPr>
            <w:tcW w:type="dxa" w:w="6768"/>
            <w:tcMar>
              <w:top w:w="95" w:type="dxa"/>
              <w:start w:w="95" w:type="dxa"/>
              <w:bottom w:w="95" w:type="dxa"/>
              <w:end w:w="95" w:type="dxa"/>
            </w:tcMar>
            <w:vAlign w:val="center"/>
            <w:shd w:fill="EAF4EE"/>
          </w:tcPr>
          <w:p>
            <w:pPr>
              <w:spacing w:after="0" w:line="245" w:lineRule="auto"/>
            </w:pPr>
            <w:r>
              <w:rPr>
                <w:sz w:val="17"/>
              </w:rPr>
              <w:t>Keep core React Django PostgreSQL and local files operational on the local network.</w:t>
            </w:r>
          </w:p>
        </w:tc>
      </w:tr>
      <w:tr>
        <w:tc>
          <w:tcPr>
            <w:tcW w:type="dxa" w:w="3024"/>
            <w:tcMar>
              <w:top w:w="95" w:type="dxa"/>
              <w:start w:w="95" w:type="dxa"/>
              <w:bottom w:w="95" w:type="dxa"/>
              <w:end w:w="95" w:type="dxa"/>
            </w:tcMar>
            <w:vAlign w:val="center"/>
          </w:tcPr>
          <w:p>
            <w:pPr>
              <w:spacing w:after="0" w:line="245" w:lineRule="auto"/>
            </w:pPr>
            <w:r>
              <w:rPr>
                <w:sz w:val="17"/>
              </w:rPr>
              <w:t>Pharmacy data requires traceability</w:t>
            </w:r>
          </w:p>
        </w:tc>
        <w:tc>
          <w:tcPr>
            <w:tcW w:type="dxa" w:w="6768"/>
            <w:tcMar>
              <w:top w:w="95" w:type="dxa"/>
              <w:start w:w="95" w:type="dxa"/>
              <w:bottom w:w="95" w:type="dxa"/>
              <w:end w:w="95" w:type="dxa"/>
            </w:tcMar>
            <w:vAlign w:val="center"/>
          </w:tcPr>
          <w:p>
            <w:pPr>
              <w:spacing w:after="0" w:line="245" w:lineRule="auto"/>
            </w:pPr>
            <w:r>
              <w:rPr>
                <w:sz w:val="17"/>
              </w:rPr>
              <w:t>Use append-only audit events controlled corrections batch-level stock movements and immutable transaction references.</w:t>
            </w:r>
          </w:p>
        </w:tc>
      </w:tr>
      <w:tr>
        <w:tc>
          <w:tcPr>
            <w:tcW w:type="dxa" w:w="3024"/>
            <w:tcMar>
              <w:top w:w="95" w:type="dxa"/>
              <w:start w:w="95" w:type="dxa"/>
              <w:bottom w:w="95" w:type="dxa"/>
              <w:end w:w="95" w:type="dxa"/>
            </w:tcMar>
            <w:vAlign w:val="center"/>
            <w:shd w:fill="EAF4EE"/>
          </w:tcPr>
          <w:p>
            <w:pPr>
              <w:spacing w:after="0" w:line="245" w:lineRule="auto"/>
            </w:pPr>
            <w:r>
              <w:rPr>
                <w:sz w:val="17"/>
              </w:rPr>
              <w:t>Existing shop has historical activity</w:t>
            </w:r>
          </w:p>
        </w:tc>
        <w:tc>
          <w:tcPr>
            <w:tcW w:type="dxa" w:w="6768"/>
            <w:tcMar>
              <w:top w:w="95" w:type="dxa"/>
              <w:start w:w="95" w:type="dxa"/>
              <w:bottom w:w="95" w:type="dxa"/>
              <w:end w:w="95" w:type="dxa"/>
            </w:tcMar>
            <w:vAlign w:val="center"/>
            <w:shd w:fill="EAF4EE"/>
          </w:tcPr>
          <w:p>
            <w:pPr>
              <w:spacing w:after="0" w:line="245" w:lineRule="auto"/>
            </w:pPr>
            <w:r>
              <w:rPr>
                <w:sz w:val="17"/>
              </w:rPr>
              <w:t>Use controlled imports and opening balances instead of reconstructing unreliable transaction history.</w:t>
            </w:r>
          </w:p>
        </w:tc>
      </w:tr>
      <w:tr>
        <w:tc>
          <w:tcPr>
            <w:tcW w:type="dxa" w:w="3024"/>
            <w:tcMar>
              <w:top w:w="95" w:type="dxa"/>
              <w:start w:w="95" w:type="dxa"/>
              <w:bottom w:w="95" w:type="dxa"/>
              <w:end w:w="95" w:type="dxa"/>
            </w:tcMar>
            <w:vAlign w:val="center"/>
          </w:tcPr>
          <w:p>
            <w:pPr>
              <w:spacing w:after="0" w:line="245" w:lineRule="auto"/>
            </w:pPr>
            <w:r>
              <w:rPr>
                <w:sz w:val="17"/>
              </w:rPr>
              <w:t>Future multi-branch operation</w:t>
            </w:r>
          </w:p>
        </w:tc>
        <w:tc>
          <w:tcPr>
            <w:tcW w:type="dxa" w:w="6768"/>
            <w:tcMar>
              <w:top w:w="95" w:type="dxa"/>
              <w:start w:w="95" w:type="dxa"/>
              <w:bottom w:w="95" w:type="dxa"/>
              <w:end w:w="95" w:type="dxa"/>
            </w:tcMar>
            <w:vAlign w:val="center"/>
          </w:tcPr>
          <w:p>
            <w:pPr>
              <w:spacing w:after="0" w:line="245" w:lineRule="auto"/>
            </w:pPr>
            <w:r>
              <w:rPr>
                <w:sz w:val="17"/>
              </w:rPr>
              <w:t>Include branch ownership in applicable records and APIs from the first schema.</w:t>
            </w:r>
          </w:p>
        </w:tc>
      </w:tr>
      <w:tr>
        <w:tc>
          <w:tcPr>
            <w:tcW w:type="dxa" w:w="3024"/>
            <w:tcMar>
              <w:top w:w="95" w:type="dxa"/>
              <w:start w:w="95" w:type="dxa"/>
              <w:bottom w:w="95" w:type="dxa"/>
              <w:end w:w="95" w:type="dxa"/>
            </w:tcMar>
            <w:vAlign w:val="center"/>
            <w:shd w:fill="EAF4EE"/>
          </w:tcPr>
          <w:p>
            <w:pPr>
              <w:spacing w:after="0" w:line="245" w:lineRule="auto"/>
            </w:pPr>
            <w:r>
              <w:rPr>
                <w:sz w:val="17"/>
              </w:rPr>
              <w:t>Future voice AI</w:t>
            </w:r>
          </w:p>
        </w:tc>
        <w:tc>
          <w:tcPr>
            <w:tcW w:type="dxa" w:w="6768"/>
            <w:tcMar>
              <w:top w:w="95" w:type="dxa"/>
              <w:start w:w="95" w:type="dxa"/>
              <w:bottom w:w="95" w:type="dxa"/>
              <w:end w:w="95" w:type="dxa"/>
            </w:tcMar>
            <w:vAlign w:val="center"/>
            <w:shd w:fill="EAF4EE"/>
          </w:tcPr>
          <w:p>
            <w:pPr>
              <w:spacing w:after="0" w:line="245" w:lineRule="auto"/>
            </w:pPr>
            <w:r>
              <w:rPr>
                <w:sz w:val="17"/>
              </w:rPr>
              <w:t>Keep AI outside the core transaction boundary and route approved actions through Django.</w:t>
            </w:r>
          </w:p>
        </w:tc>
      </w:tr>
    </w:tbl>
    <w:p>
      <w:pPr>
        <w:spacing w:after="0"/>
        <w:widowControl/>
      </w:pPr>
    </w:p>
    <w:p>
      <w:pPr>
        <w:pStyle w:val="Heading2"/>
        <w:keepNext/>
        <w:widowControl/>
      </w:pPr>
      <w:r>
        <w:t>Quality Attributes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232"/>
            <w:shd w:fill="0F5132"/>
            <w:tcMar>
              <w:top w:w="95" w:type="dxa"/>
              <w:start w:w="95" w:type="dxa"/>
              <w:bottom w:w="95" w:type="dxa"/>
              <w:end w:w="95" w:type="dxa"/>
            </w:tcMar>
            <w:vAlign w:val="center"/>
          </w:tcPr>
          <w:p>
            <w:pPr>
              <w:spacing w:after="0"/>
            </w:pPr>
            <w:r>
              <w:rPr>
                <w:b/>
                <w:color w:val="FFFFFF"/>
                <w:sz w:val="17"/>
              </w:rPr>
              <w:t>Attribute</w:t>
            </w:r>
          </w:p>
        </w:tc>
        <w:tc>
          <w:tcPr>
            <w:tcW w:type="dxa" w:w="7560"/>
            <w:shd w:fill="0F5132"/>
            <w:tcMar>
              <w:top w:w="95" w:type="dxa"/>
              <w:start w:w="95" w:type="dxa"/>
              <w:bottom w:w="95" w:type="dxa"/>
              <w:end w:w="95" w:type="dxa"/>
            </w:tcMar>
            <w:vAlign w:val="center"/>
          </w:tcPr>
          <w:p>
            <w:pPr>
              <w:spacing w:after="0"/>
            </w:pPr>
            <w:r>
              <w:rPr>
                <w:b/>
                <w:color w:val="FFFFFF"/>
                <w:sz w:val="17"/>
              </w:rPr>
              <w:t>Design priority</w:t>
            </w:r>
          </w:p>
        </w:tc>
      </w:tr>
      <w:tr>
        <w:tc>
          <w:tcPr>
            <w:tcW w:type="dxa" w:w="2232"/>
            <w:tcMar>
              <w:top w:w="95" w:type="dxa"/>
              <w:start w:w="95" w:type="dxa"/>
              <w:bottom w:w="95" w:type="dxa"/>
              <w:end w:w="95" w:type="dxa"/>
            </w:tcMar>
            <w:vAlign w:val="center"/>
          </w:tcPr>
          <w:p>
            <w:pPr>
              <w:spacing w:after="0" w:line="245" w:lineRule="auto"/>
            </w:pPr>
            <w:r>
              <w:rPr>
                <w:sz w:val="17"/>
              </w:rPr>
              <w:t>Integrity</w:t>
            </w:r>
          </w:p>
        </w:tc>
        <w:tc>
          <w:tcPr>
            <w:tcW w:type="dxa" w:w="7560"/>
            <w:tcMar>
              <w:top w:w="95" w:type="dxa"/>
              <w:start w:w="95" w:type="dxa"/>
              <w:bottom w:w="95" w:type="dxa"/>
              <w:end w:w="95" w:type="dxa"/>
            </w:tcMar>
            <w:vAlign w:val="center"/>
          </w:tcPr>
          <w:p>
            <w:pPr>
              <w:spacing w:after="0" w:line="245" w:lineRule="auto"/>
            </w:pPr>
            <w:r>
              <w:rPr>
                <w:sz w:val="17"/>
              </w:rPr>
              <w:t>Database transactions constraints idempotency and stock ledger invariants.</w:t>
            </w:r>
          </w:p>
        </w:tc>
      </w:tr>
      <w:tr>
        <w:tc>
          <w:tcPr>
            <w:tcW w:type="dxa" w:w="2232"/>
            <w:tcMar>
              <w:top w:w="95" w:type="dxa"/>
              <w:start w:w="95" w:type="dxa"/>
              <w:bottom w:w="95" w:type="dxa"/>
              <w:end w:w="95" w:type="dxa"/>
            </w:tcMar>
            <w:vAlign w:val="center"/>
            <w:shd w:fill="EAF4EE"/>
          </w:tcPr>
          <w:p>
            <w:pPr>
              <w:spacing w:after="0" w:line="245" w:lineRule="auto"/>
            </w:pPr>
            <w:r>
              <w:rPr>
                <w:sz w:val="17"/>
              </w:rPr>
              <w:t>Security</w:t>
            </w:r>
          </w:p>
        </w:tc>
        <w:tc>
          <w:tcPr>
            <w:tcW w:type="dxa" w:w="7560"/>
            <w:tcMar>
              <w:top w:w="95" w:type="dxa"/>
              <w:start w:w="95" w:type="dxa"/>
              <w:bottom w:w="95" w:type="dxa"/>
              <w:end w:w="95" w:type="dxa"/>
            </w:tcMar>
            <w:vAlign w:val="center"/>
            <w:shd w:fill="EAF4EE"/>
          </w:tcPr>
          <w:p>
            <w:pPr>
              <w:spacing w:after="0" w:line="245" w:lineRule="auto"/>
            </w:pPr>
            <w:r>
              <w:rPr>
                <w:sz w:val="17"/>
              </w:rPr>
              <w:t>Least privilege defense in depth secret isolation and auditable administration.</w:t>
            </w:r>
          </w:p>
        </w:tc>
      </w:tr>
      <w:tr>
        <w:tc>
          <w:tcPr>
            <w:tcW w:type="dxa" w:w="2232"/>
            <w:tcMar>
              <w:top w:w="95" w:type="dxa"/>
              <w:start w:w="95" w:type="dxa"/>
              <w:bottom w:w="95" w:type="dxa"/>
              <w:end w:w="95" w:type="dxa"/>
            </w:tcMar>
            <w:vAlign w:val="center"/>
          </w:tcPr>
          <w:p>
            <w:pPr>
              <w:spacing w:after="0" w:line="245" w:lineRule="auto"/>
            </w:pPr>
            <w:r>
              <w:rPr>
                <w:sz w:val="17"/>
              </w:rPr>
              <w:t>Recoverability</w:t>
            </w:r>
          </w:p>
        </w:tc>
        <w:tc>
          <w:tcPr>
            <w:tcW w:type="dxa" w:w="7560"/>
            <w:tcMar>
              <w:top w:w="95" w:type="dxa"/>
              <w:start w:w="95" w:type="dxa"/>
              <w:bottom w:w="95" w:type="dxa"/>
              <w:end w:w="95" w:type="dxa"/>
            </w:tcMar>
            <w:vAlign w:val="center"/>
          </w:tcPr>
          <w:p>
            <w:pPr>
              <w:spacing w:after="0" w:line="245" w:lineRule="auto"/>
            </w:pPr>
            <w:r>
              <w:rPr>
                <w:sz w:val="17"/>
              </w:rPr>
              <w:t>Encrypted backups off-device copies checksums restore tests and documented recovery.</w:t>
            </w:r>
          </w:p>
        </w:tc>
      </w:tr>
      <w:tr>
        <w:tc>
          <w:tcPr>
            <w:tcW w:type="dxa" w:w="2232"/>
            <w:tcMar>
              <w:top w:w="95" w:type="dxa"/>
              <w:start w:w="95" w:type="dxa"/>
              <w:bottom w:w="95" w:type="dxa"/>
              <w:end w:w="95" w:type="dxa"/>
            </w:tcMar>
            <w:vAlign w:val="center"/>
            <w:shd w:fill="EAF4EE"/>
          </w:tcPr>
          <w:p>
            <w:pPr>
              <w:spacing w:after="0" w:line="245" w:lineRule="auto"/>
            </w:pPr>
            <w:r>
              <w:rPr>
                <w:sz w:val="17"/>
              </w:rPr>
              <w:t>Portability</w:t>
            </w:r>
          </w:p>
        </w:tc>
        <w:tc>
          <w:tcPr>
            <w:tcW w:type="dxa" w:w="7560"/>
            <w:tcMar>
              <w:top w:w="95" w:type="dxa"/>
              <w:start w:w="95" w:type="dxa"/>
              <w:bottom w:w="95" w:type="dxa"/>
              <w:end w:w="95" w:type="dxa"/>
            </w:tcMar>
            <w:vAlign w:val="center"/>
            <w:shd w:fill="EAF4EE"/>
          </w:tcPr>
          <w:p>
            <w:pPr>
              <w:spacing w:after="0" w:line="245" w:lineRule="auto"/>
            </w:pPr>
            <w:r>
              <w:rPr>
                <w:sz w:val="17"/>
              </w:rPr>
              <w:t>Containers environment configuration and PostgreSQL across approved hosts.</w:t>
            </w:r>
          </w:p>
        </w:tc>
      </w:tr>
      <w:tr>
        <w:tc>
          <w:tcPr>
            <w:tcW w:type="dxa" w:w="2232"/>
            <w:tcMar>
              <w:top w:w="95" w:type="dxa"/>
              <w:start w:w="95" w:type="dxa"/>
              <w:bottom w:w="95" w:type="dxa"/>
              <w:end w:w="95" w:type="dxa"/>
            </w:tcMar>
            <w:vAlign w:val="center"/>
          </w:tcPr>
          <w:p>
            <w:pPr>
              <w:spacing w:after="0" w:line="245" w:lineRule="auto"/>
            </w:pPr>
            <w:r>
              <w:rPr>
                <w:sz w:val="17"/>
              </w:rPr>
              <w:t>Maintainability</w:t>
            </w:r>
          </w:p>
        </w:tc>
        <w:tc>
          <w:tcPr>
            <w:tcW w:type="dxa" w:w="7560"/>
            <w:tcMar>
              <w:top w:w="95" w:type="dxa"/>
              <w:start w:w="95" w:type="dxa"/>
              <w:bottom w:w="95" w:type="dxa"/>
              <w:end w:w="95" w:type="dxa"/>
            </w:tcMar>
            <w:vAlign w:val="center"/>
          </w:tcPr>
          <w:p>
            <w:pPr>
              <w:spacing w:after="0" w:line="245" w:lineRule="auto"/>
            </w:pPr>
            <w:r>
              <w:rPr>
                <w:sz w:val="17"/>
              </w:rPr>
              <w:t>Modular code explicit service boundaries migrations tests and versioned releases.</w:t>
            </w:r>
          </w:p>
        </w:tc>
      </w:tr>
      <w:tr>
        <w:tc>
          <w:tcPr>
            <w:tcW w:type="dxa" w:w="2232"/>
            <w:tcMar>
              <w:top w:w="95" w:type="dxa"/>
              <w:start w:w="95" w:type="dxa"/>
              <w:bottom w:w="95" w:type="dxa"/>
              <w:end w:w="95" w:type="dxa"/>
            </w:tcMar>
            <w:vAlign w:val="center"/>
            <w:shd w:fill="EAF4EE"/>
          </w:tcPr>
          <w:p>
            <w:pPr>
              <w:spacing w:after="0" w:line="245" w:lineRule="auto"/>
            </w:pPr>
            <w:r>
              <w:rPr>
                <w:sz w:val="17"/>
              </w:rPr>
              <w:t>Performance</w:t>
            </w:r>
          </w:p>
        </w:tc>
        <w:tc>
          <w:tcPr>
            <w:tcW w:type="dxa" w:w="7560"/>
            <w:tcMar>
              <w:top w:w="95" w:type="dxa"/>
              <w:start w:w="95" w:type="dxa"/>
              <w:bottom w:w="95" w:type="dxa"/>
              <w:end w:w="95" w:type="dxa"/>
            </w:tcMar>
            <w:vAlign w:val="center"/>
            <w:shd w:fill="EAF4EE"/>
          </w:tcPr>
          <w:p>
            <w:pPr>
              <w:spacing w:after="0" w:line="245" w:lineRule="auto"/>
            </w:pPr>
            <w:r>
              <w:rPr>
                <w:sz w:val="17"/>
              </w:rPr>
              <w:t>Fast point-of-sale paths indexed queries caching where justified and background jobs for long work.</w:t>
            </w:r>
          </w:p>
        </w:tc>
      </w:tr>
      <w:tr>
        <w:tc>
          <w:tcPr>
            <w:tcW w:type="dxa" w:w="2232"/>
            <w:tcMar>
              <w:top w:w="95" w:type="dxa"/>
              <w:start w:w="95" w:type="dxa"/>
              <w:bottom w:w="95" w:type="dxa"/>
              <w:end w:w="95" w:type="dxa"/>
            </w:tcMar>
            <w:vAlign w:val="center"/>
          </w:tcPr>
          <w:p>
            <w:pPr>
              <w:spacing w:after="0" w:line="245" w:lineRule="auto"/>
            </w:pPr>
            <w:r>
              <w:rPr>
                <w:sz w:val="17"/>
              </w:rPr>
              <w:t>Usability</w:t>
            </w:r>
          </w:p>
        </w:tc>
        <w:tc>
          <w:tcPr>
            <w:tcW w:type="dxa" w:w="7560"/>
            <w:tcMar>
              <w:top w:w="95" w:type="dxa"/>
              <w:start w:w="95" w:type="dxa"/>
              <w:bottom w:w="95" w:type="dxa"/>
              <w:end w:w="95" w:type="dxa"/>
            </w:tcMar>
            <w:vAlign w:val="center"/>
          </w:tcPr>
          <w:p>
            <w:pPr>
              <w:spacing w:after="0" w:line="245" w:lineRule="auto"/>
            </w:pPr>
            <w:r>
              <w:rPr>
                <w:sz w:val="17"/>
              </w:rPr>
              <w:t>Responsive browser interface keyboard workflows safe errors and a health-aware launcher.</w:t>
            </w:r>
          </w:p>
        </w:tc>
      </w:tr>
    </w:tbl>
    <w:p>
      <w:pPr>
        <w:spacing w:after="0"/>
        <w:widowControl/>
      </w:pPr>
    </w:p>
    <w:p>
      <w:pPr>
        <w:pStyle w:val="Heading1"/>
        <w:keepNext/>
        <w:widowControl/>
      </w:pPr>
      <w:r>
        <w:t>2 System Context and Boundaries</w:t>
      </w:r>
    </w:p>
    <w:p>
      <w:pPr>
        <w:pStyle w:val="Heading2"/>
        <w:keepNext/>
        <w:widowControl/>
      </w:pPr>
      <w:r>
        <w:t>Users and External Actors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592"/>
            <w:shd w:fill="0F5132"/>
            <w:tcMar>
              <w:top w:w="95" w:type="dxa"/>
              <w:start w:w="95" w:type="dxa"/>
              <w:bottom w:w="95" w:type="dxa"/>
              <w:end w:w="95" w:type="dxa"/>
            </w:tcMar>
            <w:vAlign w:val="center"/>
          </w:tcPr>
          <w:p>
            <w:pPr>
              <w:spacing w:after="0"/>
            </w:pPr>
            <w:r>
              <w:rPr>
                <w:b/>
                <w:color w:val="FFFFFF"/>
                <w:sz w:val="17"/>
              </w:rPr>
              <w:t>Actor</w:t>
            </w:r>
          </w:p>
        </w:tc>
        <w:tc>
          <w:tcPr>
            <w:tcW w:type="dxa" w:w="7200"/>
            <w:shd w:fill="0F5132"/>
            <w:tcMar>
              <w:top w:w="95" w:type="dxa"/>
              <w:start w:w="95" w:type="dxa"/>
              <w:bottom w:w="95" w:type="dxa"/>
              <w:end w:w="95" w:type="dxa"/>
            </w:tcMar>
            <w:vAlign w:val="center"/>
          </w:tcPr>
          <w:p>
            <w:pPr>
              <w:spacing w:after="0"/>
            </w:pPr>
            <w:r>
              <w:rPr>
                <w:b/>
                <w:color w:val="FFFFFF"/>
                <w:sz w:val="17"/>
              </w:rPr>
              <w:t>Interaction</w:t>
            </w:r>
          </w:p>
        </w:tc>
      </w:tr>
      <w:tr>
        <w:tc>
          <w:tcPr>
            <w:tcW w:type="dxa" w:w="2592"/>
            <w:tcMar>
              <w:top w:w="95" w:type="dxa"/>
              <w:start w:w="95" w:type="dxa"/>
              <w:bottom w:w="95" w:type="dxa"/>
              <w:end w:w="95" w:type="dxa"/>
            </w:tcMar>
            <w:vAlign w:val="center"/>
          </w:tcPr>
          <w:p>
            <w:pPr>
              <w:spacing w:after="0" w:line="245" w:lineRule="auto"/>
            </w:pPr>
            <w:r>
              <w:rPr>
                <w:sz w:val="17"/>
              </w:rPr>
              <w:t>Pharmacy staff</w:t>
            </w:r>
          </w:p>
        </w:tc>
        <w:tc>
          <w:tcPr>
            <w:tcW w:type="dxa" w:w="7200"/>
            <w:tcMar>
              <w:top w:w="95" w:type="dxa"/>
              <w:start w:w="95" w:type="dxa"/>
              <w:bottom w:w="95" w:type="dxa"/>
              <w:end w:w="95" w:type="dxa"/>
            </w:tcMar>
            <w:vAlign w:val="center"/>
          </w:tcPr>
          <w:p>
            <w:pPr>
              <w:spacing w:after="0" w:line="245" w:lineRule="auto"/>
            </w:pPr>
            <w:r>
              <w:rPr>
                <w:sz w:val="17"/>
              </w:rPr>
              <w:t>Use browser screens for purchases sales stock dispensing finance and reports.</w:t>
            </w:r>
          </w:p>
        </w:tc>
      </w:tr>
      <w:tr>
        <w:tc>
          <w:tcPr>
            <w:tcW w:type="dxa" w:w="2592"/>
            <w:tcMar>
              <w:top w:w="95" w:type="dxa"/>
              <w:start w:w="95" w:type="dxa"/>
              <w:bottom w:w="95" w:type="dxa"/>
              <w:end w:w="95" w:type="dxa"/>
            </w:tcMar>
            <w:vAlign w:val="center"/>
            <w:shd w:fill="EAF4EE"/>
          </w:tcPr>
          <w:p>
            <w:pPr>
              <w:spacing w:after="0" w:line="245" w:lineRule="auto"/>
            </w:pPr>
            <w:r>
              <w:rPr>
                <w:sz w:val="17"/>
              </w:rPr>
              <w:t>Pharmacy administrators</w:t>
            </w:r>
          </w:p>
        </w:tc>
        <w:tc>
          <w:tcPr>
            <w:tcW w:type="dxa" w:w="7200"/>
            <w:tcMar>
              <w:top w:w="95" w:type="dxa"/>
              <w:start w:w="95" w:type="dxa"/>
              <w:bottom w:w="95" w:type="dxa"/>
              <w:end w:w="95" w:type="dxa"/>
            </w:tcMar>
            <w:vAlign w:val="center"/>
            <w:shd w:fill="EAF4EE"/>
          </w:tcPr>
          <w:p>
            <w:pPr>
              <w:spacing w:after="0" w:line="245" w:lineRule="auto"/>
            </w:pPr>
            <w:r>
              <w:rPr>
                <w:sz w:val="17"/>
              </w:rPr>
              <w:t>Manage users roles permissions settings approvals imports backups and reports.</w:t>
            </w:r>
          </w:p>
        </w:tc>
      </w:tr>
      <w:tr>
        <w:tc>
          <w:tcPr>
            <w:tcW w:type="dxa" w:w="2592"/>
            <w:tcMar>
              <w:top w:w="95" w:type="dxa"/>
              <w:start w:w="95" w:type="dxa"/>
              <w:bottom w:w="95" w:type="dxa"/>
              <w:end w:w="95" w:type="dxa"/>
            </w:tcMar>
            <w:vAlign w:val="center"/>
          </w:tcPr>
          <w:p>
            <w:pPr>
              <w:spacing w:after="0" w:line="245" w:lineRule="auto"/>
            </w:pPr>
            <w:r>
              <w:rPr>
                <w:sz w:val="17"/>
              </w:rPr>
              <w:t>Super Admin</w:t>
            </w:r>
          </w:p>
        </w:tc>
        <w:tc>
          <w:tcPr>
            <w:tcW w:type="dxa" w:w="7200"/>
            <w:tcMar>
              <w:top w:w="95" w:type="dxa"/>
              <w:start w:w="95" w:type="dxa"/>
              <w:bottom w:w="95" w:type="dxa"/>
              <w:end w:w="95" w:type="dxa"/>
            </w:tcMar>
            <w:vAlign w:val="center"/>
          </w:tcPr>
          <w:p>
            <w:pPr>
              <w:spacing w:after="0" w:line="245" w:lineRule="auto"/>
            </w:pPr>
            <w:r>
              <w:rPr>
                <w:sz w:val="17"/>
              </w:rPr>
              <w:t>Manages installation recovery versions diagnostics integrations and protected configuration.</w:t>
            </w:r>
          </w:p>
        </w:tc>
      </w:tr>
      <w:tr>
        <w:tc>
          <w:tcPr>
            <w:tcW w:type="dxa" w:w="2592"/>
            <w:tcMar>
              <w:top w:w="95" w:type="dxa"/>
              <w:start w:w="95" w:type="dxa"/>
              <w:bottom w:w="95" w:type="dxa"/>
              <w:end w:w="95" w:type="dxa"/>
            </w:tcMar>
            <w:vAlign w:val="center"/>
            <w:shd w:fill="EAF4EE"/>
          </w:tcPr>
          <w:p>
            <w:pPr>
              <w:spacing w:after="0" w:line="245" w:lineRule="auto"/>
            </w:pPr>
            <w:r>
              <w:rPr>
                <w:sz w:val="17"/>
              </w:rPr>
              <w:t>Barcode scanner and receipt printer</w:t>
            </w:r>
          </w:p>
        </w:tc>
        <w:tc>
          <w:tcPr>
            <w:tcW w:type="dxa" w:w="7200"/>
            <w:tcMar>
              <w:top w:w="95" w:type="dxa"/>
              <w:start w:w="95" w:type="dxa"/>
              <w:bottom w:w="95" w:type="dxa"/>
              <w:end w:w="95" w:type="dxa"/>
            </w:tcMar>
            <w:vAlign w:val="center"/>
            <w:shd w:fill="EAF4EE"/>
          </w:tcPr>
          <w:p>
            <w:pPr>
              <w:spacing w:after="0" w:line="245" w:lineRule="auto"/>
            </w:pPr>
            <w:r>
              <w:rPr>
                <w:sz w:val="17"/>
              </w:rPr>
              <w:t>Provide keyboard-like barcode input and local printing through the browser or approved print path.</w:t>
            </w:r>
          </w:p>
        </w:tc>
      </w:tr>
      <w:tr>
        <w:tc>
          <w:tcPr>
            <w:tcW w:type="dxa" w:w="2592"/>
            <w:tcMar>
              <w:top w:w="95" w:type="dxa"/>
              <w:start w:w="95" w:type="dxa"/>
              <w:bottom w:w="95" w:type="dxa"/>
              <w:end w:w="95" w:type="dxa"/>
            </w:tcMar>
            <w:vAlign w:val="center"/>
          </w:tcPr>
          <w:p>
            <w:pPr>
              <w:spacing w:after="0" w:line="245" w:lineRule="auto"/>
            </w:pPr>
            <w:r>
              <w:rPr>
                <w:sz w:val="17"/>
              </w:rPr>
              <w:t>Backup destination</w:t>
            </w:r>
          </w:p>
        </w:tc>
        <w:tc>
          <w:tcPr>
            <w:tcW w:type="dxa" w:w="7200"/>
            <w:tcMar>
              <w:top w:w="95" w:type="dxa"/>
              <w:start w:w="95" w:type="dxa"/>
              <w:bottom w:w="95" w:type="dxa"/>
              <w:end w:w="95" w:type="dxa"/>
            </w:tcMar>
            <w:vAlign w:val="center"/>
          </w:tcPr>
          <w:p>
            <w:pPr>
              <w:spacing w:after="0" w:line="245" w:lineRule="auto"/>
            </w:pPr>
            <w:r>
              <w:rPr>
                <w:sz w:val="17"/>
              </w:rPr>
              <w:t>Receives encrypted verified backup copies locally or off site.</w:t>
            </w:r>
          </w:p>
        </w:tc>
      </w:tr>
      <w:tr>
        <w:tc>
          <w:tcPr>
            <w:tcW w:type="dxa" w:w="2592"/>
            <w:tcMar>
              <w:top w:w="95" w:type="dxa"/>
              <w:start w:w="95" w:type="dxa"/>
              <w:bottom w:w="95" w:type="dxa"/>
              <w:end w:w="95" w:type="dxa"/>
            </w:tcMar>
            <w:vAlign w:val="center"/>
            <w:shd w:fill="EAF4EE"/>
          </w:tcPr>
          <w:p>
            <w:pPr>
              <w:spacing w:after="0" w:line="245" w:lineRule="auto"/>
            </w:pPr>
            <w:r>
              <w:rPr>
                <w:sz w:val="17"/>
              </w:rPr>
              <w:t>Future messaging provider</w:t>
            </w:r>
          </w:p>
        </w:tc>
        <w:tc>
          <w:tcPr>
            <w:tcW w:type="dxa" w:w="7200"/>
            <w:tcMar>
              <w:top w:w="95" w:type="dxa"/>
              <w:start w:w="95" w:type="dxa"/>
              <w:bottom w:w="95" w:type="dxa"/>
              <w:end w:w="95" w:type="dxa"/>
            </w:tcMar>
            <w:vAlign w:val="center"/>
            <w:shd w:fill="EAF4EE"/>
          </w:tcPr>
          <w:p>
            <w:pPr>
              <w:spacing w:after="0" w:line="245" w:lineRule="auto"/>
            </w:pPr>
            <w:r>
              <w:rPr>
                <w:sz w:val="17"/>
              </w:rPr>
              <w:t>Delivers approved email SMS or WhatsApp notifications.</w:t>
            </w:r>
          </w:p>
        </w:tc>
      </w:tr>
      <w:tr>
        <w:tc>
          <w:tcPr>
            <w:tcW w:type="dxa" w:w="2592"/>
            <w:tcMar>
              <w:top w:w="95" w:type="dxa"/>
              <w:start w:w="95" w:type="dxa"/>
              <w:bottom w:w="95" w:type="dxa"/>
              <w:end w:w="95" w:type="dxa"/>
            </w:tcMar>
            <w:vAlign w:val="center"/>
          </w:tcPr>
          <w:p>
            <w:pPr>
              <w:spacing w:after="0" w:line="245" w:lineRule="auto"/>
            </w:pPr>
            <w:r>
              <w:rPr>
                <w:sz w:val="17"/>
              </w:rPr>
              <w:t>Future AI service</w:t>
            </w:r>
          </w:p>
        </w:tc>
        <w:tc>
          <w:tcPr>
            <w:tcW w:type="dxa" w:w="7200"/>
            <w:tcMar>
              <w:top w:w="95" w:type="dxa"/>
              <w:start w:w="95" w:type="dxa"/>
              <w:bottom w:w="95" w:type="dxa"/>
              <w:end w:w="95" w:type="dxa"/>
            </w:tcMar>
            <w:vAlign w:val="center"/>
          </w:tcPr>
          <w:p>
            <w:pPr>
              <w:spacing w:after="0" w:line="245" w:lineRule="auto"/>
            </w:pPr>
            <w:r>
              <w:rPr>
                <w:sz w:val="17"/>
              </w:rPr>
              <w:t>Processes authorized voice document and forecasting tasks without owning pharmacy transactions.</w:t>
            </w:r>
          </w:p>
        </w:tc>
      </w:tr>
    </w:tbl>
    <w:p>
      <w:pPr>
        <w:spacing w:after="0"/>
        <w:widowControl/>
      </w:pPr>
    </w:p>
    <w:p>
      <w:pPr>
        <w:pStyle w:val="Heading2"/>
        <w:keepNext/>
        <w:widowControl/>
      </w:pPr>
      <w:r>
        <w:t>System Boundary</w:t>
      </w:r>
    </w:p>
    <w:p>
      <w:pPr>
        <w:widowControl/>
      </w:pPr>
      <w:r>
        <w:t>GreenlifeAI owns pharmacy users, roles, products, batches, purchases, sales, inventory movements, balances, loans, expenses, reports, audit records, backup metadata, and local deployment health. External providers remain outside the trusted transaction boundary. A provider response does not directly alter pharmacy data without Django validation and authorization.</w:t>
      </w:r>
    </w:p>
    <w:p>
      <w:pPr>
        <w:pStyle w:val="Heading2"/>
        <w:keepNext/>
        <w:widowControl/>
      </w:pPr>
      <w:r>
        <w:t>Trust Boundaries</w:t>
      </w:r>
    </w:p>
    <w:p>
      <w:pPr>
        <w:pStyle w:val="ListBullet"/>
        <w:spacing w:after="40"/>
        <w:widowControl/>
      </w:pPr>
      <w:r>
        <w:t>Browser to gateway boundary where sessions input validation CSRF protection and secure transport apply.</w:t>
      </w:r>
    </w:p>
    <w:p>
      <w:pPr>
        <w:pStyle w:val="ListBullet"/>
        <w:spacing w:after="40"/>
        <w:widowControl/>
      </w:pPr>
      <w:r>
        <w:t>Gateway to application boundary where only approved internal routes are exposed.</w:t>
      </w:r>
    </w:p>
    <w:p>
      <w:pPr>
        <w:pStyle w:val="ListBullet"/>
        <w:spacing w:after="40"/>
        <w:widowControl/>
      </w:pPr>
      <w:r>
        <w:t>Django to PostgreSQL boundary where credentials network access transactions and database roles are controlled.</w:t>
      </w:r>
    </w:p>
    <w:p>
      <w:pPr>
        <w:pStyle w:val="ListBullet"/>
        <w:spacing w:after="40"/>
        <w:widowControl/>
      </w:pPr>
      <w:r>
        <w:t>Application to media and backup boundary where file access encryption integrity and retention apply.</w:t>
      </w:r>
    </w:p>
    <w:p>
      <w:pPr>
        <w:pStyle w:val="ListBullet"/>
        <w:spacing w:after="40"/>
        <w:widowControl/>
      </w:pPr>
      <w:r>
        <w:t>Core application to future AI and external-provider boundary where data minimization authentication timeout retry and audit rules apply.</w:t>
      </w:r>
    </w:p>
    <w:p>
      <w:pPr>
        <w:pStyle w:val="Heading1"/>
        <w:keepNext/>
        <w:widowControl/>
      </w:pPr>
      <w:r>
        <w:t>3 Logical Architecture</w:t>
      </w:r>
    </w:p>
    <w:p>
      <w:pPr>
        <w:jc w:val="center"/>
        <w:widowControl/>
      </w:pPr>
      <w:r>
        <w:drawing>
          <wp:inline xmlns:a="http://schemas.openxmlformats.org/drawingml/2006/main" xmlns:pic="http://schemas.openxmlformats.org/drawingml/2006/picture">
            <wp:extent cx="6126480" cy="3343593"/>
            <wp:docPr id="1" name="Picture 1"/>
            <wp:cNvGraphicFramePr>
              <a:graphicFrameLocks noChangeAspect="1"/>
            </wp:cNvGraphicFramePr>
            <a:graphic>
              <a:graphicData uri="http://schemas.openxmlformats.org/drawingml/2006/picture">
                <pic:pic>
                  <pic:nvPicPr>
                    <pic:cNvPr id="0" name="greenlifeai_architecture.png"/>
                    <pic:cNvPicPr/>
                  </pic:nvPicPr>
                  <pic:blipFill>
                    <a:blip r:embed="rId9"/>
                    <a:stretch>
                      <a:fillRect/>
                    </a:stretch>
                  </pic:blipFill>
                  <pic:spPr>
                    <a:xfrm>
                      <a:off x="0" y="0"/>
                      <a:ext cx="6126480" cy="3343593"/>
                    </a:xfrm>
                    <a:prstGeom prst="rect"/>
                  </pic:spPr>
                </pic:pic>
              </a:graphicData>
            </a:graphic>
          </wp:inline>
        </w:drawing>
      </w:r>
    </w:p>
    <w:p>
      <w:pPr>
        <w:jc w:val="center"/>
        <w:widowControl/>
      </w:pPr>
      <w:r>
        <w:rPr>
          <w:i/>
          <w:sz w:val="18"/>
        </w:rPr>
        <w:t>Figure 1  GreenlifeAI logical architecture</w:t>
      </w:r>
    </w:p>
    <w:p>
      <w:pPr>
        <w:pStyle w:val="Heading2"/>
        <w:keepNext/>
        <w:widowControl/>
      </w:pPr>
      <w:r>
        <w:t>Component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val="true"/>
        </w:trPr>
        <w:tc>
          <w:tcPr>
            <w:tcW w:type="dxa" w:w="1872"/>
            <w:shd w:fill="0F5132"/>
            <w:tcMar>
              <w:top w:w="95" w:type="dxa"/>
              <w:start w:w="95" w:type="dxa"/>
              <w:bottom w:w="95" w:type="dxa"/>
              <w:end w:w="95" w:type="dxa"/>
            </w:tcMar>
            <w:vAlign w:val="center"/>
          </w:tcPr>
          <w:p>
            <w:pPr>
              <w:spacing w:after="0"/>
            </w:pPr>
            <w:r>
              <w:rPr>
                <w:b/>
                <w:color w:val="FFFFFF"/>
                <w:sz w:val="17"/>
              </w:rPr>
              <w:t>Component</w:t>
            </w:r>
          </w:p>
        </w:tc>
        <w:tc>
          <w:tcPr>
            <w:tcW w:type="dxa" w:w="5256"/>
            <w:shd w:fill="0F5132"/>
            <w:tcMar>
              <w:top w:w="95" w:type="dxa"/>
              <w:start w:w="95" w:type="dxa"/>
              <w:bottom w:w="95" w:type="dxa"/>
              <w:end w:w="95" w:type="dxa"/>
            </w:tcMar>
            <w:vAlign w:val="center"/>
          </w:tcPr>
          <w:p>
            <w:pPr>
              <w:spacing w:after="0"/>
            </w:pPr>
            <w:r>
              <w:rPr>
                <w:b/>
                <w:color w:val="FFFFFF"/>
                <w:sz w:val="17"/>
              </w:rPr>
              <w:t>Responsibility</w:t>
            </w:r>
          </w:p>
        </w:tc>
        <w:tc>
          <w:tcPr>
            <w:tcW w:type="dxa" w:w="2664"/>
            <w:shd w:fill="0F5132"/>
            <w:tcMar>
              <w:top w:w="95" w:type="dxa"/>
              <w:start w:w="95" w:type="dxa"/>
              <w:bottom w:w="95" w:type="dxa"/>
              <w:end w:w="95" w:type="dxa"/>
            </w:tcMar>
            <w:vAlign w:val="center"/>
          </w:tcPr>
          <w:p>
            <w:pPr>
              <w:spacing w:after="0"/>
            </w:pPr>
            <w:r>
              <w:rPr>
                <w:b/>
                <w:color w:val="FFFFFF"/>
                <w:sz w:val="17"/>
              </w:rPr>
              <w:t>Must not own</w:t>
            </w:r>
          </w:p>
        </w:tc>
      </w:tr>
      <w:tr>
        <w:tc>
          <w:tcPr>
            <w:tcW w:type="dxa" w:w="1872"/>
            <w:tcMar>
              <w:top w:w="95" w:type="dxa"/>
              <w:start w:w="95" w:type="dxa"/>
              <w:bottom w:w="95" w:type="dxa"/>
              <w:end w:w="95" w:type="dxa"/>
            </w:tcMar>
            <w:vAlign w:val="center"/>
          </w:tcPr>
          <w:p>
            <w:pPr>
              <w:spacing w:after="0" w:line="245" w:lineRule="auto"/>
            </w:pPr>
            <w:r>
              <w:rPr>
                <w:sz w:val="17"/>
              </w:rPr>
              <w:t>React application</w:t>
            </w:r>
          </w:p>
        </w:tc>
        <w:tc>
          <w:tcPr>
            <w:tcW w:type="dxa" w:w="5256"/>
            <w:tcMar>
              <w:top w:w="95" w:type="dxa"/>
              <w:start w:w="95" w:type="dxa"/>
              <w:bottom w:w="95" w:type="dxa"/>
              <w:end w:w="95" w:type="dxa"/>
            </w:tcMar>
            <w:vAlign w:val="center"/>
          </w:tcPr>
          <w:p>
            <w:pPr>
              <w:spacing w:after="0" w:line="245" w:lineRule="auto"/>
            </w:pPr>
            <w:r>
              <w:rPr>
                <w:sz w:val="17"/>
              </w:rPr>
              <w:t>Navigation forms validation presentation barcode workflows session-aware user experience and permission-informed controls.</w:t>
            </w:r>
          </w:p>
        </w:tc>
        <w:tc>
          <w:tcPr>
            <w:tcW w:type="dxa" w:w="2664"/>
            <w:tcMar>
              <w:top w:w="95" w:type="dxa"/>
              <w:start w:w="95" w:type="dxa"/>
              <w:bottom w:w="95" w:type="dxa"/>
              <w:end w:w="95" w:type="dxa"/>
            </w:tcMar>
            <w:vAlign w:val="center"/>
          </w:tcPr>
          <w:p>
            <w:pPr>
              <w:spacing w:after="0" w:line="245" w:lineRule="auto"/>
            </w:pPr>
            <w:r>
              <w:rPr>
                <w:sz w:val="17"/>
              </w:rPr>
              <w:t>Final authorization business truth or direct database access.</w:t>
            </w:r>
          </w:p>
        </w:tc>
      </w:tr>
      <w:tr>
        <w:tc>
          <w:tcPr>
            <w:tcW w:type="dxa" w:w="1872"/>
            <w:tcMar>
              <w:top w:w="95" w:type="dxa"/>
              <w:start w:w="95" w:type="dxa"/>
              <w:bottom w:w="95" w:type="dxa"/>
              <w:end w:w="95" w:type="dxa"/>
            </w:tcMar>
            <w:vAlign w:val="center"/>
            <w:shd w:fill="EAF4EE"/>
          </w:tcPr>
          <w:p>
            <w:pPr>
              <w:spacing w:after="0" w:line="245" w:lineRule="auto"/>
            </w:pPr>
            <w:r>
              <w:rPr>
                <w:sz w:val="17"/>
              </w:rPr>
              <w:t>Nginx or Caddy gateway</w:t>
            </w:r>
          </w:p>
        </w:tc>
        <w:tc>
          <w:tcPr>
            <w:tcW w:type="dxa" w:w="5256"/>
            <w:tcMar>
              <w:top w:w="95" w:type="dxa"/>
              <w:start w:w="95" w:type="dxa"/>
              <w:bottom w:w="95" w:type="dxa"/>
              <w:end w:w="95" w:type="dxa"/>
            </w:tcMar>
            <w:vAlign w:val="center"/>
            <w:shd w:fill="EAF4EE"/>
          </w:tcPr>
          <w:p>
            <w:pPr>
              <w:spacing w:after="0" w:line="245" w:lineRule="auto"/>
            </w:pPr>
            <w:r>
              <w:rPr>
                <w:sz w:val="17"/>
              </w:rPr>
              <w:t>Serve frontend route API traffic apply request limits and terminate TLS where configured.</w:t>
            </w:r>
          </w:p>
        </w:tc>
        <w:tc>
          <w:tcPr>
            <w:tcW w:type="dxa" w:w="2664"/>
            <w:tcMar>
              <w:top w:w="95" w:type="dxa"/>
              <w:start w:w="95" w:type="dxa"/>
              <w:bottom w:w="95" w:type="dxa"/>
              <w:end w:w="95" w:type="dxa"/>
            </w:tcMar>
            <w:vAlign w:val="center"/>
            <w:shd w:fill="EAF4EE"/>
          </w:tcPr>
          <w:p>
            <w:pPr>
              <w:spacing w:after="0" w:line="245" w:lineRule="auto"/>
            </w:pPr>
            <w:r>
              <w:rPr>
                <w:sz w:val="17"/>
              </w:rPr>
              <w:t>Business rules or pharmacy data.</w:t>
            </w:r>
          </w:p>
        </w:tc>
      </w:tr>
      <w:tr>
        <w:tc>
          <w:tcPr>
            <w:tcW w:type="dxa" w:w="1872"/>
            <w:tcMar>
              <w:top w:w="95" w:type="dxa"/>
              <w:start w:w="95" w:type="dxa"/>
              <w:bottom w:w="95" w:type="dxa"/>
              <w:end w:w="95" w:type="dxa"/>
            </w:tcMar>
            <w:vAlign w:val="center"/>
          </w:tcPr>
          <w:p>
            <w:pPr>
              <w:spacing w:after="0" w:line="245" w:lineRule="auto"/>
            </w:pPr>
            <w:r>
              <w:rPr>
                <w:sz w:val="17"/>
              </w:rPr>
              <w:t>Django REST API</w:t>
            </w:r>
          </w:p>
        </w:tc>
        <w:tc>
          <w:tcPr>
            <w:tcW w:type="dxa" w:w="5256"/>
            <w:tcMar>
              <w:top w:w="95" w:type="dxa"/>
              <w:start w:w="95" w:type="dxa"/>
              <w:bottom w:w="95" w:type="dxa"/>
              <w:end w:w="95" w:type="dxa"/>
            </w:tcMar>
            <w:vAlign w:val="center"/>
          </w:tcPr>
          <w:p>
            <w:pPr>
              <w:spacing w:after="0" w:line="245" w:lineRule="auto"/>
            </w:pPr>
            <w:r>
              <w:rPr>
                <w:sz w:val="17"/>
              </w:rPr>
              <w:t>Authentication authorization business rules transactions reports audit and integration orchestration.</w:t>
            </w:r>
          </w:p>
        </w:tc>
        <w:tc>
          <w:tcPr>
            <w:tcW w:type="dxa" w:w="2664"/>
            <w:tcMar>
              <w:top w:w="95" w:type="dxa"/>
              <w:start w:w="95" w:type="dxa"/>
              <w:bottom w:w="95" w:type="dxa"/>
              <w:end w:w="95" w:type="dxa"/>
            </w:tcMar>
            <w:vAlign w:val="center"/>
          </w:tcPr>
          <w:p>
            <w:pPr>
              <w:spacing w:after="0" w:line="245" w:lineRule="auto"/>
            </w:pPr>
            <w:r>
              <w:rPr>
                <w:sz w:val="17"/>
              </w:rPr>
              <w:t>Long-running AI computation inside request threads.</w:t>
            </w:r>
          </w:p>
        </w:tc>
      </w:tr>
      <w:tr>
        <w:tc>
          <w:tcPr>
            <w:tcW w:type="dxa" w:w="1872"/>
            <w:tcMar>
              <w:top w:w="95" w:type="dxa"/>
              <w:start w:w="95" w:type="dxa"/>
              <w:bottom w:w="95" w:type="dxa"/>
              <w:end w:w="95" w:type="dxa"/>
            </w:tcMar>
            <w:vAlign w:val="center"/>
            <w:shd w:fill="EAF4EE"/>
          </w:tcPr>
          <w:p>
            <w:pPr>
              <w:spacing w:after="0" w:line="245" w:lineRule="auto"/>
            </w:pPr>
            <w:r>
              <w:rPr>
                <w:sz w:val="17"/>
              </w:rPr>
              <w:t>PostgreSQL</w:t>
            </w:r>
          </w:p>
        </w:tc>
        <w:tc>
          <w:tcPr>
            <w:tcW w:type="dxa" w:w="5256"/>
            <w:tcMar>
              <w:top w:w="95" w:type="dxa"/>
              <w:start w:w="95" w:type="dxa"/>
              <w:bottom w:w="95" w:type="dxa"/>
              <w:end w:w="95" w:type="dxa"/>
            </w:tcMar>
            <w:vAlign w:val="center"/>
            <w:shd w:fill="EAF4EE"/>
          </w:tcPr>
          <w:p>
            <w:pPr>
              <w:spacing w:after="0" w:line="245" w:lineRule="auto"/>
            </w:pPr>
            <w:r>
              <w:rPr>
                <w:sz w:val="17"/>
              </w:rPr>
              <w:t>Durable transactional state constraints indexes reporting data and migration history.</w:t>
            </w:r>
          </w:p>
        </w:tc>
        <w:tc>
          <w:tcPr>
            <w:tcW w:type="dxa" w:w="2664"/>
            <w:tcMar>
              <w:top w:w="95" w:type="dxa"/>
              <w:start w:w="95" w:type="dxa"/>
              <w:bottom w:w="95" w:type="dxa"/>
              <w:end w:w="95" w:type="dxa"/>
            </w:tcMar>
            <w:vAlign w:val="center"/>
            <w:shd w:fill="EAF4EE"/>
          </w:tcPr>
          <w:p>
            <w:pPr>
              <w:spacing w:after="0" w:line="245" w:lineRule="auto"/>
            </w:pPr>
            <w:r>
              <w:rPr>
                <w:sz w:val="17"/>
              </w:rPr>
              <w:t>Uploaded file bodies or external service secrets in ordinary tables.</w:t>
            </w:r>
          </w:p>
        </w:tc>
      </w:tr>
      <w:tr>
        <w:tc>
          <w:tcPr>
            <w:tcW w:type="dxa" w:w="1872"/>
            <w:tcMar>
              <w:top w:w="95" w:type="dxa"/>
              <w:start w:w="95" w:type="dxa"/>
              <w:bottom w:w="95" w:type="dxa"/>
              <w:end w:w="95" w:type="dxa"/>
            </w:tcMar>
            <w:vAlign w:val="center"/>
          </w:tcPr>
          <w:p>
            <w:pPr>
              <w:spacing w:after="0" w:line="245" w:lineRule="auto"/>
            </w:pPr>
            <w:r>
              <w:rPr>
                <w:sz w:val="17"/>
              </w:rPr>
              <w:t>Media storage</w:t>
            </w:r>
          </w:p>
        </w:tc>
        <w:tc>
          <w:tcPr>
            <w:tcW w:type="dxa" w:w="5256"/>
            <w:tcMar>
              <w:top w:w="95" w:type="dxa"/>
              <w:start w:w="95" w:type="dxa"/>
              <w:bottom w:w="95" w:type="dxa"/>
              <w:end w:w="95" w:type="dxa"/>
            </w:tcMar>
            <w:vAlign w:val="center"/>
          </w:tcPr>
          <w:p>
            <w:pPr>
              <w:spacing w:after="0" w:line="245" w:lineRule="auto"/>
            </w:pPr>
            <w:r>
              <w:rPr>
                <w:sz w:val="17"/>
              </w:rPr>
              <w:t>Prescription invoice receipt and approved attachment files.</w:t>
            </w:r>
          </w:p>
        </w:tc>
        <w:tc>
          <w:tcPr>
            <w:tcW w:type="dxa" w:w="2664"/>
            <w:tcMar>
              <w:top w:w="95" w:type="dxa"/>
              <w:start w:w="95" w:type="dxa"/>
              <w:bottom w:w="95" w:type="dxa"/>
              <w:end w:w="95" w:type="dxa"/>
            </w:tcMar>
            <w:vAlign w:val="center"/>
          </w:tcPr>
          <w:p>
            <w:pPr>
              <w:spacing w:after="0" w:line="245" w:lineRule="auto"/>
            </w:pPr>
            <w:r>
              <w:rPr>
                <w:sz w:val="17"/>
              </w:rPr>
              <w:t>Uncontrolled public file access.</w:t>
            </w:r>
          </w:p>
        </w:tc>
      </w:tr>
      <w:tr>
        <w:tc>
          <w:tcPr>
            <w:tcW w:type="dxa" w:w="1872"/>
            <w:tcMar>
              <w:top w:w="95" w:type="dxa"/>
              <w:start w:w="95" w:type="dxa"/>
              <w:bottom w:w="95" w:type="dxa"/>
              <w:end w:w="95" w:type="dxa"/>
            </w:tcMar>
            <w:vAlign w:val="center"/>
            <w:shd w:fill="EAF4EE"/>
          </w:tcPr>
          <w:p>
            <w:pPr>
              <w:spacing w:after="0" w:line="245" w:lineRule="auto"/>
            </w:pPr>
            <w:r>
              <w:rPr>
                <w:sz w:val="17"/>
              </w:rPr>
              <w:t>Redis and workers</w:t>
            </w:r>
          </w:p>
        </w:tc>
        <w:tc>
          <w:tcPr>
            <w:tcW w:type="dxa" w:w="5256"/>
            <w:tcMar>
              <w:top w:w="95" w:type="dxa"/>
              <w:start w:w="95" w:type="dxa"/>
              <w:bottom w:w="95" w:type="dxa"/>
              <w:end w:w="95" w:type="dxa"/>
            </w:tcMar>
            <w:vAlign w:val="center"/>
            <w:shd w:fill="EAF4EE"/>
          </w:tcPr>
          <w:p>
            <w:pPr>
              <w:spacing w:after="0" w:line="245" w:lineRule="auto"/>
            </w:pPr>
            <w:r>
              <w:rPr>
                <w:sz w:val="17"/>
              </w:rPr>
              <w:t>Queued imports exports notifications reports backups and later AI orchestration.</w:t>
            </w:r>
          </w:p>
        </w:tc>
        <w:tc>
          <w:tcPr>
            <w:tcW w:type="dxa" w:w="2664"/>
            <w:tcMar>
              <w:top w:w="95" w:type="dxa"/>
              <w:start w:w="95" w:type="dxa"/>
              <w:bottom w:w="95" w:type="dxa"/>
              <w:end w:w="95" w:type="dxa"/>
            </w:tcMar>
            <w:vAlign w:val="center"/>
            <w:shd w:fill="EAF4EE"/>
          </w:tcPr>
          <w:p>
            <w:pPr>
              <w:spacing w:after="0" w:line="245" w:lineRule="auto"/>
            </w:pPr>
            <w:r>
              <w:rPr>
                <w:sz w:val="17"/>
              </w:rPr>
              <w:t>Authoritative pharmacy transaction state.</w:t>
            </w:r>
          </w:p>
        </w:tc>
      </w:tr>
      <w:tr>
        <w:tc>
          <w:tcPr>
            <w:tcW w:type="dxa" w:w="1872"/>
            <w:tcMar>
              <w:top w:w="95" w:type="dxa"/>
              <w:start w:w="95" w:type="dxa"/>
              <w:bottom w:w="95" w:type="dxa"/>
              <w:end w:w="95" w:type="dxa"/>
            </w:tcMar>
            <w:vAlign w:val="center"/>
          </w:tcPr>
          <w:p>
            <w:pPr>
              <w:spacing w:after="0" w:line="245" w:lineRule="auto"/>
            </w:pPr>
            <w:r>
              <w:rPr>
                <w:sz w:val="17"/>
              </w:rPr>
              <w:t>Launcher</w:t>
            </w:r>
          </w:p>
        </w:tc>
        <w:tc>
          <w:tcPr>
            <w:tcW w:type="dxa" w:w="5256"/>
            <w:tcMar>
              <w:top w:w="95" w:type="dxa"/>
              <w:start w:w="95" w:type="dxa"/>
              <w:bottom w:w="95" w:type="dxa"/>
              <w:end w:w="95" w:type="dxa"/>
            </w:tcMar>
            <w:vAlign w:val="center"/>
          </w:tcPr>
          <w:p>
            <w:pPr>
              <w:spacing w:after="0" w:line="245" w:lineRule="auto"/>
            </w:pPr>
            <w:r>
              <w:rPr>
                <w:sz w:val="17"/>
              </w:rPr>
              <w:t>Local readiness checks safe startup progress diagnostics and browser launch.</w:t>
            </w:r>
          </w:p>
        </w:tc>
        <w:tc>
          <w:tcPr>
            <w:tcW w:type="dxa" w:w="2664"/>
            <w:tcMar>
              <w:top w:w="95" w:type="dxa"/>
              <w:start w:w="95" w:type="dxa"/>
              <w:bottom w:w="95" w:type="dxa"/>
              <w:end w:w="95" w:type="dxa"/>
            </w:tcMar>
            <w:vAlign w:val="center"/>
          </w:tcPr>
          <w:p>
            <w:pPr>
              <w:spacing w:after="0" w:line="245" w:lineRule="auto"/>
            </w:pPr>
            <w:r>
              <w:rPr>
                <w:sz w:val="17"/>
              </w:rPr>
              <w:t>Automatic database recreation or destructive recovery.</w:t>
            </w:r>
          </w:p>
        </w:tc>
      </w:tr>
      <w:tr>
        <w:tc>
          <w:tcPr>
            <w:tcW w:type="dxa" w:w="1872"/>
            <w:tcMar>
              <w:top w:w="95" w:type="dxa"/>
              <w:start w:w="95" w:type="dxa"/>
              <w:bottom w:w="95" w:type="dxa"/>
              <w:end w:w="95" w:type="dxa"/>
            </w:tcMar>
            <w:vAlign w:val="center"/>
            <w:shd w:fill="EAF4EE"/>
          </w:tcPr>
          <w:p>
            <w:pPr>
              <w:spacing w:after="0" w:line="245" w:lineRule="auto"/>
            </w:pPr>
            <w:r>
              <w:rPr>
                <w:sz w:val="17"/>
              </w:rPr>
              <w:t>FastAPI AI service</w:t>
            </w:r>
          </w:p>
        </w:tc>
        <w:tc>
          <w:tcPr>
            <w:tcW w:type="dxa" w:w="5256"/>
            <w:tcMar>
              <w:top w:w="95" w:type="dxa"/>
              <w:start w:w="95" w:type="dxa"/>
              <w:bottom w:w="95" w:type="dxa"/>
              <w:end w:w="95" w:type="dxa"/>
            </w:tcMar>
            <w:vAlign w:val="center"/>
            <w:shd w:fill="EAF4EE"/>
          </w:tcPr>
          <w:p>
            <w:pPr>
              <w:spacing w:after="0" w:line="245" w:lineRule="auto"/>
            </w:pPr>
            <w:r>
              <w:rPr>
                <w:sz w:val="17"/>
              </w:rPr>
              <w:t>Later speech extraction prediction and language processing.</w:t>
            </w:r>
          </w:p>
        </w:tc>
        <w:tc>
          <w:tcPr>
            <w:tcW w:type="dxa" w:w="2664"/>
            <w:tcMar>
              <w:top w:w="95" w:type="dxa"/>
              <w:start w:w="95" w:type="dxa"/>
              <w:bottom w:w="95" w:type="dxa"/>
              <w:end w:w="95" w:type="dxa"/>
            </w:tcMar>
            <w:vAlign w:val="center"/>
            <w:shd w:fill="EAF4EE"/>
          </w:tcPr>
          <w:p>
            <w:pPr>
              <w:spacing w:after="0" w:line="245" w:lineRule="auto"/>
            </w:pPr>
            <w:r>
              <w:rPr>
                <w:sz w:val="17"/>
              </w:rPr>
              <w:t>Direct writes to core inventory finance identity or audit records.</w:t>
            </w:r>
          </w:p>
        </w:tc>
      </w:tr>
    </w:tbl>
    <w:p>
      <w:pPr>
        <w:spacing w:after="0"/>
        <w:widowControl/>
      </w:pPr>
    </w:p>
    <w:p>
      <w:pPr>
        <w:pStyle w:val="Heading2"/>
        <w:keepNext/>
        <w:widowControl/>
      </w:pPr>
      <w:r>
        <w:t>Transaction Boundary</w:t>
      </w:r>
    </w:p>
    <w:p>
      <w:pPr>
        <w:widowControl/>
      </w:pPr>
      <w:r>
        <w:t>Django and PostgreSQL form the authoritative transaction boundary. A sale must commit its header, lines, payments, batch deductions, stock movements, receipt reference, and audit event together. If any required write fails, the transaction rolls back. The same rule applies to purchase receiving, refunds, approved adjustments, disposals, collections, supplier payments, and loan repayments.</w:t>
      </w:r>
    </w:p>
    <w:p>
      <w:pPr>
        <w:pStyle w:val="Heading1"/>
        <w:keepNext/>
        <w:widowControl/>
      </w:pPr>
      <w:r>
        <w:t>4 Backend Architecture</w:t>
      </w:r>
    </w:p>
    <w:p>
      <w:pPr>
        <w:pStyle w:val="Heading2"/>
        <w:keepNext/>
        <w:widowControl/>
      </w:pPr>
      <w:r>
        <w:t>Architecture Pattern</w:t>
      </w:r>
    </w:p>
    <w:p>
      <w:pPr>
        <w:widowControl/>
      </w:pPr>
      <w:r>
        <w:t>The backend will be a modular monolith. Each domain module owns its models, commands, queries, API serializers, permissions, events, tests, and migrations. Modules share one Django deployment and one PostgreSQL database so cross-domain operations can use normal database transactions.</w:t>
      </w:r>
    </w:p>
    <w:p>
      <w:pPr>
        <w:pStyle w:val="Heading2"/>
        <w:keepNext/>
        <w:widowControl/>
      </w:pPr>
      <w:r>
        <w:t>Django Modules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val="true"/>
        </w:trPr>
        <w:tc>
          <w:tcPr>
            <w:tcW w:type="dxa" w:w="1800"/>
            <w:shd w:fill="0F5132"/>
            <w:tcMar>
              <w:top w:w="95" w:type="dxa"/>
              <w:start w:w="95" w:type="dxa"/>
              <w:bottom w:w="95" w:type="dxa"/>
              <w:end w:w="95" w:type="dxa"/>
            </w:tcMar>
            <w:vAlign w:val="center"/>
          </w:tcPr>
          <w:p>
            <w:pPr>
              <w:spacing w:after="0"/>
            </w:pPr>
            <w:r>
              <w:rPr>
                <w:b/>
                <w:color w:val="FFFFFF"/>
                <w:sz w:val="16"/>
              </w:rPr>
              <w:t>Module</w:t>
            </w:r>
          </w:p>
        </w:tc>
        <w:tc>
          <w:tcPr>
            <w:tcW w:type="dxa" w:w="5112"/>
            <w:shd w:fill="0F5132"/>
            <w:tcMar>
              <w:top w:w="95" w:type="dxa"/>
              <w:start w:w="95" w:type="dxa"/>
              <w:bottom w:w="95" w:type="dxa"/>
              <w:end w:w="95" w:type="dxa"/>
            </w:tcMar>
            <w:vAlign w:val="center"/>
          </w:tcPr>
          <w:p>
            <w:pPr>
              <w:spacing w:after="0"/>
            </w:pPr>
            <w:r>
              <w:rPr>
                <w:b/>
                <w:color w:val="FFFFFF"/>
                <w:sz w:val="16"/>
              </w:rPr>
              <w:t>Primary responsibility</w:t>
            </w:r>
          </w:p>
        </w:tc>
        <w:tc>
          <w:tcPr>
            <w:tcW w:type="dxa" w:w="2880"/>
            <w:shd w:fill="0F5132"/>
            <w:tcMar>
              <w:top w:w="95" w:type="dxa"/>
              <w:start w:w="95" w:type="dxa"/>
              <w:bottom w:w="95" w:type="dxa"/>
              <w:end w:w="95" w:type="dxa"/>
            </w:tcMar>
            <w:vAlign w:val="center"/>
          </w:tcPr>
          <w:p>
            <w:pPr>
              <w:spacing w:after="0"/>
            </w:pPr>
            <w:r>
              <w:rPr>
                <w:b/>
                <w:color w:val="FFFFFF"/>
                <w:sz w:val="16"/>
              </w:rPr>
              <w:t>Key dependencies</w:t>
            </w:r>
          </w:p>
        </w:tc>
      </w:tr>
      <w:tr>
        <w:tc>
          <w:tcPr>
            <w:tcW w:type="dxa" w:w="1800"/>
            <w:tcMar>
              <w:top w:w="95" w:type="dxa"/>
              <w:start w:w="95" w:type="dxa"/>
              <w:bottom w:w="95" w:type="dxa"/>
              <w:end w:w="95" w:type="dxa"/>
            </w:tcMar>
            <w:vAlign w:val="center"/>
          </w:tcPr>
          <w:p>
            <w:pPr>
              <w:spacing w:after="0" w:line="245" w:lineRule="auto"/>
            </w:pPr>
            <w:r>
              <w:rPr>
                <w:sz w:val="16"/>
              </w:rPr>
              <w:t>core</w:t>
            </w:r>
          </w:p>
        </w:tc>
        <w:tc>
          <w:tcPr>
            <w:tcW w:type="dxa" w:w="5112"/>
            <w:tcMar>
              <w:top w:w="95" w:type="dxa"/>
              <w:start w:w="95" w:type="dxa"/>
              <w:bottom w:w="95" w:type="dxa"/>
              <w:end w:w="95" w:type="dxa"/>
            </w:tcMar>
            <w:vAlign w:val="center"/>
          </w:tcPr>
          <w:p>
            <w:pPr>
              <w:spacing w:after="0" w:line="245" w:lineRule="auto"/>
            </w:pPr>
            <w:r>
              <w:rPr>
                <w:sz w:val="16"/>
              </w:rPr>
              <w:t>Organization branch installation configuration numbering time zone and shared primitives.</w:t>
            </w:r>
          </w:p>
        </w:tc>
        <w:tc>
          <w:tcPr>
            <w:tcW w:type="dxa" w:w="2880"/>
            <w:tcMar>
              <w:top w:w="95" w:type="dxa"/>
              <w:start w:w="95" w:type="dxa"/>
              <w:bottom w:w="95" w:type="dxa"/>
              <w:end w:w="95" w:type="dxa"/>
            </w:tcMar>
            <w:vAlign w:val="center"/>
          </w:tcPr>
          <w:p>
            <w:pPr>
              <w:spacing w:after="0" w:line="245" w:lineRule="auto"/>
            </w:pPr>
            <w:r>
              <w:rPr>
                <w:sz w:val="16"/>
              </w:rPr>
              <w:t>None beyond framework services.</w:t>
            </w:r>
          </w:p>
        </w:tc>
      </w:tr>
      <w:tr>
        <w:tc>
          <w:tcPr>
            <w:tcW w:type="dxa" w:w="1800"/>
            <w:tcMar>
              <w:top w:w="95" w:type="dxa"/>
              <w:start w:w="95" w:type="dxa"/>
              <w:bottom w:w="95" w:type="dxa"/>
              <w:end w:w="95" w:type="dxa"/>
            </w:tcMar>
            <w:vAlign w:val="center"/>
            <w:shd w:fill="EAF4EE"/>
          </w:tcPr>
          <w:p>
            <w:pPr>
              <w:spacing w:after="0" w:line="245" w:lineRule="auto"/>
            </w:pPr>
            <w:r>
              <w:rPr>
                <w:sz w:val="16"/>
              </w:rPr>
              <w:t>accounts</w:t>
            </w:r>
          </w:p>
        </w:tc>
        <w:tc>
          <w:tcPr>
            <w:tcW w:type="dxa" w:w="5112"/>
            <w:tcMar>
              <w:top w:w="95" w:type="dxa"/>
              <w:start w:w="95" w:type="dxa"/>
              <w:bottom w:w="95" w:type="dxa"/>
              <w:end w:w="95" w:type="dxa"/>
            </w:tcMar>
            <w:vAlign w:val="center"/>
            <w:shd w:fill="EAF4EE"/>
          </w:tcPr>
          <w:p>
            <w:pPr>
              <w:spacing w:after="0" w:line="245" w:lineRule="auto"/>
            </w:pPr>
            <w:r>
              <w:rPr>
                <w:sz w:val="16"/>
              </w:rPr>
              <w:t>Users roles permissions sessions approval limits and security activity.</w:t>
            </w:r>
          </w:p>
        </w:tc>
        <w:tc>
          <w:tcPr>
            <w:tcW w:type="dxa" w:w="2880"/>
            <w:tcMar>
              <w:top w:w="95" w:type="dxa"/>
              <w:start w:w="95" w:type="dxa"/>
              <w:bottom w:w="95" w:type="dxa"/>
              <w:end w:w="95" w:type="dxa"/>
            </w:tcMar>
            <w:vAlign w:val="center"/>
            <w:shd w:fill="EAF4EE"/>
          </w:tcPr>
          <w:p>
            <w:pPr>
              <w:spacing w:after="0" w:line="245" w:lineRule="auto"/>
            </w:pPr>
            <w:r>
              <w:rPr>
                <w:sz w:val="16"/>
              </w:rPr>
              <w:t>Core and audit.</w:t>
            </w:r>
          </w:p>
        </w:tc>
      </w:tr>
      <w:tr>
        <w:tc>
          <w:tcPr>
            <w:tcW w:type="dxa" w:w="1800"/>
            <w:tcMar>
              <w:top w:w="95" w:type="dxa"/>
              <w:start w:w="95" w:type="dxa"/>
              <w:bottom w:w="95" w:type="dxa"/>
              <w:end w:w="95" w:type="dxa"/>
            </w:tcMar>
            <w:vAlign w:val="center"/>
          </w:tcPr>
          <w:p>
            <w:pPr>
              <w:spacing w:after="0" w:line="245" w:lineRule="auto"/>
            </w:pPr>
            <w:r>
              <w:rPr>
                <w:sz w:val="16"/>
              </w:rPr>
              <w:t>catalogue</w:t>
            </w:r>
          </w:p>
        </w:tc>
        <w:tc>
          <w:tcPr>
            <w:tcW w:type="dxa" w:w="5112"/>
            <w:tcMar>
              <w:top w:w="95" w:type="dxa"/>
              <w:start w:w="95" w:type="dxa"/>
              <w:bottom w:w="95" w:type="dxa"/>
              <w:end w:w="95" w:type="dxa"/>
            </w:tcMar>
            <w:vAlign w:val="center"/>
          </w:tcPr>
          <w:p>
            <w:pPr>
              <w:spacing w:after="0" w:line="245" w:lineRule="auto"/>
            </w:pPr>
            <w:r>
              <w:rPr>
                <w:sz w:val="16"/>
              </w:rPr>
              <w:t>Products categories manufacturers units conversions prices and supplier links.</w:t>
            </w:r>
          </w:p>
        </w:tc>
        <w:tc>
          <w:tcPr>
            <w:tcW w:type="dxa" w:w="2880"/>
            <w:tcMar>
              <w:top w:w="95" w:type="dxa"/>
              <w:start w:w="95" w:type="dxa"/>
              <w:bottom w:w="95" w:type="dxa"/>
              <w:end w:w="95" w:type="dxa"/>
            </w:tcMar>
            <w:vAlign w:val="center"/>
          </w:tcPr>
          <w:p>
            <w:pPr>
              <w:spacing w:after="0" w:line="245" w:lineRule="auto"/>
            </w:pPr>
            <w:r>
              <w:rPr>
                <w:sz w:val="16"/>
              </w:rPr>
              <w:t>Core accounts and audit.</w:t>
            </w:r>
          </w:p>
        </w:tc>
      </w:tr>
      <w:tr>
        <w:tc>
          <w:tcPr>
            <w:tcW w:type="dxa" w:w="1800"/>
            <w:tcMar>
              <w:top w:w="95" w:type="dxa"/>
              <w:start w:w="95" w:type="dxa"/>
              <w:bottom w:w="95" w:type="dxa"/>
              <w:end w:w="95" w:type="dxa"/>
            </w:tcMar>
            <w:vAlign w:val="center"/>
            <w:shd w:fill="EAF4EE"/>
          </w:tcPr>
          <w:p>
            <w:pPr>
              <w:spacing w:after="0" w:line="245" w:lineRule="auto"/>
            </w:pPr>
            <w:r>
              <w:rPr>
                <w:sz w:val="16"/>
              </w:rPr>
              <w:t>purchasing</w:t>
            </w:r>
          </w:p>
        </w:tc>
        <w:tc>
          <w:tcPr>
            <w:tcW w:type="dxa" w:w="5112"/>
            <w:tcMar>
              <w:top w:w="95" w:type="dxa"/>
              <w:start w:w="95" w:type="dxa"/>
              <w:bottom w:w="95" w:type="dxa"/>
              <w:end w:w="95" w:type="dxa"/>
            </w:tcMar>
            <w:vAlign w:val="center"/>
            <w:shd w:fill="EAF4EE"/>
          </w:tcPr>
          <w:p>
            <w:pPr>
              <w:spacing w:after="0" w:line="245" w:lineRule="auto"/>
            </w:pPr>
            <w:r>
              <w:rPr>
                <w:sz w:val="16"/>
              </w:rPr>
              <w:t>Requests orders goods receipts invoices supplier payments returns and payables.</w:t>
            </w:r>
          </w:p>
        </w:tc>
        <w:tc>
          <w:tcPr>
            <w:tcW w:type="dxa" w:w="2880"/>
            <w:tcMar>
              <w:top w:w="95" w:type="dxa"/>
              <w:start w:w="95" w:type="dxa"/>
              <w:bottom w:w="95" w:type="dxa"/>
              <w:end w:w="95" w:type="dxa"/>
            </w:tcMar>
            <w:vAlign w:val="center"/>
            <w:shd w:fill="EAF4EE"/>
          </w:tcPr>
          <w:p>
            <w:pPr>
              <w:spacing w:after="0" w:line="245" w:lineRule="auto"/>
            </w:pPr>
            <w:r>
              <w:rPr>
                <w:sz w:val="16"/>
              </w:rPr>
              <w:t>Catalogue inventory finance accounts and audit.</w:t>
            </w:r>
          </w:p>
        </w:tc>
      </w:tr>
      <w:tr>
        <w:tc>
          <w:tcPr>
            <w:tcW w:type="dxa" w:w="1800"/>
            <w:tcMar>
              <w:top w:w="95" w:type="dxa"/>
              <w:start w:w="95" w:type="dxa"/>
              <w:bottom w:w="95" w:type="dxa"/>
              <w:end w:w="95" w:type="dxa"/>
            </w:tcMar>
            <w:vAlign w:val="center"/>
          </w:tcPr>
          <w:p>
            <w:pPr>
              <w:spacing w:after="0" w:line="245" w:lineRule="auto"/>
            </w:pPr>
            <w:r>
              <w:rPr>
                <w:sz w:val="16"/>
              </w:rPr>
              <w:t>sales</w:t>
            </w:r>
          </w:p>
        </w:tc>
        <w:tc>
          <w:tcPr>
            <w:tcW w:type="dxa" w:w="5112"/>
            <w:tcMar>
              <w:top w:w="95" w:type="dxa"/>
              <w:start w:w="95" w:type="dxa"/>
              <w:bottom w:w="95" w:type="dxa"/>
              <w:end w:w="95" w:type="dxa"/>
            </w:tcMar>
            <w:vAlign w:val="center"/>
          </w:tcPr>
          <w:p>
            <w:pPr>
              <w:spacing w:after="0" w:line="245" w:lineRule="auto"/>
            </w:pPr>
            <w:r>
              <w:rPr>
                <w:sz w:val="16"/>
              </w:rPr>
              <w:t>Point of sale payments receipts returns refunds prescriptions and dispensing.</w:t>
            </w:r>
          </w:p>
        </w:tc>
        <w:tc>
          <w:tcPr>
            <w:tcW w:type="dxa" w:w="2880"/>
            <w:tcMar>
              <w:top w:w="95" w:type="dxa"/>
              <w:start w:w="95" w:type="dxa"/>
              <w:bottom w:w="95" w:type="dxa"/>
              <w:end w:w="95" w:type="dxa"/>
            </w:tcMar>
            <w:vAlign w:val="center"/>
          </w:tcPr>
          <w:p>
            <w:pPr>
              <w:spacing w:after="0" w:line="245" w:lineRule="auto"/>
            </w:pPr>
            <w:r>
              <w:rPr>
                <w:sz w:val="16"/>
              </w:rPr>
              <w:t>Catalogue inventory finance accounts and audit.</w:t>
            </w:r>
          </w:p>
        </w:tc>
      </w:tr>
      <w:tr>
        <w:tc>
          <w:tcPr>
            <w:tcW w:type="dxa" w:w="1800"/>
            <w:tcMar>
              <w:top w:w="95" w:type="dxa"/>
              <w:start w:w="95" w:type="dxa"/>
              <w:bottom w:w="95" w:type="dxa"/>
              <w:end w:w="95" w:type="dxa"/>
            </w:tcMar>
            <w:vAlign w:val="center"/>
            <w:shd w:fill="EAF4EE"/>
          </w:tcPr>
          <w:p>
            <w:pPr>
              <w:spacing w:after="0" w:line="245" w:lineRule="auto"/>
            </w:pPr>
            <w:r>
              <w:rPr>
                <w:sz w:val="16"/>
              </w:rPr>
              <w:t>inventory</w:t>
            </w:r>
          </w:p>
        </w:tc>
        <w:tc>
          <w:tcPr>
            <w:tcW w:type="dxa" w:w="5112"/>
            <w:tcMar>
              <w:top w:w="95" w:type="dxa"/>
              <w:start w:w="95" w:type="dxa"/>
              <w:bottom w:w="95" w:type="dxa"/>
              <w:end w:w="95" w:type="dxa"/>
            </w:tcMar>
            <w:vAlign w:val="center"/>
            <w:shd w:fill="EAF4EE"/>
          </w:tcPr>
          <w:p>
            <w:pPr>
              <w:spacing w:after="0" w:line="245" w:lineRule="auto"/>
            </w:pPr>
            <w:r>
              <w:rPr>
                <w:sz w:val="16"/>
              </w:rPr>
              <w:t>Batches balances movements counts adjustments expiry recall quarantine and disposal.</w:t>
            </w:r>
          </w:p>
        </w:tc>
        <w:tc>
          <w:tcPr>
            <w:tcW w:type="dxa" w:w="2880"/>
            <w:tcMar>
              <w:top w:w="95" w:type="dxa"/>
              <w:start w:w="95" w:type="dxa"/>
              <w:bottom w:w="95" w:type="dxa"/>
              <w:end w:w="95" w:type="dxa"/>
            </w:tcMar>
            <w:vAlign w:val="center"/>
            <w:shd w:fill="EAF4EE"/>
          </w:tcPr>
          <w:p>
            <w:pPr>
              <w:spacing w:after="0" w:line="245" w:lineRule="auto"/>
            </w:pPr>
            <w:r>
              <w:rPr>
                <w:sz w:val="16"/>
              </w:rPr>
              <w:t>Catalogue core accounts and audit.</w:t>
            </w:r>
          </w:p>
        </w:tc>
      </w:tr>
      <w:tr>
        <w:tc>
          <w:tcPr>
            <w:tcW w:type="dxa" w:w="1800"/>
            <w:tcMar>
              <w:top w:w="95" w:type="dxa"/>
              <w:start w:w="95" w:type="dxa"/>
              <w:bottom w:w="95" w:type="dxa"/>
              <w:end w:w="95" w:type="dxa"/>
            </w:tcMar>
            <w:vAlign w:val="center"/>
          </w:tcPr>
          <w:p>
            <w:pPr>
              <w:spacing w:after="0" w:line="245" w:lineRule="auto"/>
            </w:pPr>
            <w:r>
              <w:rPr>
                <w:sz w:val="16"/>
              </w:rPr>
              <w:t>finance</w:t>
            </w:r>
          </w:p>
        </w:tc>
        <w:tc>
          <w:tcPr>
            <w:tcW w:type="dxa" w:w="5112"/>
            <w:tcMar>
              <w:top w:w="95" w:type="dxa"/>
              <w:start w:w="95" w:type="dxa"/>
              <w:bottom w:w="95" w:type="dxa"/>
              <w:end w:w="95" w:type="dxa"/>
            </w:tcMar>
            <w:vAlign w:val="center"/>
          </w:tcPr>
          <w:p>
            <w:pPr>
              <w:spacing w:after="0" w:line="245" w:lineRule="auto"/>
            </w:pPr>
            <w:r>
              <w:rPr>
                <w:sz w:val="16"/>
              </w:rPr>
              <w:t>Customers receivables collections expenses loans shifts and reconciliation.</w:t>
            </w:r>
          </w:p>
        </w:tc>
        <w:tc>
          <w:tcPr>
            <w:tcW w:type="dxa" w:w="2880"/>
            <w:tcMar>
              <w:top w:w="95" w:type="dxa"/>
              <w:start w:w="95" w:type="dxa"/>
              <w:bottom w:w="95" w:type="dxa"/>
              <w:end w:w="95" w:type="dxa"/>
            </w:tcMar>
            <w:vAlign w:val="center"/>
          </w:tcPr>
          <w:p>
            <w:pPr>
              <w:spacing w:after="0" w:line="245" w:lineRule="auto"/>
            </w:pPr>
            <w:r>
              <w:rPr>
                <w:sz w:val="16"/>
              </w:rPr>
              <w:t>Sales purchasing accounts and audit.</w:t>
            </w:r>
          </w:p>
        </w:tc>
      </w:tr>
      <w:tr>
        <w:tc>
          <w:tcPr>
            <w:tcW w:type="dxa" w:w="1800"/>
            <w:tcMar>
              <w:top w:w="95" w:type="dxa"/>
              <w:start w:w="95" w:type="dxa"/>
              <w:bottom w:w="95" w:type="dxa"/>
              <w:end w:w="95" w:type="dxa"/>
            </w:tcMar>
            <w:vAlign w:val="center"/>
            <w:shd w:fill="EAF4EE"/>
          </w:tcPr>
          <w:p>
            <w:pPr>
              <w:spacing w:after="0" w:line="245" w:lineRule="auto"/>
            </w:pPr>
            <w:r>
              <w:rPr>
                <w:sz w:val="16"/>
              </w:rPr>
              <w:t>reporting</w:t>
            </w:r>
          </w:p>
        </w:tc>
        <w:tc>
          <w:tcPr>
            <w:tcW w:type="dxa" w:w="5112"/>
            <w:tcMar>
              <w:top w:w="95" w:type="dxa"/>
              <w:start w:w="95" w:type="dxa"/>
              <w:bottom w:w="95" w:type="dxa"/>
              <w:end w:w="95" w:type="dxa"/>
            </w:tcMar>
            <w:vAlign w:val="center"/>
            <w:shd w:fill="EAF4EE"/>
          </w:tcPr>
          <w:p>
            <w:pPr>
              <w:spacing w:after="0" w:line="245" w:lineRule="auto"/>
            </w:pPr>
            <w:r>
              <w:rPr>
                <w:sz w:val="16"/>
              </w:rPr>
              <w:t>Dashboards reports exports alerts and notification records.</w:t>
            </w:r>
          </w:p>
        </w:tc>
        <w:tc>
          <w:tcPr>
            <w:tcW w:type="dxa" w:w="2880"/>
            <w:tcMar>
              <w:top w:w="95" w:type="dxa"/>
              <w:start w:w="95" w:type="dxa"/>
              <w:bottom w:w="95" w:type="dxa"/>
              <w:end w:w="95" w:type="dxa"/>
            </w:tcMar>
            <w:vAlign w:val="center"/>
            <w:shd w:fill="EAF4EE"/>
          </w:tcPr>
          <w:p>
            <w:pPr>
              <w:spacing w:after="0" w:line="245" w:lineRule="auto"/>
            </w:pPr>
            <w:r>
              <w:rPr>
                <w:sz w:val="16"/>
              </w:rPr>
              <w:t>Read access across authorized domains.</w:t>
            </w:r>
          </w:p>
        </w:tc>
      </w:tr>
      <w:tr>
        <w:tc>
          <w:tcPr>
            <w:tcW w:type="dxa" w:w="1800"/>
            <w:tcMar>
              <w:top w:w="95" w:type="dxa"/>
              <w:start w:w="95" w:type="dxa"/>
              <w:bottom w:w="95" w:type="dxa"/>
              <w:end w:w="95" w:type="dxa"/>
            </w:tcMar>
            <w:vAlign w:val="center"/>
          </w:tcPr>
          <w:p>
            <w:pPr>
              <w:spacing w:after="0" w:line="245" w:lineRule="auto"/>
            </w:pPr>
            <w:r>
              <w:rPr>
                <w:sz w:val="16"/>
              </w:rPr>
              <w:t>governance</w:t>
            </w:r>
          </w:p>
        </w:tc>
        <w:tc>
          <w:tcPr>
            <w:tcW w:type="dxa" w:w="5112"/>
            <w:tcMar>
              <w:top w:w="95" w:type="dxa"/>
              <w:start w:w="95" w:type="dxa"/>
              <w:bottom w:w="95" w:type="dxa"/>
              <w:end w:w="95" w:type="dxa"/>
            </w:tcMar>
            <w:vAlign w:val="center"/>
          </w:tcPr>
          <w:p>
            <w:pPr>
              <w:spacing w:after="0" w:line="245" w:lineRule="auto"/>
            </w:pPr>
            <w:r>
              <w:rPr>
                <w:sz w:val="16"/>
              </w:rPr>
              <w:t>Audit events imports backups restores versions migrations and diagnostics.</w:t>
            </w:r>
          </w:p>
        </w:tc>
        <w:tc>
          <w:tcPr>
            <w:tcW w:type="dxa" w:w="2880"/>
            <w:tcMar>
              <w:top w:w="95" w:type="dxa"/>
              <w:start w:w="95" w:type="dxa"/>
              <w:bottom w:w="95" w:type="dxa"/>
              <w:end w:w="95" w:type="dxa"/>
            </w:tcMar>
            <w:vAlign w:val="center"/>
          </w:tcPr>
          <w:p>
            <w:pPr>
              <w:spacing w:after="0" w:line="245" w:lineRule="auto"/>
            </w:pPr>
            <w:r>
              <w:rPr>
                <w:sz w:val="16"/>
              </w:rPr>
              <w:t>All modules emit controlled evidence.</w:t>
            </w:r>
          </w:p>
        </w:tc>
      </w:tr>
    </w:tbl>
    <w:p>
      <w:pPr>
        <w:spacing w:after="0"/>
        <w:widowControl/>
      </w:pPr>
    </w:p>
    <w:p>
      <w:pPr>
        <w:pStyle w:val="Heading2"/>
        <w:keepNext/>
        <w:widowControl/>
      </w:pPr>
      <w:r>
        <w:t>Layering Rules</w:t>
      </w:r>
    </w:p>
    <w:p>
      <w:pPr>
        <w:pStyle w:val="ListBullet"/>
        <w:spacing w:after="40"/>
        <w:widowControl/>
      </w:pPr>
      <w:r>
        <w:t>API views translate HTTP requests and responses but do not contain reusable business logic.</w:t>
      </w:r>
    </w:p>
    <w:p>
      <w:pPr>
        <w:pStyle w:val="ListBullet"/>
        <w:spacing w:after="40"/>
        <w:widowControl/>
      </w:pPr>
      <w:r>
        <w:t>Application services or command handlers implement use cases and establish transaction boundaries.</w:t>
      </w:r>
    </w:p>
    <w:p>
      <w:pPr>
        <w:pStyle w:val="ListBullet"/>
        <w:spacing w:after="40"/>
        <w:widowControl/>
      </w:pPr>
      <w:r>
        <w:t>Domain rules validate state transitions quantities permissions and invariants.</w:t>
      </w:r>
    </w:p>
    <w:p>
      <w:pPr>
        <w:pStyle w:val="ListBullet"/>
        <w:spacing w:after="40"/>
        <w:widowControl/>
      </w:pPr>
      <w:r>
        <w:t>Repositories or Django query services centralize complex authorized data retrieval where useful.</w:t>
      </w:r>
    </w:p>
    <w:p>
      <w:pPr>
        <w:pStyle w:val="ListBullet"/>
        <w:spacing w:after="40"/>
        <w:widowControl/>
      </w:pPr>
      <w:r>
        <w:t>Models enforce durable constraints while migrations change the schema through versioned code.</w:t>
      </w:r>
    </w:p>
    <w:p>
      <w:pPr>
        <w:pStyle w:val="ListBullet"/>
        <w:spacing w:after="40"/>
        <w:widowControl/>
      </w:pPr>
      <w:r>
        <w:t>Signals are limited to noncritical decoupled behavior. Required stock financial or audit writes occur explicitly inside the transaction.</w:t>
      </w:r>
    </w:p>
    <w:p>
      <w:pPr>
        <w:pStyle w:val="Heading2"/>
        <w:keepNext/>
        <w:widowControl/>
      </w:pPr>
      <w:r>
        <w:t>Command and Query Separation</w:t>
      </w:r>
    </w:p>
    <w:p>
      <w:pPr>
        <w:widowControl/>
      </w:pPr>
      <w:r>
        <w:t>Write use cases should use explicit commands such as CompleteSale, ReceiveGoods, ApproveAdjustment, DisposeBatch, RecordCollection, and CloseShift. Read use cases should use permission-aware queries optimized for screens and reports. This separation keeps transaction rules visible and prevents report logic from mutating data.</w:t>
      </w:r>
    </w:p>
    <w:p>
      <w:pPr>
        <w:pStyle w:val="Heading2"/>
        <w:keepNext/>
        <w:widowControl/>
      </w:pPr>
      <w:r>
        <w:t>Status Machines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376"/>
            <w:shd w:fill="0F5132"/>
            <w:tcMar>
              <w:top w:w="95" w:type="dxa"/>
              <w:start w:w="95" w:type="dxa"/>
              <w:bottom w:w="95" w:type="dxa"/>
              <w:end w:w="95" w:type="dxa"/>
            </w:tcMar>
            <w:vAlign w:val="center"/>
          </w:tcPr>
          <w:p>
            <w:pPr>
              <w:spacing w:after="0"/>
            </w:pPr>
            <w:r>
              <w:rPr>
                <w:b/>
                <w:color w:val="FFFFFF"/>
                <w:sz w:val="17"/>
              </w:rPr>
              <w:t>Aggregate</w:t>
            </w:r>
          </w:p>
        </w:tc>
        <w:tc>
          <w:tcPr>
            <w:tcW w:type="dxa" w:w="7416"/>
            <w:shd w:fill="0F5132"/>
            <w:tcMar>
              <w:top w:w="95" w:type="dxa"/>
              <w:start w:w="95" w:type="dxa"/>
              <w:bottom w:w="95" w:type="dxa"/>
              <w:end w:w="95" w:type="dxa"/>
            </w:tcMar>
            <w:vAlign w:val="center"/>
          </w:tcPr>
          <w:p>
            <w:pPr>
              <w:spacing w:after="0"/>
            </w:pPr>
            <w:r>
              <w:rPr>
                <w:b/>
                <w:color w:val="FFFFFF"/>
                <w:sz w:val="17"/>
              </w:rPr>
              <w:t>Typical states</w:t>
            </w:r>
          </w:p>
        </w:tc>
      </w:tr>
      <w:tr>
        <w:tc>
          <w:tcPr>
            <w:tcW w:type="dxa" w:w="2376"/>
            <w:tcMar>
              <w:top w:w="95" w:type="dxa"/>
              <w:start w:w="95" w:type="dxa"/>
              <w:bottom w:w="95" w:type="dxa"/>
              <w:end w:w="95" w:type="dxa"/>
            </w:tcMar>
            <w:vAlign w:val="center"/>
          </w:tcPr>
          <w:p>
            <w:pPr>
              <w:spacing w:after="0" w:line="245" w:lineRule="auto"/>
            </w:pPr>
            <w:r>
              <w:rPr>
                <w:sz w:val="17"/>
              </w:rPr>
              <w:t>Purchase order</w:t>
            </w:r>
          </w:p>
        </w:tc>
        <w:tc>
          <w:tcPr>
            <w:tcW w:type="dxa" w:w="7416"/>
            <w:tcMar>
              <w:top w:w="95" w:type="dxa"/>
              <w:start w:w="95" w:type="dxa"/>
              <w:bottom w:w="95" w:type="dxa"/>
              <w:end w:w="95" w:type="dxa"/>
            </w:tcMar>
            <w:vAlign w:val="center"/>
          </w:tcPr>
          <w:p>
            <w:pPr>
              <w:spacing w:after="0" w:line="245" w:lineRule="auto"/>
            </w:pPr>
            <w:r>
              <w:rPr>
                <w:sz w:val="17"/>
              </w:rPr>
              <w:t>Draft submitted approved partially received received cancelled closed.</w:t>
            </w:r>
          </w:p>
        </w:tc>
      </w:tr>
      <w:tr>
        <w:tc>
          <w:tcPr>
            <w:tcW w:type="dxa" w:w="2376"/>
            <w:tcMar>
              <w:top w:w="95" w:type="dxa"/>
              <w:start w:w="95" w:type="dxa"/>
              <w:bottom w:w="95" w:type="dxa"/>
              <w:end w:w="95" w:type="dxa"/>
            </w:tcMar>
            <w:vAlign w:val="center"/>
            <w:shd w:fill="EAF4EE"/>
          </w:tcPr>
          <w:p>
            <w:pPr>
              <w:spacing w:after="0" w:line="245" w:lineRule="auto"/>
            </w:pPr>
            <w:r>
              <w:rPr>
                <w:sz w:val="17"/>
              </w:rPr>
              <w:t>Goods receipt</w:t>
            </w:r>
          </w:p>
        </w:tc>
        <w:tc>
          <w:tcPr>
            <w:tcW w:type="dxa" w:w="7416"/>
            <w:tcMar>
              <w:top w:w="95" w:type="dxa"/>
              <w:start w:w="95" w:type="dxa"/>
              <w:bottom w:w="95" w:type="dxa"/>
              <w:end w:w="95" w:type="dxa"/>
            </w:tcMar>
            <w:vAlign w:val="center"/>
            <w:shd w:fill="EAF4EE"/>
          </w:tcPr>
          <w:p>
            <w:pPr>
              <w:spacing w:after="0" w:line="245" w:lineRule="auto"/>
            </w:pPr>
            <w:r>
              <w:rPr>
                <w:sz w:val="17"/>
              </w:rPr>
              <w:t>Draft accepted partially accepted rejected reversed.</w:t>
            </w:r>
          </w:p>
        </w:tc>
      </w:tr>
      <w:tr>
        <w:tc>
          <w:tcPr>
            <w:tcW w:type="dxa" w:w="2376"/>
            <w:tcMar>
              <w:top w:w="95" w:type="dxa"/>
              <w:start w:w="95" w:type="dxa"/>
              <w:bottom w:w="95" w:type="dxa"/>
              <w:end w:w="95" w:type="dxa"/>
            </w:tcMar>
            <w:vAlign w:val="center"/>
          </w:tcPr>
          <w:p>
            <w:pPr>
              <w:spacing w:after="0" w:line="245" w:lineRule="auto"/>
            </w:pPr>
            <w:r>
              <w:rPr>
                <w:sz w:val="17"/>
              </w:rPr>
              <w:t>Sale</w:t>
            </w:r>
          </w:p>
        </w:tc>
        <w:tc>
          <w:tcPr>
            <w:tcW w:type="dxa" w:w="7416"/>
            <w:tcMar>
              <w:top w:w="95" w:type="dxa"/>
              <w:start w:w="95" w:type="dxa"/>
              <w:bottom w:w="95" w:type="dxa"/>
              <w:end w:w="95" w:type="dxa"/>
            </w:tcMar>
            <w:vAlign w:val="center"/>
          </w:tcPr>
          <w:p>
            <w:pPr>
              <w:spacing w:after="0" w:line="245" w:lineRule="auto"/>
            </w:pPr>
            <w:r>
              <w:rPr>
                <w:sz w:val="17"/>
              </w:rPr>
              <w:t>Draft held pending approval completed partially returned returned reversed.</w:t>
            </w:r>
          </w:p>
        </w:tc>
      </w:tr>
      <w:tr>
        <w:tc>
          <w:tcPr>
            <w:tcW w:type="dxa" w:w="2376"/>
            <w:tcMar>
              <w:top w:w="95" w:type="dxa"/>
              <w:start w:w="95" w:type="dxa"/>
              <w:bottom w:w="95" w:type="dxa"/>
              <w:end w:w="95" w:type="dxa"/>
            </w:tcMar>
            <w:vAlign w:val="center"/>
            <w:shd w:fill="EAF4EE"/>
          </w:tcPr>
          <w:p>
            <w:pPr>
              <w:spacing w:after="0" w:line="245" w:lineRule="auto"/>
            </w:pPr>
            <w:r>
              <w:rPr>
                <w:sz w:val="17"/>
              </w:rPr>
              <w:t>Stock count</w:t>
            </w:r>
          </w:p>
        </w:tc>
        <w:tc>
          <w:tcPr>
            <w:tcW w:type="dxa" w:w="7416"/>
            <w:tcMar>
              <w:top w:w="95" w:type="dxa"/>
              <w:start w:w="95" w:type="dxa"/>
              <w:bottom w:w="95" w:type="dxa"/>
              <w:end w:w="95" w:type="dxa"/>
            </w:tcMar>
            <w:vAlign w:val="center"/>
            <w:shd w:fill="EAF4EE"/>
          </w:tcPr>
          <w:p>
            <w:pPr>
              <w:spacing w:after="0" w:line="245" w:lineRule="auto"/>
            </w:pPr>
            <w:r>
              <w:rPr>
                <w:sz w:val="17"/>
              </w:rPr>
              <w:t>Draft counting submitted reviewed approved posted cancelled.</w:t>
            </w:r>
          </w:p>
        </w:tc>
      </w:tr>
      <w:tr>
        <w:tc>
          <w:tcPr>
            <w:tcW w:type="dxa" w:w="2376"/>
            <w:tcMar>
              <w:top w:w="95" w:type="dxa"/>
              <w:start w:w="95" w:type="dxa"/>
              <w:bottom w:w="95" w:type="dxa"/>
              <w:end w:w="95" w:type="dxa"/>
            </w:tcMar>
            <w:vAlign w:val="center"/>
          </w:tcPr>
          <w:p>
            <w:pPr>
              <w:spacing w:after="0" w:line="245" w:lineRule="auto"/>
            </w:pPr>
            <w:r>
              <w:rPr>
                <w:sz w:val="17"/>
              </w:rPr>
              <w:t>Adjustment</w:t>
            </w:r>
          </w:p>
        </w:tc>
        <w:tc>
          <w:tcPr>
            <w:tcW w:type="dxa" w:w="7416"/>
            <w:tcMar>
              <w:top w:w="95" w:type="dxa"/>
              <w:start w:w="95" w:type="dxa"/>
              <w:bottom w:w="95" w:type="dxa"/>
              <w:end w:w="95" w:type="dxa"/>
            </w:tcMar>
            <w:vAlign w:val="center"/>
          </w:tcPr>
          <w:p>
            <w:pPr>
              <w:spacing w:after="0" w:line="245" w:lineRule="auto"/>
            </w:pPr>
            <w:r>
              <w:rPr>
                <w:sz w:val="17"/>
              </w:rPr>
              <w:t>Draft pending approval approved posted rejected reversed.</w:t>
            </w:r>
          </w:p>
        </w:tc>
      </w:tr>
      <w:tr>
        <w:tc>
          <w:tcPr>
            <w:tcW w:type="dxa" w:w="2376"/>
            <w:tcMar>
              <w:top w:w="95" w:type="dxa"/>
              <w:start w:w="95" w:type="dxa"/>
              <w:bottom w:w="95" w:type="dxa"/>
              <w:end w:w="95" w:type="dxa"/>
            </w:tcMar>
            <w:vAlign w:val="center"/>
            <w:shd w:fill="EAF4EE"/>
          </w:tcPr>
          <w:p>
            <w:pPr>
              <w:spacing w:after="0" w:line="245" w:lineRule="auto"/>
            </w:pPr>
            <w:r>
              <w:rPr>
                <w:sz w:val="17"/>
              </w:rPr>
              <w:t>Prescription</w:t>
            </w:r>
          </w:p>
        </w:tc>
        <w:tc>
          <w:tcPr>
            <w:tcW w:type="dxa" w:w="7416"/>
            <w:tcMar>
              <w:top w:w="95" w:type="dxa"/>
              <w:start w:w="95" w:type="dxa"/>
              <w:bottom w:w="95" w:type="dxa"/>
              <w:end w:w="95" w:type="dxa"/>
            </w:tcMar>
            <w:vAlign w:val="center"/>
            <w:shd w:fill="EAF4EE"/>
          </w:tcPr>
          <w:p>
            <w:pPr>
              <w:spacing w:after="0" w:line="245" w:lineRule="auto"/>
            </w:pPr>
            <w:r>
              <w:rPr>
                <w:sz w:val="17"/>
              </w:rPr>
              <w:t>Pending review approved partially dispensed completed rejected expired.</w:t>
            </w:r>
          </w:p>
        </w:tc>
      </w:tr>
      <w:tr>
        <w:tc>
          <w:tcPr>
            <w:tcW w:type="dxa" w:w="2376"/>
            <w:tcMar>
              <w:top w:w="95" w:type="dxa"/>
              <w:start w:w="95" w:type="dxa"/>
              <w:bottom w:w="95" w:type="dxa"/>
              <w:end w:w="95" w:type="dxa"/>
            </w:tcMar>
            <w:vAlign w:val="center"/>
          </w:tcPr>
          <w:p>
            <w:pPr>
              <w:spacing w:after="0" w:line="245" w:lineRule="auto"/>
            </w:pPr>
            <w:r>
              <w:rPr>
                <w:sz w:val="17"/>
              </w:rPr>
              <w:t>Backup</w:t>
            </w:r>
          </w:p>
        </w:tc>
        <w:tc>
          <w:tcPr>
            <w:tcW w:type="dxa" w:w="7416"/>
            <w:tcMar>
              <w:top w:w="95" w:type="dxa"/>
              <w:start w:w="95" w:type="dxa"/>
              <w:bottom w:w="95" w:type="dxa"/>
              <w:end w:w="95" w:type="dxa"/>
            </w:tcMar>
            <w:vAlign w:val="center"/>
          </w:tcPr>
          <w:p>
            <w:pPr>
              <w:spacing w:after="0" w:line="245" w:lineRule="auto"/>
            </w:pPr>
            <w:r>
              <w:rPr>
                <w:sz w:val="17"/>
              </w:rPr>
              <w:t>Scheduled running completed verified failed expired.</w:t>
            </w:r>
          </w:p>
        </w:tc>
      </w:tr>
      <w:tr>
        <w:tc>
          <w:tcPr>
            <w:tcW w:type="dxa" w:w="2376"/>
            <w:tcMar>
              <w:top w:w="95" w:type="dxa"/>
              <w:start w:w="95" w:type="dxa"/>
              <w:bottom w:w="95" w:type="dxa"/>
              <w:end w:w="95" w:type="dxa"/>
            </w:tcMar>
            <w:vAlign w:val="center"/>
            <w:shd w:fill="EAF4EE"/>
          </w:tcPr>
          <w:p>
            <w:pPr>
              <w:spacing w:after="0" w:line="245" w:lineRule="auto"/>
            </w:pPr>
            <w:r>
              <w:rPr>
                <w:sz w:val="17"/>
              </w:rPr>
              <w:t>Migration job</w:t>
            </w:r>
          </w:p>
        </w:tc>
        <w:tc>
          <w:tcPr>
            <w:tcW w:type="dxa" w:w="7416"/>
            <w:tcMar>
              <w:top w:w="95" w:type="dxa"/>
              <w:start w:w="95" w:type="dxa"/>
              <w:bottom w:w="95" w:type="dxa"/>
              <w:end w:w="95" w:type="dxa"/>
            </w:tcMar>
            <w:vAlign w:val="center"/>
            <w:shd w:fill="EAF4EE"/>
          </w:tcPr>
          <w:p>
            <w:pPr>
              <w:spacing w:after="0" w:line="245" w:lineRule="auto"/>
            </w:pPr>
            <w:r>
              <w:rPr>
                <w:sz w:val="17"/>
              </w:rPr>
              <w:t>Uploaded validating previewed approved importing completed failed rolled back.</w:t>
            </w:r>
          </w:p>
        </w:tc>
      </w:tr>
    </w:tbl>
    <w:p>
      <w:pPr>
        <w:spacing w:after="0"/>
        <w:widowControl/>
      </w:pPr>
    </w:p>
    <w:p>
      <w:pPr>
        <w:pStyle w:val="Heading1"/>
        <w:keepNext/>
        <w:widowControl/>
      </w:pPr>
      <w:r>
        <w:t>5 Frontend Architecture</w:t>
      </w:r>
    </w:p>
    <w:p>
      <w:pPr>
        <w:pStyle w:val="Heading2"/>
        <w:keepNext/>
        <w:widowControl/>
      </w:pPr>
      <w:r>
        <w:t>Frontend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232"/>
            <w:shd w:fill="0F5132"/>
            <w:tcMar>
              <w:top w:w="95" w:type="dxa"/>
              <w:start w:w="95" w:type="dxa"/>
              <w:bottom w:w="95" w:type="dxa"/>
              <w:end w:w="95" w:type="dxa"/>
            </w:tcMar>
            <w:vAlign w:val="center"/>
          </w:tcPr>
          <w:p>
            <w:pPr>
              <w:spacing w:after="0"/>
            </w:pPr>
            <w:r>
              <w:rPr>
                <w:b/>
                <w:color w:val="FFFFFF"/>
                <w:sz w:val="17"/>
              </w:rPr>
              <w:t>Concern</w:t>
            </w:r>
          </w:p>
        </w:tc>
        <w:tc>
          <w:tcPr>
            <w:tcW w:type="dxa" w:w="7560"/>
            <w:shd w:fill="0F5132"/>
            <w:tcMar>
              <w:top w:w="95" w:type="dxa"/>
              <w:start w:w="95" w:type="dxa"/>
              <w:bottom w:w="95" w:type="dxa"/>
              <w:end w:w="95" w:type="dxa"/>
            </w:tcMar>
            <w:vAlign w:val="center"/>
          </w:tcPr>
          <w:p>
            <w:pPr>
              <w:spacing w:after="0"/>
            </w:pPr>
            <w:r>
              <w:rPr>
                <w:b/>
                <w:color w:val="FFFFFF"/>
                <w:sz w:val="17"/>
              </w:rPr>
              <w:t>Recommended implementation</w:t>
            </w:r>
          </w:p>
        </w:tc>
      </w:tr>
      <w:tr>
        <w:tc>
          <w:tcPr>
            <w:tcW w:type="dxa" w:w="2232"/>
            <w:tcMar>
              <w:top w:w="95" w:type="dxa"/>
              <w:start w:w="95" w:type="dxa"/>
              <w:bottom w:w="95" w:type="dxa"/>
              <w:end w:w="95" w:type="dxa"/>
            </w:tcMar>
            <w:vAlign w:val="center"/>
          </w:tcPr>
          <w:p>
            <w:pPr>
              <w:spacing w:after="0" w:line="245" w:lineRule="auto"/>
            </w:pPr>
            <w:r>
              <w:rPr>
                <w:sz w:val="17"/>
              </w:rPr>
              <w:t>Language and build</w:t>
            </w:r>
          </w:p>
        </w:tc>
        <w:tc>
          <w:tcPr>
            <w:tcW w:type="dxa" w:w="7560"/>
            <w:tcMar>
              <w:top w:w="95" w:type="dxa"/>
              <w:start w:w="95" w:type="dxa"/>
              <w:bottom w:w="95" w:type="dxa"/>
              <w:end w:w="95" w:type="dxa"/>
            </w:tcMar>
            <w:vAlign w:val="center"/>
          </w:tcPr>
          <w:p>
            <w:pPr>
              <w:spacing w:after="0" w:line="245" w:lineRule="auto"/>
            </w:pPr>
            <w:r>
              <w:rPr>
                <w:sz w:val="17"/>
              </w:rPr>
              <w:t>React with TypeScript using a supported Vite build pipeline.</w:t>
            </w:r>
          </w:p>
        </w:tc>
      </w:tr>
      <w:tr>
        <w:tc>
          <w:tcPr>
            <w:tcW w:type="dxa" w:w="2232"/>
            <w:tcMar>
              <w:top w:w="95" w:type="dxa"/>
              <w:start w:w="95" w:type="dxa"/>
              <w:bottom w:w="95" w:type="dxa"/>
              <w:end w:w="95" w:type="dxa"/>
            </w:tcMar>
            <w:vAlign w:val="center"/>
            <w:shd w:fill="EAF4EE"/>
          </w:tcPr>
          <w:p>
            <w:pPr>
              <w:spacing w:after="0" w:line="245" w:lineRule="auto"/>
            </w:pPr>
            <w:r>
              <w:rPr>
                <w:sz w:val="17"/>
              </w:rPr>
              <w:t>Styling</w:t>
            </w:r>
          </w:p>
        </w:tc>
        <w:tc>
          <w:tcPr>
            <w:tcW w:type="dxa" w:w="7560"/>
            <w:tcMar>
              <w:top w:w="95" w:type="dxa"/>
              <w:start w:w="95" w:type="dxa"/>
              <w:bottom w:w="95" w:type="dxa"/>
              <w:end w:w="95" w:type="dxa"/>
            </w:tcMar>
            <w:vAlign w:val="center"/>
            <w:shd w:fill="EAF4EE"/>
          </w:tcPr>
          <w:p>
            <w:pPr>
              <w:spacing w:after="0" w:line="245" w:lineRule="auto"/>
            </w:pPr>
            <w:r>
              <w:rPr>
                <w:sz w:val="17"/>
              </w:rPr>
              <w:t>Tailwind CSS with a small documented design-token layer for GreenlifeAI branding.</w:t>
            </w:r>
          </w:p>
        </w:tc>
      </w:tr>
      <w:tr>
        <w:tc>
          <w:tcPr>
            <w:tcW w:type="dxa" w:w="2232"/>
            <w:tcMar>
              <w:top w:w="95" w:type="dxa"/>
              <w:start w:w="95" w:type="dxa"/>
              <w:bottom w:w="95" w:type="dxa"/>
              <w:end w:w="95" w:type="dxa"/>
            </w:tcMar>
            <w:vAlign w:val="center"/>
          </w:tcPr>
          <w:p>
            <w:pPr>
              <w:spacing w:after="0" w:line="245" w:lineRule="auto"/>
            </w:pPr>
            <w:r>
              <w:rPr>
                <w:sz w:val="17"/>
              </w:rPr>
              <w:t>Routing</w:t>
            </w:r>
          </w:p>
        </w:tc>
        <w:tc>
          <w:tcPr>
            <w:tcW w:type="dxa" w:w="7560"/>
            <w:tcMar>
              <w:top w:w="95" w:type="dxa"/>
              <w:start w:w="95" w:type="dxa"/>
              <w:bottom w:w="95" w:type="dxa"/>
              <w:end w:w="95" w:type="dxa"/>
            </w:tcMar>
            <w:vAlign w:val="center"/>
          </w:tcPr>
          <w:p>
            <w:pPr>
              <w:spacing w:after="0" w:line="245" w:lineRule="auto"/>
            </w:pPr>
            <w:r>
              <w:rPr>
                <w:sz w:val="17"/>
              </w:rPr>
              <w:t>React Router with authenticated routes and permission-aware page metadata.</w:t>
            </w:r>
          </w:p>
        </w:tc>
      </w:tr>
      <w:tr>
        <w:tc>
          <w:tcPr>
            <w:tcW w:type="dxa" w:w="2232"/>
            <w:tcMar>
              <w:top w:w="95" w:type="dxa"/>
              <w:start w:w="95" w:type="dxa"/>
              <w:bottom w:w="95" w:type="dxa"/>
              <w:end w:w="95" w:type="dxa"/>
            </w:tcMar>
            <w:vAlign w:val="center"/>
            <w:shd w:fill="EAF4EE"/>
          </w:tcPr>
          <w:p>
            <w:pPr>
              <w:spacing w:after="0" w:line="245" w:lineRule="auto"/>
            </w:pPr>
            <w:r>
              <w:rPr>
                <w:sz w:val="17"/>
              </w:rPr>
              <w:t>Server state</w:t>
            </w:r>
          </w:p>
        </w:tc>
        <w:tc>
          <w:tcPr>
            <w:tcW w:type="dxa" w:w="7560"/>
            <w:tcMar>
              <w:top w:w="95" w:type="dxa"/>
              <w:start w:w="95" w:type="dxa"/>
              <w:bottom w:w="95" w:type="dxa"/>
              <w:end w:w="95" w:type="dxa"/>
            </w:tcMar>
            <w:vAlign w:val="center"/>
            <w:shd w:fill="EAF4EE"/>
          </w:tcPr>
          <w:p>
            <w:pPr>
              <w:spacing w:after="0" w:line="245" w:lineRule="auto"/>
            </w:pPr>
            <w:r>
              <w:rPr>
                <w:sz w:val="17"/>
              </w:rPr>
              <w:t>TanStack Query or equivalent for caching invalidation retries and request lifecycle.</w:t>
            </w:r>
          </w:p>
        </w:tc>
      </w:tr>
      <w:tr>
        <w:tc>
          <w:tcPr>
            <w:tcW w:type="dxa" w:w="2232"/>
            <w:tcMar>
              <w:top w:w="95" w:type="dxa"/>
              <w:start w:w="95" w:type="dxa"/>
              <w:bottom w:w="95" w:type="dxa"/>
              <w:end w:w="95" w:type="dxa"/>
            </w:tcMar>
            <w:vAlign w:val="center"/>
          </w:tcPr>
          <w:p>
            <w:pPr>
              <w:spacing w:after="0" w:line="245" w:lineRule="auto"/>
            </w:pPr>
            <w:r>
              <w:rPr>
                <w:sz w:val="17"/>
              </w:rPr>
              <w:t>Forms</w:t>
            </w:r>
          </w:p>
        </w:tc>
        <w:tc>
          <w:tcPr>
            <w:tcW w:type="dxa" w:w="7560"/>
            <w:tcMar>
              <w:top w:w="95" w:type="dxa"/>
              <w:start w:w="95" w:type="dxa"/>
              <w:bottom w:w="95" w:type="dxa"/>
              <w:end w:w="95" w:type="dxa"/>
            </w:tcMar>
            <w:vAlign w:val="center"/>
          </w:tcPr>
          <w:p>
            <w:pPr>
              <w:spacing w:after="0" w:line="245" w:lineRule="auto"/>
            </w:pPr>
            <w:r>
              <w:rPr>
                <w:sz w:val="17"/>
              </w:rPr>
              <w:t>React Hook Form with schema validation aligned to API validation.</w:t>
            </w:r>
          </w:p>
        </w:tc>
      </w:tr>
      <w:tr>
        <w:tc>
          <w:tcPr>
            <w:tcW w:type="dxa" w:w="2232"/>
            <w:tcMar>
              <w:top w:w="95" w:type="dxa"/>
              <w:start w:w="95" w:type="dxa"/>
              <w:bottom w:w="95" w:type="dxa"/>
              <w:end w:w="95" w:type="dxa"/>
            </w:tcMar>
            <w:vAlign w:val="center"/>
            <w:shd w:fill="EAF4EE"/>
          </w:tcPr>
          <w:p>
            <w:pPr>
              <w:spacing w:after="0" w:line="245" w:lineRule="auto"/>
            </w:pPr>
            <w:r>
              <w:rPr>
                <w:sz w:val="17"/>
              </w:rPr>
              <w:t>Tables</w:t>
            </w:r>
          </w:p>
        </w:tc>
        <w:tc>
          <w:tcPr>
            <w:tcW w:type="dxa" w:w="7560"/>
            <w:tcMar>
              <w:top w:w="95" w:type="dxa"/>
              <w:start w:w="95" w:type="dxa"/>
              <w:bottom w:w="95" w:type="dxa"/>
              <w:end w:w="95" w:type="dxa"/>
            </w:tcMar>
            <w:vAlign w:val="center"/>
            <w:shd w:fill="EAF4EE"/>
          </w:tcPr>
          <w:p>
            <w:pPr>
              <w:spacing w:after="0" w:line="245" w:lineRule="auto"/>
            </w:pPr>
            <w:r>
              <w:rPr>
                <w:sz w:val="17"/>
              </w:rPr>
              <w:t>Reusable paginated sortable filterable accessible data-grid components.</w:t>
            </w:r>
          </w:p>
        </w:tc>
      </w:tr>
      <w:tr>
        <w:tc>
          <w:tcPr>
            <w:tcW w:type="dxa" w:w="2232"/>
            <w:tcMar>
              <w:top w:w="95" w:type="dxa"/>
              <w:start w:w="95" w:type="dxa"/>
              <w:bottom w:w="95" w:type="dxa"/>
              <w:end w:w="95" w:type="dxa"/>
            </w:tcMar>
            <w:vAlign w:val="center"/>
          </w:tcPr>
          <w:p>
            <w:pPr>
              <w:spacing w:after="0" w:line="245" w:lineRule="auto"/>
            </w:pPr>
            <w:r>
              <w:rPr>
                <w:sz w:val="17"/>
              </w:rPr>
              <w:t>Printing</w:t>
            </w:r>
          </w:p>
        </w:tc>
        <w:tc>
          <w:tcPr>
            <w:tcW w:type="dxa" w:w="7560"/>
            <w:tcMar>
              <w:top w:w="95" w:type="dxa"/>
              <w:start w:w="95" w:type="dxa"/>
              <w:bottom w:w="95" w:type="dxa"/>
              <w:end w:w="95" w:type="dxa"/>
            </w:tcMar>
            <w:vAlign w:val="center"/>
          </w:tcPr>
          <w:p>
            <w:pPr>
              <w:spacing w:after="0" w:line="245" w:lineRule="auto"/>
            </w:pPr>
            <w:r>
              <w:rPr>
                <w:sz w:val="17"/>
              </w:rPr>
              <w:t>Purpose-built receipt and report print layouts with supported local printer testing.</w:t>
            </w:r>
          </w:p>
        </w:tc>
      </w:tr>
      <w:tr>
        <w:tc>
          <w:tcPr>
            <w:tcW w:type="dxa" w:w="2232"/>
            <w:tcMar>
              <w:top w:w="95" w:type="dxa"/>
              <w:start w:w="95" w:type="dxa"/>
              <w:bottom w:w="95" w:type="dxa"/>
              <w:end w:w="95" w:type="dxa"/>
            </w:tcMar>
            <w:vAlign w:val="center"/>
            <w:shd w:fill="EAF4EE"/>
          </w:tcPr>
          <w:p>
            <w:pPr>
              <w:spacing w:after="0" w:line="245" w:lineRule="auto"/>
            </w:pPr>
            <w:r>
              <w:rPr>
                <w:sz w:val="17"/>
              </w:rPr>
              <w:t>Testing</w:t>
            </w:r>
          </w:p>
        </w:tc>
        <w:tc>
          <w:tcPr>
            <w:tcW w:type="dxa" w:w="7560"/>
            <w:tcMar>
              <w:top w:w="95" w:type="dxa"/>
              <w:start w:w="95" w:type="dxa"/>
              <w:bottom w:w="95" w:type="dxa"/>
              <w:end w:w="95" w:type="dxa"/>
            </w:tcMar>
            <w:vAlign w:val="center"/>
            <w:shd w:fill="EAF4EE"/>
          </w:tcPr>
          <w:p>
            <w:pPr>
              <w:spacing w:after="0" w:line="245" w:lineRule="auto"/>
            </w:pPr>
            <w:r>
              <w:rPr>
                <w:sz w:val="17"/>
              </w:rPr>
              <w:t>Component tests accessibility checks and browser workflow tests.</w:t>
            </w:r>
          </w:p>
        </w:tc>
      </w:tr>
    </w:tbl>
    <w:p>
      <w:pPr>
        <w:spacing w:after="0"/>
        <w:widowControl/>
      </w:pPr>
    </w:p>
    <w:p>
      <w:pPr>
        <w:pStyle w:val="Heading2"/>
        <w:keepNext/>
        <w:widowControl/>
      </w:pPr>
      <w:r>
        <w:t>Frontend Module Structure</w:t>
      </w:r>
    </w:p>
    <w:p>
      <w:pPr>
        <w:pStyle w:val="ListBullet"/>
        <w:spacing w:after="40"/>
        <w:widowControl/>
      </w:pPr>
      <w:r>
        <w:t>app for providers routing session initialization error boundaries and global layout.</w:t>
      </w:r>
    </w:p>
    <w:p>
      <w:pPr>
        <w:pStyle w:val="ListBullet"/>
        <w:spacing w:after="40"/>
        <w:widowControl/>
      </w:pPr>
      <w:r>
        <w:t>features for accounts catalogue purchasing sales inventory finance reports settings migration and support.</w:t>
      </w:r>
    </w:p>
    <w:p>
      <w:pPr>
        <w:pStyle w:val="ListBullet"/>
        <w:spacing w:after="40"/>
        <w:widowControl/>
      </w:pPr>
      <w:r>
        <w:t>shared for design components form controls tables formatters API client hooks and permissions.</w:t>
      </w:r>
    </w:p>
    <w:p>
      <w:pPr>
        <w:pStyle w:val="ListBullet"/>
        <w:spacing w:after="40"/>
        <w:widowControl/>
      </w:pPr>
      <w:r>
        <w:t>pages for route-level composition with minimal business logic.</w:t>
      </w:r>
    </w:p>
    <w:p>
      <w:pPr>
        <w:pStyle w:val="ListBullet"/>
        <w:spacing w:after="40"/>
        <w:widowControl/>
      </w:pPr>
      <w:r>
        <w:t>types generated from or checked against the backend API contract where practical.</w:t>
      </w:r>
    </w:p>
    <w:p>
      <w:pPr>
        <w:pStyle w:val="Heading2"/>
        <w:keepNext/>
        <w:widowControl/>
      </w:pPr>
      <w:r>
        <w:t>Permission Behavior</w:t>
      </w:r>
    </w:p>
    <w:p>
      <w:pPr>
        <w:widowControl/>
      </w:pPr>
      <w:r>
        <w:t>The frontend uses permission metadata to hide unavailable navigation and disable restricted actions. This behavior improves usability but is not a security boundary. Django verifies every protected request and returns a consistent forbidden response when access is denied.</w:t>
      </w:r>
    </w:p>
    <w:p>
      <w:pPr>
        <w:pStyle w:val="Heading2"/>
        <w:keepNext/>
        <w:widowControl/>
      </w:pPr>
      <w:r>
        <w:t>State and Error Handling</w:t>
      </w:r>
    </w:p>
    <w:p>
      <w:pPr>
        <w:pStyle w:val="ListBullet"/>
        <w:spacing w:after="40"/>
        <w:widowControl/>
      </w:pPr>
      <w:r>
        <w:t>Keep transaction drafts local until saved and warn before abandoning unsaved work.</w:t>
      </w:r>
    </w:p>
    <w:p>
      <w:pPr>
        <w:pStyle w:val="ListBullet"/>
        <w:spacing w:after="40"/>
        <w:widowControl/>
      </w:pPr>
      <w:r>
        <w:t>Use server-generated totals for completed financial and stock transactions.</w:t>
      </w:r>
    </w:p>
    <w:p>
      <w:pPr>
        <w:pStyle w:val="ListBullet"/>
        <w:spacing w:after="40"/>
        <w:widowControl/>
      </w:pPr>
      <w:r>
        <w:t>Show validation errors next to the affected field and preserve the user entry where safe.</w:t>
      </w:r>
    </w:p>
    <w:p>
      <w:pPr>
        <w:pStyle w:val="ListBullet"/>
        <w:spacing w:after="40"/>
        <w:widowControl/>
      </w:pPr>
      <w:r>
        <w:t>Display safe support codes for unexpected failures without exposing stack traces or secrets.</w:t>
      </w:r>
    </w:p>
    <w:p>
      <w:pPr>
        <w:pStyle w:val="ListBullet"/>
        <w:spacing w:after="40"/>
        <w:widowControl/>
      </w:pPr>
      <w:r>
        <w:t>Do not report success until the authoritative API confirms the committed result.</w:t>
      </w:r>
    </w:p>
    <w:p>
      <w:pPr>
        <w:pStyle w:val="ListBullet"/>
        <w:spacing w:after="40"/>
        <w:widowControl/>
      </w:pPr>
      <w:r>
        <w:t>Use idempotency keys or equivalent protection for completion requests that may be repeated.</w:t>
      </w:r>
    </w:p>
    <w:p>
      <w:pPr>
        <w:pStyle w:val="Heading1"/>
        <w:keepNext/>
        <w:widowControl/>
      </w:pPr>
      <w:r>
        <w:t>6 Data Architecture</w:t>
      </w:r>
    </w:p>
    <w:p>
      <w:pPr>
        <w:pStyle w:val="Heading2"/>
        <w:keepNext/>
        <w:widowControl/>
      </w:pPr>
      <w:r>
        <w:t>Database Platform</w:t>
      </w:r>
    </w:p>
    <w:p>
      <w:pPr>
        <w:widowControl/>
      </w:pPr>
      <w:r>
        <w:t>PostgreSQL is the authoritative database in every environment. Development and production may use different instances, but they use the same migrations, constraints, supported major version policy, and backup approach. SQLite is not an operational database for this system.</w:t>
      </w:r>
    </w:p>
    <w:p>
      <w:pPr>
        <w:pStyle w:val="Heading2"/>
        <w:keepNext/>
        <w:widowControl/>
      </w:pPr>
      <w:r>
        <w:t>Core Data Domains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016"/>
            <w:shd w:fill="0F5132"/>
            <w:tcMar>
              <w:top w:w="95" w:type="dxa"/>
              <w:start w:w="95" w:type="dxa"/>
              <w:bottom w:w="95" w:type="dxa"/>
              <w:end w:w="95" w:type="dxa"/>
            </w:tcMar>
            <w:vAlign w:val="center"/>
          </w:tcPr>
          <w:p>
            <w:pPr>
              <w:spacing w:after="0"/>
            </w:pPr>
            <w:r>
              <w:rPr>
                <w:b/>
                <w:color w:val="FFFFFF"/>
                <w:sz w:val="17"/>
              </w:rPr>
              <w:t>Domain</w:t>
            </w:r>
          </w:p>
        </w:tc>
        <w:tc>
          <w:tcPr>
            <w:tcW w:type="dxa" w:w="7776"/>
            <w:shd w:fill="0F5132"/>
            <w:tcMar>
              <w:top w:w="95" w:type="dxa"/>
              <w:start w:w="95" w:type="dxa"/>
              <w:bottom w:w="95" w:type="dxa"/>
              <w:end w:w="95" w:type="dxa"/>
            </w:tcMar>
            <w:vAlign w:val="center"/>
          </w:tcPr>
          <w:p>
            <w:pPr>
              <w:spacing w:after="0"/>
            </w:pPr>
            <w:r>
              <w:rPr>
                <w:b/>
                <w:color w:val="FFFFFF"/>
                <w:sz w:val="17"/>
              </w:rPr>
              <w:t>Principal tables or aggregates</w:t>
            </w:r>
          </w:p>
        </w:tc>
      </w:tr>
      <w:tr>
        <w:tc>
          <w:tcPr>
            <w:tcW w:type="dxa" w:w="2016"/>
            <w:tcMar>
              <w:top w:w="95" w:type="dxa"/>
              <w:start w:w="95" w:type="dxa"/>
              <w:bottom w:w="95" w:type="dxa"/>
              <w:end w:w="95" w:type="dxa"/>
            </w:tcMar>
            <w:vAlign w:val="center"/>
          </w:tcPr>
          <w:p>
            <w:pPr>
              <w:spacing w:after="0" w:line="245" w:lineRule="auto"/>
            </w:pPr>
            <w:r>
              <w:rPr>
                <w:sz w:val="17"/>
              </w:rPr>
              <w:t>Organization</w:t>
            </w:r>
          </w:p>
        </w:tc>
        <w:tc>
          <w:tcPr>
            <w:tcW w:type="dxa" w:w="7776"/>
            <w:tcMar>
              <w:top w:w="95" w:type="dxa"/>
              <w:start w:w="95" w:type="dxa"/>
              <w:bottom w:w="95" w:type="dxa"/>
              <w:end w:w="95" w:type="dxa"/>
            </w:tcMar>
            <w:vAlign w:val="center"/>
          </w:tcPr>
          <w:p>
            <w:pPr>
              <w:spacing w:after="0" w:line="245" w:lineRule="auto"/>
            </w:pPr>
            <w:r>
              <w:rPr>
                <w:sz w:val="17"/>
              </w:rPr>
              <w:t>organizations branches installations settings sequences operating periods.</w:t>
            </w:r>
          </w:p>
        </w:tc>
      </w:tr>
      <w:tr>
        <w:tc>
          <w:tcPr>
            <w:tcW w:type="dxa" w:w="2016"/>
            <w:tcMar>
              <w:top w:w="95" w:type="dxa"/>
              <w:start w:w="95" w:type="dxa"/>
              <w:bottom w:w="95" w:type="dxa"/>
              <w:end w:w="95" w:type="dxa"/>
            </w:tcMar>
            <w:vAlign w:val="center"/>
            <w:shd w:fill="EAF4EE"/>
          </w:tcPr>
          <w:p>
            <w:pPr>
              <w:spacing w:after="0" w:line="245" w:lineRule="auto"/>
            </w:pPr>
            <w:r>
              <w:rPr>
                <w:sz w:val="17"/>
              </w:rPr>
              <w:t>Identity</w:t>
            </w:r>
          </w:p>
        </w:tc>
        <w:tc>
          <w:tcPr>
            <w:tcW w:type="dxa" w:w="7776"/>
            <w:tcMar>
              <w:top w:w="95" w:type="dxa"/>
              <w:start w:w="95" w:type="dxa"/>
              <w:bottom w:w="95" w:type="dxa"/>
              <w:end w:w="95" w:type="dxa"/>
            </w:tcMar>
            <w:vAlign w:val="center"/>
            <w:shd w:fill="EAF4EE"/>
          </w:tcPr>
          <w:p>
            <w:pPr>
              <w:spacing w:after="0" w:line="245" w:lineRule="auto"/>
            </w:pPr>
            <w:r>
              <w:rPr>
                <w:sz w:val="17"/>
              </w:rPr>
              <w:t>users roles permissions role_permissions user_roles sessions approval_limits security_events.</w:t>
            </w:r>
          </w:p>
        </w:tc>
      </w:tr>
      <w:tr>
        <w:tc>
          <w:tcPr>
            <w:tcW w:type="dxa" w:w="2016"/>
            <w:tcMar>
              <w:top w:w="95" w:type="dxa"/>
              <w:start w:w="95" w:type="dxa"/>
              <w:bottom w:w="95" w:type="dxa"/>
              <w:end w:w="95" w:type="dxa"/>
            </w:tcMar>
            <w:vAlign w:val="center"/>
          </w:tcPr>
          <w:p>
            <w:pPr>
              <w:spacing w:after="0" w:line="245" w:lineRule="auto"/>
            </w:pPr>
            <w:r>
              <w:rPr>
                <w:sz w:val="17"/>
              </w:rPr>
              <w:t>Catalogue</w:t>
            </w:r>
          </w:p>
        </w:tc>
        <w:tc>
          <w:tcPr>
            <w:tcW w:type="dxa" w:w="7776"/>
            <w:tcMar>
              <w:top w:w="95" w:type="dxa"/>
              <w:start w:w="95" w:type="dxa"/>
              <w:bottom w:w="95" w:type="dxa"/>
              <w:end w:w="95" w:type="dxa"/>
            </w:tcMar>
            <w:vAlign w:val="center"/>
          </w:tcPr>
          <w:p>
            <w:pPr>
              <w:spacing w:after="0" w:line="245" w:lineRule="auto"/>
            </w:pPr>
            <w:r>
              <w:rPr>
                <w:sz w:val="17"/>
              </w:rPr>
              <w:t>products categories manufacturers units product_units price_history supplier_products.</w:t>
            </w:r>
          </w:p>
        </w:tc>
      </w:tr>
      <w:tr>
        <w:tc>
          <w:tcPr>
            <w:tcW w:type="dxa" w:w="2016"/>
            <w:tcMar>
              <w:top w:w="95" w:type="dxa"/>
              <w:start w:w="95" w:type="dxa"/>
              <w:bottom w:w="95" w:type="dxa"/>
              <w:end w:w="95" w:type="dxa"/>
            </w:tcMar>
            <w:vAlign w:val="center"/>
            <w:shd w:fill="EAF4EE"/>
          </w:tcPr>
          <w:p>
            <w:pPr>
              <w:spacing w:after="0" w:line="245" w:lineRule="auto"/>
            </w:pPr>
            <w:r>
              <w:rPr>
                <w:sz w:val="17"/>
              </w:rPr>
              <w:t>Inventory</w:t>
            </w:r>
          </w:p>
        </w:tc>
        <w:tc>
          <w:tcPr>
            <w:tcW w:type="dxa" w:w="7776"/>
            <w:tcMar>
              <w:top w:w="95" w:type="dxa"/>
              <w:start w:w="95" w:type="dxa"/>
              <w:bottom w:w="95" w:type="dxa"/>
              <w:end w:w="95" w:type="dxa"/>
            </w:tcMar>
            <w:vAlign w:val="center"/>
            <w:shd w:fill="EAF4EE"/>
          </w:tcPr>
          <w:p>
            <w:pPr>
              <w:spacing w:after="0" w:line="245" w:lineRule="auto"/>
            </w:pPr>
            <w:r>
              <w:rPr>
                <w:sz w:val="17"/>
              </w:rPr>
              <w:t>batches stock_balances stock_movements counts count_lines adjustments recalls quarantines disposals.</w:t>
            </w:r>
          </w:p>
        </w:tc>
      </w:tr>
      <w:tr>
        <w:tc>
          <w:tcPr>
            <w:tcW w:type="dxa" w:w="2016"/>
            <w:tcMar>
              <w:top w:w="95" w:type="dxa"/>
              <w:start w:w="95" w:type="dxa"/>
              <w:bottom w:w="95" w:type="dxa"/>
              <w:end w:w="95" w:type="dxa"/>
            </w:tcMar>
            <w:vAlign w:val="center"/>
          </w:tcPr>
          <w:p>
            <w:pPr>
              <w:spacing w:after="0" w:line="245" w:lineRule="auto"/>
            </w:pPr>
            <w:r>
              <w:rPr>
                <w:sz w:val="17"/>
              </w:rPr>
              <w:t>Purchasing</w:t>
            </w:r>
          </w:p>
        </w:tc>
        <w:tc>
          <w:tcPr>
            <w:tcW w:type="dxa" w:w="7776"/>
            <w:tcMar>
              <w:top w:w="95" w:type="dxa"/>
              <w:start w:w="95" w:type="dxa"/>
              <w:bottom w:w="95" w:type="dxa"/>
              <w:end w:w="95" w:type="dxa"/>
            </w:tcMar>
            <w:vAlign w:val="center"/>
          </w:tcPr>
          <w:p>
            <w:pPr>
              <w:spacing w:after="0" w:line="245" w:lineRule="auto"/>
            </w:pPr>
            <w:r>
              <w:rPr>
                <w:sz w:val="17"/>
              </w:rPr>
              <w:t>purchase_requests purchase_orders purchase_lines goods_receipts receipt_lines supplier_invoices supplier_payments supplier_returns.</w:t>
            </w:r>
          </w:p>
        </w:tc>
      </w:tr>
      <w:tr>
        <w:tc>
          <w:tcPr>
            <w:tcW w:type="dxa" w:w="2016"/>
            <w:tcMar>
              <w:top w:w="95" w:type="dxa"/>
              <w:start w:w="95" w:type="dxa"/>
              <w:bottom w:w="95" w:type="dxa"/>
              <w:end w:w="95" w:type="dxa"/>
            </w:tcMar>
            <w:vAlign w:val="center"/>
            <w:shd w:fill="EAF4EE"/>
          </w:tcPr>
          <w:p>
            <w:pPr>
              <w:spacing w:after="0" w:line="245" w:lineRule="auto"/>
            </w:pPr>
            <w:r>
              <w:rPr>
                <w:sz w:val="17"/>
              </w:rPr>
              <w:t>Sales</w:t>
            </w:r>
          </w:p>
        </w:tc>
        <w:tc>
          <w:tcPr>
            <w:tcW w:type="dxa" w:w="7776"/>
            <w:tcMar>
              <w:top w:w="95" w:type="dxa"/>
              <w:start w:w="95" w:type="dxa"/>
              <w:bottom w:w="95" w:type="dxa"/>
              <w:end w:w="95" w:type="dxa"/>
            </w:tcMar>
            <w:vAlign w:val="center"/>
            <w:shd w:fill="EAF4EE"/>
          </w:tcPr>
          <w:p>
            <w:pPr>
              <w:spacing w:after="0" w:line="245" w:lineRule="auto"/>
            </w:pPr>
            <w:r>
              <w:rPr>
                <w:sz w:val="17"/>
              </w:rPr>
              <w:t>sales sale_lines payments receipts returns return_lines refunds prescriptions dispensing_records.</w:t>
            </w:r>
          </w:p>
        </w:tc>
      </w:tr>
      <w:tr>
        <w:tc>
          <w:tcPr>
            <w:tcW w:type="dxa" w:w="2016"/>
            <w:tcMar>
              <w:top w:w="95" w:type="dxa"/>
              <w:start w:w="95" w:type="dxa"/>
              <w:bottom w:w="95" w:type="dxa"/>
              <w:end w:w="95" w:type="dxa"/>
            </w:tcMar>
            <w:vAlign w:val="center"/>
          </w:tcPr>
          <w:p>
            <w:pPr>
              <w:spacing w:after="0" w:line="245" w:lineRule="auto"/>
            </w:pPr>
            <w:r>
              <w:rPr>
                <w:sz w:val="17"/>
              </w:rPr>
              <w:t>Finance</w:t>
            </w:r>
          </w:p>
        </w:tc>
        <w:tc>
          <w:tcPr>
            <w:tcW w:type="dxa" w:w="7776"/>
            <w:tcMar>
              <w:top w:w="95" w:type="dxa"/>
              <w:start w:w="95" w:type="dxa"/>
              <w:bottom w:w="95" w:type="dxa"/>
              <w:end w:w="95" w:type="dxa"/>
            </w:tcMar>
            <w:vAlign w:val="center"/>
          </w:tcPr>
          <w:p>
            <w:pPr>
              <w:spacing w:after="0" w:line="245" w:lineRule="auto"/>
            </w:pPr>
            <w:r>
              <w:rPr>
                <w:sz w:val="17"/>
              </w:rPr>
              <w:t>customers receivables collections suppliers payables expenses loans repayments cash_shifts reconciliations.</w:t>
            </w:r>
          </w:p>
        </w:tc>
      </w:tr>
      <w:tr>
        <w:tc>
          <w:tcPr>
            <w:tcW w:type="dxa" w:w="2016"/>
            <w:tcMar>
              <w:top w:w="95" w:type="dxa"/>
              <w:start w:w="95" w:type="dxa"/>
              <w:bottom w:w="95" w:type="dxa"/>
              <w:end w:w="95" w:type="dxa"/>
            </w:tcMar>
            <w:vAlign w:val="center"/>
            <w:shd w:fill="EAF4EE"/>
          </w:tcPr>
          <w:p>
            <w:pPr>
              <w:spacing w:after="0" w:line="245" w:lineRule="auto"/>
            </w:pPr>
            <w:r>
              <w:rPr>
                <w:sz w:val="17"/>
              </w:rPr>
              <w:t>Governance</w:t>
            </w:r>
          </w:p>
        </w:tc>
        <w:tc>
          <w:tcPr>
            <w:tcW w:type="dxa" w:w="7776"/>
            <w:tcMar>
              <w:top w:w="95" w:type="dxa"/>
              <w:start w:w="95" w:type="dxa"/>
              <w:bottom w:w="95" w:type="dxa"/>
              <w:end w:w="95" w:type="dxa"/>
            </w:tcMar>
            <w:vAlign w:val="center"/>
            <w:shd w:fill="EAF4EE"/>
          </w:tcPr>
          <w:p>
            <w:pPr>
              <w:spacing w:after="0" w:line="245" w:lineRule="auto"/>
            </w:pPr>
            <w:r>
              <w:rPr>
                <w:sz w:val="17"/>
              </w:rPr>
              <w:t>audit_events alerts notifications exports import_jobs backup_jobs restore_tests application_versions.</w:t>
            </w:r>
          </w:p>
        </w:tc>
      </w:tr>
    </w:tbl>
    <w:p>
      <w:pPr>
        <w:spacing w:after="0"/>
        <w:widowControl/>
      </w:pPr>
    </w:p>
    <w:p>
      <w:pPr>
        <w:pStyle w:val="Heading2"/>
        <w:keepNext/>
        <w:widowControl/>
      </w:pPr>
      <w:r>
        <w:t>Identifier Strategy</w:t>
      </w:r>
    </w:p>
    <w:p>
      <w:pPr>
        <w:pStyle w:val="ListBullet"/>
        <w:spacing w:after="40"/>
        <w:widowControl/>
      </w:pPr>
      <w:r>
        <w:t>Use UUID primary identifiers for records that may migrate or synchronize across installations.</w:t>
      </w:r>
    </w:p>
    <w:p>
      <w:pPr>
        <w:pStyle w:val="ListBullet"/>
        <w:spacing w:after="40"/>
        <w:widowControl/>
      </w:pPr>
      <w:r>
        <w:t>Use separate human-readable references for receipts purchases payments counts and adjustments.</w:t>
      </w:r>
    </w:p>
    <w:p>
      <w:pPr>
        <w:pStyle w:val="ListBullet"/>
        <w:spacing w:after="40"/>
        <w:widowControl/>
      </w:pPr>
      <w:r>
        <w:t>Reference generation must be atomic and scoped by organization branch document type and period where required.</w:t>
      </w:r>
    </w:p>
    <w:p>
      <w:pPr>
        <w:pStyle w:val="ListBullet"/>
        <w:spacing w:after="40"/>
        <w:widowControl/>
      </w:pPr>
      <w:r>
        <w:t>Never infer authorization or branch ownership from the visible reference alone.</w:t>
      </w:r>
    </w:p>
    <w:p>
      <w:pPr>
        <w:pStyle w:val="Heading2"/>
        <w:keepNext/>
        <w:widowControl/>
      </w:pPr>
      <w:r>
        <w:t>Inventory Ledger Model</w:t>
      </w:r>
    </w:p>
    <w:p>
      <w:pPr>
        <w:widowControl/>
      </w:pPr>
      <w:r>
        <w:t>Stock movements are the permanent explanation for changes. A balance table may provide fast current quantities, but it must be updated inside the same transaction as the movement. Reconciliation compares the movement-derived position, the maintained balance, and the approved physical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val="true"/>
        </w:trPr>
        <w:tc>
          <w:tcPr>
            <w:tcW w:type="dxa" w:w="1944"/>
            <w:shd w:fill="0F5132"/>
            <w:tcMar>
              <w:top w:w="95" w:type="dxa"/>
              <w:start w:w="95" w:type="dxa"/>
              <w:bottom w:w="95" w:type="dxa"/>
              <w:end w:w="95" w:type="dxa"/>
            </w:tcMar>
            <w:vAlign w:val="center"/>
          </w:tcPr>
          <w:p>
            <w:pPr>
              <w:spacing w:after="0"/>
            </w:pPr>
            <w:r>
              <w:rPr>
                <w:b/>
                <w:color w:val="FFFFFF"/>
                <w:sz w:val="17"/>
              </w:rPr>
              <w:t>Movement type</w:t>
            </w:r>
          </w:p>
        </w:tc>
        <w:tc>
          <w:tcPr>
            <w:tcW w:type="dxa" w:w="3816"/>
            <w:shd w:fill="0F5132"/>
            <w:tcMar>
              <w:top w:w="95" w:type="dxa"/>
              <w:start w:w="95" w:type="dxa"/>
              <w:bottom w:w="95" w:type="dxa"/>
              <w:end w:w="95" w:type="dxa"/>
            </w:tcMar>
            <w:vAlign w:val="center"/>
          </w:tcPr>
          <w:p>
            <w:pPr>
              <w:spacing w:after="0"/>
            </w:pPr>
            <w:r>
              <w:rPr>
                <w:b/>
                <w:color w:val="FFFFFF"/>
                <w:sz w:val="17"/>
              </w:rPr>
              <w:t>Source</w:t>
            </w:r>
          </w:p>
        </w:tc>
        <w:tc>
          <w:tcPr>
            <w:tcW w:type="dxa" w:w="4032"/>
            <w:shd w:fill="0F5132"/>
            <w:tcMar>
              <w:top w:w="95" w:type="dxa"/>
              <w:start w:w="95" w:type="dxa"/>
              <w:bottom w:w="95" w:type="dxa"/>
              <w:end w:w="95" w:type="dxa"/>
            </w:tcMar>
            <w:vAlign w:val="center"/>
          </w:tcPr>
          <w:p>
            <w:pPr>
              <w:spacing w:after="0"/>
            </w:pPr>
            <w:r>
              <w:rPr>
                <w:b/>
                <w:color w:val="FFFFFF"/>
                <w:sz w:val="17"/>
              </w:rPr>
              <w:t>Effect</w:t>
            </w:r>
          </w:p>
        </w:tc>
      </w:tr>
      <w:tr>
        <w:tc>
          <w:tcPr>
            <w:tcW w:type="dxa" w:w="1944"/>
            <w:tcMar>
              <w:top w:w="95" w:type="dxa"/>
              <w:start w:w="95" w:type="dxa"/>
              <w:bottom w:w="95" w:type="dxa"/>
              <w:end w:w="95" w:type="dxa"/>
            </w:tcMar>
            <w:vAlign w:val="center"/>
          </w:tcPr>
          <w:p>
            <w:pPr>
              <w:spacing w:after="0" w:line="245" w:lineRule="auto"/>
            </w:pPr>
            <w:r>
              <w:rPr>
                <w:sz w:val="17"/>
              </w:rPr>
              <w:t>Opening</w:t>
            </w:r>
          </w:p>
        </w:tc>
        <w:tc>
          <w:tcPr>
            <w:tcW w:type="dxa" w:w="3816"/>
            <w:tcMar>
              <w:top w:w="95" w:type="dxa"/>
              <w:start w:w="95" w:type="dxa"/>
              <w:bottom w:w="95" w:type="dxa"/>
              <w:end w:w="95" w:type="dxa"/>
            </w:tcMar>
            <w:vAlign w:val="center"/>
          </w:tcPr>
          <w:p>
            <w:pPr>
              <w:spacing w:after="0" w:line="245" w:lineRule="auto"/>
            </w:pPr>
            <w:r>
              <w:rPr>
                <w:sz w:val="17"/>
              </w:rPr>
              <w:t>Approved migration or opening balance</w:t>
            </w:r>
          </w:p>
        </w:tc>
        <w:tc>
          <w:tcPr>
            <w:tcW w:type="dxa" w:w="4032"/>
            <w:tcMar>
              <w:top w:w="95" w:type="dxa"/>
              <w:start w:w="95" w:type="dxa"/>
              <w:bottom w:w="95" w:type="dxa"/>
              <w:end w:w="95" w:type="dxa"/>
            </w:tcMar>
            <w:vAlign w:val="center"/>
          </w:tcPr>
          <w:p>
            <w:pPr>
              <w:spacing w:after="0" w:line="245" w:lineRule="auto"/>
            </w:pPr>
            <w:r>
              <w:rPr>
                <w:sz w:val="17"/>
              </w:rPr>
              <w:t>Creates starting stock by batch and condition.</w:t>
            </w:r>
          </w:p>
        </w:tc>
      </w:tr>
      <w:tr>
        <w:tc>
          <w:tcPr>
            <w:tcW w:type="dxa" w:w="1944"/>
            <w:tcMar>
              <w:top w:w="95" w:type="dxa"/>
              <w:start w:w="95" w:type="dxa"/>
              <w:bottom w:w="95" w:type="dxa"/>
              <w:end w:w="95" w:type="dxa"/>
            </w:tcMar>
            <w:vAlign w:val="center"/>
            <w:shd w:fill="EAF4EE"/>
          </w:tcPr>
          <w:p>
            <w:pPr>
              <w:spacing w:after="0" w:line="245" w:lineRule="auto"/>
            </w:pPr>
            <w:r>
              <w:rPr>
                <w:sz w:val="17"/>
              </w:rPr>
              <w:t>Receipt</w:t>
            </w:r>
          </w:p>
        </w:tc>
        <w:tc>
          <w:tcPr>
            <w:tcW w:type="dxa" w:w="3816"/>
            <w:tcMar>
              <w:top w:w="95" w:type="dxa"/>
              <w:start w:w="95" w:type="dxa"/>
              <w:bottom w:w="95" w:type="dxa"/>
              <w:end w:w="95" w:type="dxa"/>
            </w:tcMar>
            <w:vAlign w:val="center"/>
            <w:shd w:fill="EAF4EE"/>
          </w:tcPr>
          <w:p>
            <w:pPr>
              <w:spacing w:after="0" w:line="245" w:lineRule="auto"/>
            </w:pPr>
            <w:r>
              <w:rPr>
                <w:sz w:val="17"/>
              </w:rPr>
              <w:t>Accepted goods receipt</w:t>
            </w:r>
          </w:p>
        </w:tc>
        <w:tc>
          <w:tcPr>
            <w:tcW w:type="dxa" w:w="4032"/>
            <w:tcMar>
              <w:top w:w="95" w:type="dxa"/>
              <w:start w:w="95" w:type="dxa"/>
              <w:bottom w:w="95" w:type="dxa"/>
              <w:end w:w="95" w:type="dxa"/>
            </w:tcMar>
            <w:vAlign w:val="center"/>
            <w:shd w:fill="EAF4EE"/>
          </w:tcPr>
          <w:p>
            <w:pPr>
              <w:spacing w:after="0" w:line="245" w:lineRule="auto"/>
            </w:pPr>
            <w:r>
              <w:rPr>
                <w:sz w:val="17"/>
              </w:rPr>
              <w:t>Increases eligible or quarantined stock according to receiving decision.</w:t>
            </w:r>
          </w:p>
        </w:tc>
      </w:tr>
      <w:tr>
        <w:tc>
          <w:tcPr>
            <w:tcW w:type="dxa" w:w="1944"/>
            <w:tcMar>
              <w:top w:w="95" w:type="dxa"/>
              <w:start w:w="95" w:type="dxa"/>
              <w:bottom w:w="95" w:type="dxa"/>
              <w:end w:w="95" w:type="dxa"/>
            </w:tcMar>
            <w:vAlign w:val="center"/>
          </w:tcPr>
          <w:p>
            <w:pPr>
              <w:spacing w:after="0" w:line="245" w:lineRule="auto"/>
            </w:pPr>
            <w:r>
              <w:rPr>
                <w:sz w:val="17"/>
              </w:rPr>
              <w:t>Sale</w:t>
            </w:r>
          </w:p>
        </w:tc>
        <w:tc>
          <w:tcPr>
            <w:tcW w:type="dxa" w:w="3816"/>
            <w:tcMar>
              <w:top w:w="95" w:type="dxa"/>
              <w:start w:w="95" w:type="dxa"/>
              <w:bottom w:w="95" w:type="dxa"/>
              <w:end w:w="95" w:type="dxa"/>
            </w:tcMar>
            <w:vAlign w:val="center"/>
          </w:tcPr>
          <w:p>
            <w:pPr>
              <w:spacing w:after="0" w:line="245" w:lineRule="auto"/>
            </w:pPr>
            <w:r>
              <w:rPr>
                <w:sz w:val="17"/>
              </w:rPr>
              <w:t>Completed sale line</w:t>
            </w:r>
          </w:p>
        </w:tc>
        <w:tc>
          <w:tcPr>
            <w:tcW w:type="dxa" w:w="4032"/>
            <w:tcMar>
              <w:top w:w="95" w:type="dxa"/>
              <w:start w:w="95" w:type="dxa"/>
              <w:bottom w:w="95" w:type="dxa"/>
              <w:end w:w="95" w:type="dxa"/>
            </w:tcMar>
            <w:vAlign w:val="center"/>
          </w:tcPr>
          <w:p>
            <w:pPr>
              <w:spacing w:after="0" w:line="245" w:lineRule="auto"/>
            </w:pPr>
            <w:r>
              <w:rPr>
                <w:sz w:val="17"/>
              </w:rPr>
              <w:t>Decreases the selected eligible batch.</w:t>
            </w:r>
          </w:p>
        </w:tc>
      </w:tr>
      <w:tr>
        <w:tc>
          <w:tcPr>
            <w:tcW w:type="dxa" w:w="1944"/>
            <w:tcMar>
              <w:top w:w="95" w:type="dxa"/>
              <w:start w:w="95" w:type="dxa"/>
              <w:bottom w:w="95" w:type="dxa"/>
              <w:end w:w="95" w:type="dxa"/>
            </w:tcMar>
            <w:vAlign w:val="center"/>
            <w:shd w:fill="EAF4EE"/>
          </w:tcPr>
          <w:p>
            <w:pPr>
              <w:spacing w:after="0" w:line="245" w:lineRule="auto"/>
            </w:pPr>
            <w:r>
              <w:rPr>
                <w:sz w:val="17"/>
              </w:rPr>
              <w:t>Return in</w:t>
            </w:r>
          </w:p>
        </w:tc>
        <w:tc>
          <w:tcPr>
            <w:tcW w:type="dxa" w:w="3816"/>
            <w:tcMar>
              <w:top w:w="95" w:type="dxa"/>
              <w:start w:w="95" w:type="dxa"/>
              <w:bottom w:w="95" w:type="dxa"/>
              <w:end w:w="95" w:type="dxa"/>
            </w:tcMar>
            <w:vAlign w:val="center"/>
            <w:shd w:fill="EAF4EE"/>
          </w:tcPr>
          <w:p>
            <w:pPr>
              <w:spacing w:after="0" w:line="245" w:lineRule="auto"/>
            </w:pPr>
            <w:r>
              <w:rPr>
                <w:sz w:val="17"/>
              </w:rPr>
              <w:t>Approved sales return condition decision</w:t>
            </w:r>
          </w:p>
        </w:tc>
        <w:tc>
          <w:tcPr>
            <w:tcW w:type="dxa" w:w="4032"/>
            <w:tcMar>
              <w:top w:w="95" w:type="dxa"/>
              <w:start w:w="95" w:type="dxa"/>
              <w:bottom w:w="95" w:type="dxa"/>
              <w:end w:w="95" w:type="dxa"/>
            </w:tcMar>
            <w:vAlign w:val="center"/>
            <w:shd w:fill="EAF4EE"/>
          </w:tcPr>
          <w:p>
            <w:pPr>
              <w:spacing w:after="0" w:line="245" w:lineRule="auto"/>
            </w:pPr>
            <w:r>
              <w:rPr>
                <w:sz w:val="17"/>
              </w:rPr>
              <w:t>Increases the chosen stock condition.</w:t>
            </w:r>
          </w:p>
        </w:tc>
      </w:tr>
      <w:tr>
        <w:tc>
          <w:tcPr>
            <w:tcW w:type="dxa" w:w="1944"/>
            <w:tcMar>
              <w:top w:w="95" w:type="dxa"/>
              <w:start w:w="95" w:type="dxa"/>
              <w:bottom w:w="95" w:type="dxa"/>
              <w:end w:w="95" w:type="dxa"/>
            </w:tcMar>
            <w:vAlign w:val="center"/>
          </w:tcPr>
          <w:p>
            <w:pPr>
              <w:spacing w:after="0" w:line="245" w:lineRule="auto"/>
            </w:pPr>
            <w:r>
              <w:rPr>
                <w:sz w:val="17"/>
              </w:rPr>
              <w:t>Supplier return</w:t>
            </w:r>
          </w:p>
        </w:tc>
        <w:tc>
          <w:tcPr>
            <w:tcW w:type="dxa" w:w="3816"/>
            <w:tcMar>
              <w:top w:w="95" w:type="dxa"/>
              <w:start w:w="95" w:type="dxa"/>
              <w:bottom w:w="95" w:type="dxa"/>
              <w:end w:w="95" w:type="dxa"/>
            </w:tcMar>
            <w:vAlign w:val="center"/>
          </w:tcPr>
          <w:p>
            <w:pPr>
              <w:spacing w:after="0" w:line="245" w:lineRule="auto"/>
            </w:pPr>
            <w:r>
              <w:rPr>
                <w:sz w:val="17"/>
              </w:rPr>
              <w:t>Approved supplier return</w:t>
            </w:r>
          </w:p>
        </w:tc>
        <w:tc>
          <w:tcPr>
            <w:tcW w:type="dxa" w:w="4032"/>
            <w:tcMar>
              <w:top w:w="95" w:type="dxa"/>
              <w:start w:w="95" w:type="dxa"/>
              <w:bottom w:w="95" w:type="dxa"/>
              <w:end w:w="95" w:type="dxa"/>
            </w:tcMar>
            <w:vAlign w:val="center"/>
          </w:tcPr>
          <w:p>
            <w:pPr>
              <w:spacing w:after="0" w:line="245" w:lineRule="auto"/>
            </w:pPr>
            <w:r>
              <w:rPr>
                <w:sz w:val="17"/>
              </w:rPr>
              <w:t>Decreases the returned batch and records supplier claim or credit.</w:t>
            </w:r>
          </w:p>
        </w:tc>
      </w:tr>
      <w:tr>
        <w:tc>
          <w:tcPr>
            <w:tcW w:type="dxa" w:w="1944"/>
            <w:tcMar>
              <w:top w:w="95" w:type="dxa"/>
              <w:start w:w="95" w:type="dxa"/>
              <w:bottom w:w="95" w:type="dxa"/>
              <w:end w:w="95" w:type="dxa"/>
            </w:tcMar>
            <w:vAlign w:val="center"/>
            <w:shd w:fill="EAF4EE"/>
          </w:tcPr>
          <w:p>
            <w:pPr>
              <w:spacing w:after="0" w:line="245" w:lineRule="auto"/>
            </w:pPr>
            <w:r>
              <w:rPr>
                <w:sz w:val="17"/>
              </w:rPr>
              <w:t>Adjustment</w:t>
            </w:r>
          </w:p>
        </w:tc>
        <w:tc>
          <w:tcPr>
            <w:tcW w:type="dxa" w:w="3816"/>
            <w:tcMar>
              <w:top w:w="95" w:type="dxa"/>
              <w:start w:w="95" w:type="dxa"/>
              <w:bottom w:w="95" w:type="dxa"/>
              <w:end w:w="95" w:type="dxa"/>
            </w:tcMar>
            <w:vAlign w:val="center"/>
            <w:shd w:fill="EAF4EE"/>
          </w:tcPr>
          <w:p>
            <w:pPr>
              <w:spacing w:after="0" w:line="245" w:lineRule="auto"/>
            </w:pPr>
            <w:r>
              <w:rPr>
                <w:sz w:val="17"/>
              </w:rPr>
              <w:t>Approved count or correction</w:t>
            </w:r>
          </w:p>
        </w:tc>
        <w:tc>
          <w:tcPr>
            <w:tcW w:type="dxa" w:w="4032"/>
            <w:tcMar>
              <w:top w:w="95" w:type="dxa"/>
              <w:start w:w="95" w:type="dxa"/>
              <w:bottom w:w="95" w:type="dxa"/>
              <w:end w:w="95" w:type="dxa"/>
            </w:tcMar>
            <w:vAlign w:val="center"/>
            <w:shd w:fill="EAF4EE"/>
          </w:tcPr>
          <w:p>
            <w:pPr>
              <w:spacing w:after="0" w:line="245" w:lineRule="auto"/>
            </w:pPr>
            <w:r>
              <w:rPr>
                <w:sz w:val="17"/>
              </w:rPr>
              <w:t>Changes stock with reason approver and variance evidence.</w:t>
            </w:r>
          </w:p>
        </w:tc>
      </w:tr>
      <w:tr>
        <w:tc>
          <w:tcPr>
            <w:tcW w:type="dxa" w:w="1944"/>
            <w:tcMar>
              <w:top w:w="95" w:type="dxa"/>
              <w:start w:w="95" w:type="dxa"/>
              <w:bottom w:w="95" w:type="dxa"/>
              <w:end w:w="95" w:type="dxa"/>
            </w:tcMar>
            <w:vAlign w:val="center"/>
          </w:tcPr>
          <w:p>
            <w:pPr>
              <w:spacing w:after="0" w:line="245" w:lineRule="auto"/>
            </w:pPr>
            <w:r>
              <w:rPr>
                <w:sz w:val="17"/>
              </w:rPr>
              <w:t>Quarantine</w:t>
            </w:r>
          </w:p>
        </w:tc>
        <w:tc>
          <w:tcPr>
            <w:tcW w:type="dxa" w:w="3816"/>
            <w:tcMar>
              <w:top w:w="95" w:type="dxa"/>
              <w:start w:w="95" w:type="dxa"/>
              <w:bottom w:w="95" w:type="dxa"/>
              <w:end w:w="95" w:type="dxa"/>
            </w:tcMar>
            <w:vAlign w:val="center"/>
          </w:tcPr>
          <w:p>
            <w:pPr>
              <w:spacing w:after="0" w:line="245" w:lineRule="auto"/>
            </w:pPr>
            <w:r>
              <w:rPr>
                <w:sz w:val="17"/>
              </w:rPr>
              <w:t>Safety or quality action</w:t>
            </w:r>
          </w:p>
        </w:tc>
        <w:tc>
          <w:tcPr>
            <w:tcW w:type="dxa" w:w="4032"/>
            <w:tcMar>
              <w:top w:w="95" w:type="dxa"/>
              <w:start w:w="95" w:type="dxa"/>
              <w:bottom w:w="95" w:type="dxa"/>
              <w:end w:w="95" w:type="dxa"/>
            </w:tcMar>
            <w:vAlign w:val="center"/>
          </w:tcPr>
          <w:p>
            <w:pPr>
              <w:spacing w:after="0" w:line="245" w:lineRule="auto"/>
            </w:pPr>
            <w:r>
              <w:rPr>
                <w:sz w:val="17"/>
              </w:rPr>
              <w:t>Moves quantity between conditions without inflating total stock.</w:t>
            </w:r>
          </w:p>
        </w:tc>
      </w:tr>
      <w:tr>
        <w:tc>
          <w:tcPr>
            <w:tcW w:type="dxa" w:w="1944"/>
            <w:tcMar>
              <w:top w:w="95" w:type="dxa"/>
              <w:start w:w="95" w:type="dxa"/>
              <w:bottom w:w="95" w:type="dxa"/>
              <w:end w:w="95" w:type="dxa"/>
            </w:tcMar>
            <w:vAlign w:val="center"/>
            <w:shd w:fill="EAF4EE"/>
          </w:tcPr>
          <w:p>
            <w:pPr>
              <w:spacing w:after="0" w:line="245" w:lineRule="auto"/>
            </w:pPr>
            <w:r>
              <w:rPr>
                <w:sz w:val="17"/>
              </w:rPr>
              <w:t>Disposal</w:t>
            </w:r>
          </w:p>
        </w:tc>
        <w:tc>
          <w:tcPr>
            <w:tcW w:type="dxa" w:w="3816"/>
            <w:tcMar>
              <w:top w:w="95" w:type="dxa"/>
              <w:start w:w="95" w:type="dxa"/>
              <w:bottom w:w="95" w:type="dxa"/>
              <w:end w:w="95" w:type="dxa"/>
            </w:tcMar>
            <w:vAlign w:val="center"/>
            <w:shd w:fill="EAF4EE"/>
          </w:tcPr>
          <w:p>
            <w:pPr>
              <w:spacing w:after="0" w:line="245" w:lineRule="auto"/>
            </w:pPr>
            <w:r>
              <w:rPr>
                <w:sz w:val="17"/>
              </w:rPr>
              <w:t>Approved expired damaged or recalled disposal</w:t>
            </w:r>
          </w:p>
        </w:tc>
        <w:tc>
          <w:tcPr>
            <w:tcW w:type="dxa" w:w="4032"/>
            <w:tcMar>
              <w:top w:w="95" w:type="dxa"/>
              <w:start w:w="95" w:type="dxa"/>
              <w:bottom w:w="95" w:type="dxa"/>
              <w:end w:w="95" w:type="dxa"/>
            </w:tcMar>
            <w:vAlign w:val="center"/>
            <w:shd w:fill="EAF4EE"/>
          </w:tcPr>
          <w:p>
            <w:pPr>
              <w:spacing w:after="0" w:line="245" w:lineRule="auto"/>
            </w:pPr>
            <w:r>
              <w:rPr>
                <w:sz w:val="17"/>
              </w:rPr>
              <w:t>Removes the disposed quantity permanently.</w:t>
            </w:r>
          </w:p>
        </w:tc>
      </w:tr>
    </w:tbl>
    <w:p>
      <w:pPr>
        <w:spacing w:after="0"/>
        <w:widowControl/>
      </w:pPr>
    </w:p>
    <w:p>
      <w:pPr>
        <w:pStyle w:val="Heading2"/>
        <w:keepNext/>
        <w:widowControl/>
      </w:pPr>
      <w:r>
        <w:t>Financial Data Rules</w:t>
      </w:r>
    </w:p>
    <w:p>
      <w:pPr>
        <w:pStyle w:val="ListBullet"/>
        <w:spacing w:after="40"/>
        <w:widowControl/>
      </w:pPr>
      <w:r>
        <w:t>Use fixed-precision numeric fields for money and store the currency explicitly.</w:t>
      </w:r>
    </w:p>
    <w:p>
      <w:pPr>
        <w:pStyle w:val="ListBullet"/>
        <w:spacing w:after="40"/>
        <w:widowControl/>
      </w:pPr>
      <w:r>
        <w:t>Store calculated transaction totals and enough component values to reproduce and audit them.</w:t>
      </w:r>
    </w:p>
    <w:p>
      <w:pPr>
        <w:pStyle w:val="ListBullet"/>
        <w:spacing w:after="40"/>
        <w:widowControl/>
      </w:pPr>
      <w:r>
        <w:t>Record allocations between payments and invoices or receivables instead of changing balances without explanation.</w:t>
      </w:r>
    </w:p>
    <w:p>
      <w:pPr>
        <w:pStyle w:val="ListBullet"/>
        <w:spacing w:after="40"/>
        <w:widowControl/>
      </w:pPr>
      <w:r>
        <w:t>Separate loan principal interest fees revenue expense and owner funding categories.</w:t>
      </w:r>
    </w:p>
    <w:p>
      <w:pPr>
        <w:pStyle w:val="ListBullet"/>
        <w:spacing w:after="40"/>
        <w:widowControl/>
      </w:pPr>
      <w:r>
        <w:t>Use database constraints to prevent invalid negative values impossible state transitions and duplicate business references.</w:t>
      </w:r>
    </w:p>
    <w:p>
      <w:pPr>
        <w:pStyle w:val="Heading2"/>
        <w:keepNext/>
        <w:widowControl/>
      </w:pPr>
      <w:r>
        <w:t>Indexing and Query Design</w:t>
      </w:r>
    </w:p>
    <w:p>
      <w:pPr>
        <w:pStyle w:val="ListBullet"/>
        <w:spacing w:after="40"/>
        <w:widowControl/>
      </w:pPr>
      <w:r>
        <w:t>Index barcode product code normalized names branch batch expiry status and common transaction dates.</w:t>
      </w:r>
    </w:p>
    <w:p>
      <w:pPr>
        <w:pStyle w:val="ListBullet"/>
        <w:spacing w:after="40"/>
        <w:widowControl/>
      </w:pPr>
      <w:r>
        <w:t>Use composite indexes for branch plus status plus date queries used by dashboards and operational queues.</w:t>
      </w:r>
    </w:p>
    <w:p>
      <w:pPr>
        <w:pStyle w:val="ListBullet"/>
        <w:spacing w:after="40"/>
        <w:widowControl/>
      </w:pPr>
      <w:r>
        <w:t>Use partial indexes for active unresolved or saleable records where query plans justify them.</w:t>
      </w:r>
    </w:p>
    <w:p>
      <w:pPr>
        <w:pStyle w:val="ListBullet"/>
        <w:spacing w:after="40"/>
        <w:widowControl/>
      </w:pPr>
      <w:r>
        <w:t>Review execution plans for stock search dashboard expiry ageing audit and detailed-report queries.</w:t>
      </w:r>
    </w:p>
    <w:p>
      <w:pPr>
        <w:pStyle w:val="ListBullet"/>
        <w:spacing w:after="40"/>
        <w:widowControl/>
      </w:pPr>
      <w:r>
        <w:t>Move heavy exports and long-period reports to background jobs when they threaten point-of-sale latency.</w:t>
      </w:r>
    </w:p>
    <w:p>
      <w:pPr>
        <w:pStyle w:val="Heading2"/>
        <w:keepNext/>
        <w:widowControl/>
      </w:pPr>
      <w:r>
        <w:t>Database Migration Rules</w:t>
      </w:r>
    </w:p>
    <w:p>
      <w:pPr>
        <w:pStyle w:val="ListBullet"/>
        <w:spacing w:after="40"/>
        <w:widowControl/>
      </w:pPr>
      <w:r>
        <w:t>Every schema change uses a reviewed Django migration and records the resulting schema version.</w:t>
      </w:r>
    </w:p>
    <w:p>
      <w:pPr>
        <w:pStyle w:val="ListBullet"/>
        <w:spacing w:after="40"/>
        <w:widowControl/>
      </w:pPr>
      <w:r>
        <w:t>Potentially destructive or long-running changes require a tested staged migration plan and recent verified backup.</w:t>
      </w:r>
    </w:p>
    <w:p>
      <w:pPr>
        <w:pStyle w:val="ListBullet"/>
        <w:spacing w:after="40"/>
        <w:widowControl/>
      </w:pPr>
      <w:r>
        <w:t>Application versions must declare compatible schema versions.</w:t>
      </w:r>
    </w:p>
    <w:p>
      <w:pPr>
        <w:pStyle w:val="ListBullet"/>
        <w:spacing w:after="40"/>
        <w:widowControl/>
      </w:pPr>
      <w:r>
        <w:t>Rollback planning must distinguish code rollback from irreversible data migration.</w:t>
      </w:r>
    </w:p>
    <w:p>
      <w:pPr>
        <w:pStyle w:val="ListBullet"/>
        <w:spacing w:after="40"/>
        <w:widowControl/>
      </w:pPr>
      <w:r>
        <w:t>Production migration output is logged without exposing credentials or patient information.</w:t>
      </w:r>
    </w:p>
    <w:p>
      <w:pPr>
        <w:pStyle w:val="Heading1"/>
        <w:keepNext/>
        <w:widowControl/>
      </w:pPr>
      <w:r>
        <w:t>7 API and Integration Architecture</w:t>
      </w:r>
    </w:p>
    <w:p>
      <w:pPr>
        <w:pStyle w:val="Heading2"/>
        <w:keepNext/>
        <w:widowControl/>
      </w:pPr>
      <w:r>
        <w:t>API Style</w:t>
      </w:r>
    </w:p>
    <w:p>
      <w:pPr>
        <w:widowControl/>
      </w:pPr>
      <w:r>
        <w:t>Django REST Framework will expose versioned JSON APIs under a stable base path such as /api/v1. Resource endpoints cover normal records while explicit action endpoints represent approvals, completion, reversal, posting, quarantine, disposal, and other state transitions.</w:t>
      </w:r>
    </w:p>
    <w:p>
      <w:pPr>
        <w:pStyle w:val="Heading2"/>
        <w:keepNext/>
        <w:widowControl/>
      </w:pPr>
      <w:r>
        <w:t>API Standards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016"/>
            <w:shd w:fill="0F5132"/>
            <w:tcMar>
              <w:top w:w="95" w:type="dxa"/>
              <w:start w:w="95" w:type="dxa"/>
              <w:bottom w:w="95" w:type="dxa"/>
              <w:end w:w="95" w:type="dxa"/>
            </w:tcMar>
            <w:vAlign w:val="center"/>
          </w:tcPr>
          <w:p>
            <w:pPr>
              <w:spacing w:after="0"/>
            </w:pPr>
            <w:r>
              <w:rPr>
                <w:b/>
                <w:color w:val="FFFFFF"/>
                <w:sz w:val="17"/>
              </w:rPr>
              <w:t>Area</w:t>
            </w:r>
          </w:p>
        </w:tc>
        <w:tc>
          <w:tcPr>
            <w:tcW w:type="dxa" w:w="7776"/>
            <w:shd w:fill="0F5132"/>
            <w:tcMar>
              <w:top w:w="95" w:type="dxa"/>
              <w:start w:w="95" w:type="dxa"/>
              <w:bottom w:w="95" w:type="dxa"/>
              <w:end w:w="95" w:type="dxa"/>
            </w:tcMar>
            <w:vAlign w:val="center"/>
          </w:tcPr>
          <w:p>
            <w:pPr>
              <w:spacing w:after="0"/>
            </w:pPr>
            <w:r>
              <w:rPr>
                <w:b/>
                <w:color w:val="FFFFFF"/>
                <w:sz w:val="17"/>
              </w:rPr>
              <w:t>Standard</w:t>
            </w:r>
          </w:p>
        </w:tc>
      </w:tr>
      <w:tr>
        <w:tc>
          <w:tcPr>
            <w:tcW w:type="dxa" w:w="2016"/>
            <w:tcMar>
              <w:top w:w="95" w:type="dxa"/>
              <w:start w:w="95" w:type="dxa"/>
              <w:bottom w:w="95" w:type="dxa"/>
              <w:end w:w="95" w:type="dxa"/>
            </w:tcMar>
            <w:vAlign w:val="center"/>
          </w:tcPr>
          <w:p>
            <w:pPr>
              <w:spacing w:after="0" w:line="245" w:lineRule="auto"/>
            </w:pPr>
            <w:r>
              <w:rPr>
                <w:sz w:val="17"/>
              </w:rPr>
              <w:t>Authentication</w:t>
            </w:r>
          </w:p>
        </w:tc>
        <w:tc>
          <w:tcPr>
            <w:tcW w:type="dxa" w:w="7776"/>
            <w:tcMar>
              <w:top w:w="95" w:type="dxa"/>
              <w:start w:w="95" w:type="dxa"/>
              <w:bottom w:w="95" w:type="dxa"/>
              <w:end w:w="95" w:type="dxa"/>
            </w:tcMar>
            <w:vAlign w:val="center"/>
          </w:tcPr>
          <w:p>
            <w:pPr>
              <w:spacing w:after="0" w:line="245" w:lineRule="auto"/>
            </w:pPr>
            <w:r>
              <w:rPr>
                <w:sz w:val="17"/>
              </w:rPr>
              <w:t>Secure session or approved token mechanism with CSRF protection where cookies are used.</w:t>
            </w:r>
          </w:p>
        </w:tc>
      </w:tr>
      <w:tr>
        <w:tc>
          <w:tcPr>
            <w:tcW w:type="dxa" w:w="2016"/>
            <w:tcMar>
              <w:top w:w="95" w:type="dxa"/>
              <w:start w:w="95" w:type="dxa"/>
              <w:bottom w:w="95" w:type="dxa"/>
              <w:end w:w="95" w:type="dxa"/>
            </w:tcMar>
            <w:vAlign w:val="center"/>
            <w:shd w:fill="EAF4EE"/>
          </w:tcPr>
          <w:p>
            <w:pPr>
              <w:spacing w:after="0" w:line="245" w:lineRule="auto"/>
            </w:pPr>
            <w:r>
              <w:rPr>
                <w:sz w:val="17"/>
              </w:rPr>
              <w:t>Authorization</w:t>
            </w:r>
          </w:p>
        </w:tc>
        <w:tc>
          <w:tcPr>
            <w:tcW w:type="dxa" w:w="7776"/>
            <w:tcMar>
              <w:top w:w="95" w:type="dxa"/>
              <w:start w:w="95" w:type="dxa"/>
              <w:bottom w:w="95" w:type="dxa"/>
              <w:end w:w="95" w:type="dxa"/>
            </w:tcMar>
            <w:vAlign w:val="center"/>
            <w:shd w:fill="EAF4EE"/>
          </w:tcPr>
          <w:p>
            <w:pPr>
              <w:spacing w:after="0" w:line="245" w:lineRule="auto"/>
            </w:pPr>
            <w:r>
              <w:rPr>
                <w:sz w:val="17"/>
              </w:rPr>
              <w:t>Permission and branch scope checked for every protected request and queryset.</w:t>
            </w:r>
          </w:p>
        </w:tc>
      </w:tr>
      <w:tr>
        <w:tc>
          <w:tcPr>
            <w:tcW w:type="dxa" w:w="2016"/>
            <w:tcMar>
              <w:top w:w="95" w:type="dxa"/>
              <w:start w:w="95" w:type="dxa"/>
              <w:bottom w:w="95" w:type="dxa"/>
              <w:end w:w="95" w:type="dxa"/>
            </w:tcMar>
            <w:vAlign w:val="center"/>
          </w:tcPr>
          <w:p>
            <w:pPr>
              <w:spacing w:after="0" w:line="245" w:lineRule="auto"/>
            </w:pPr>
            <w:r>
              <w:rPr>
                <w:sz w:val="17"/>
              </w:rPr>
              <w:t>Validation</w:t>
            </w:r>
          </w:p>
        </w:tc>
        <w:tc>
          <w:tcPr>
            <w:tcW w:type="dxa" w:w="7776"/>
            <w:tcMar>
              <w:top w:w="95" w:type="dxa"/>
              <w:start w:w="95" w:type="dxa"/>
              <w:bottom w:w="95" w:type="dxa"/>
              <w:end w:w="95" w:type="dxa"/>
            </w:tcMar>
            <w:vAlign w:val="center"/>
          </w:tcPr>
          <w:p>
            <w:pPr>
              <w:spacing w:after="0" w:line="245" w:lineRule="auto"/>
            </w:pPr>
            <w:r>
              <w:rPr>
                <w:sz w:val="17"/>
              </w:rPr>
              <w:t>Structured field and business-rule errors with safe human-readable messages.</w:t>
            </w:r>
          </w:p>
        </w:tc>
      </w:tr>
      <w:tr>
        <w:tc>
          <w:tcPr>
            <w:tcW w:type="dxa" w:w="2016"/>
            <w:tcMar>
              <w:top w:w="95" w:type="dxa"/>
              <w:start w:w="95" w:type="dxa"/>
              <w:bottom w:w="95" w:type="dxa"/>
              <w:end w:w="95" w:type="dxa"/>
            </w:tcMar>
            <w:vAlign w:val="center"/>
            <w:shd w:fill="EAF4EE"/>
          </w:tcPr>
          <w:p>
            <w:pPr>
              <w:spacing w:after="0" w:line="245" w:lineRule="auto"/>
            </w:pPr>
            <w:r>
              <w:rPr>
                <w:sz w:val="17"/>
              </w:rPr>
              <w:t>Pagination</w:t>
            </w:r>
          </w:p>
        </w:tc>
        <w:tc>
          <w:tcPr>
            <w:tcW w:type="dxa" w:w="7776"/>
            <w:tcMar>
              <w:top w:w="95" w:type="dxa"/>
              <w:start w:w="95" w:type="dxa"/>
              <w:bottom w:w="95" w:type="dxa"/>
              <w:end w:w="95" w:type="dxa"/>
            </w:tcMar>
            <w:vAlign w:val="center"/>
            <w:shd w:fill="EAF4EE"/>
          </w:tcPr>
          <w:p>
            <w:pPr>
              <w:spacing w:after="0" w:line="245" w:lineRule="auto"/>
            </w:pPr>
            <w:r>
              <w:rPr>
                <w:sz w:val="17"/>
              </w:rPr>
              <w:t>Consistent cursor or page pagination with documented maximum page size.</w:t>
            </w:r>
          </w:p>
        </w:tc>
      </w:tr>
      <w:tr>
        <w:tc>
          <w:tcPr>
            <w:tcW w:type="dxa" w:w="2016"/>
            <w:tcMar>
              <w:top w:w="95" w:type="dxa"/>
              <w:start w:w="95" w:type="dxa"/>
              <w:bottom w:w="95" w:type="dxa"/>
              <w:end w:w="95" w:type="dxa"/>
            </w:tcMar>
            <w:vAlign w:val="center"/>
          </w:tcPr>
          <w:p>
            <w:pPr>
              <w:spacing w:after="0" w:line="245" w:lineRule="auto"/>
            </w:pPr>
            <w:r>
              <w:rPr>
                <w:sz w:val="17"/>
              </w:rPr>
              <w:t>Filtering</w:t>
            </w:r>
          </w:p>
        </w:tc>
        <w:tc>
          <w:tcPr>
            <w:tcW w:type="dxa" w:w="7776"/>
            <w:tcMar>
              <w:top w:w="95" w:type="dxa"/>
              <w:start w:w="95" w:type="dxa"/>
              <w:bottom w:w="95" w:type="dxa"/>
              <w:end w:w="95" w:type="dxa"/>
            </w:tcMar>
            <w:vAlign w:val="center"/>
          </w:tcPr>
          <w:p>
            <w:pPr>
              <w:spacing w:after="0" w:line="245" w:lineRule="auto"/>
            </w:pPr>
            <w:r>
              <w:rPr>
                <w:sz w:val="17"/>
              </w:rPr>
              <w:t>Allow-listed filters and ordering fields rather than raw client-controlled query fragments.</w:t>
            </w:r>
          </w:p>
        </w:tc>
      </w:tr>
      <w:tr>
        <w:tc>
          <w:tcPr>
            <w:tcW w:type="dxa" w:w="2016"/>
            <w:tcMar>
              <w:top w:w="95" w:type="dxa"/>
              <w:start w:w="95" w:type="dxa"/>
              <w:bottom w:w="95" w:type="dxa"/>
              <w:end w:w="95" w:type="dxa"/>
            </w:tcMar>
            <w:vAlign w:val="center"/>
            <w:shd w:fill="EAF4EE"/>
          </w:tcPr>
          <w:p>
            <w:pPr>
              <w:spacing w:after="0" w:line="245" w:lineRule="auto"/>
            </w:pPr>
            <w:r>
              <w:rPr>
                <w:sz w:val="17"/>
              </w:rPr>
              <w:t>Concurrency</w:t>
            </w:r>
          </w:p>
        </w:tc>
        <w:tc>
          <w:tcPr>
            <w:tcW w:type="dxa" w:w="7776"/>
            <w:tcMar>
              <w:top w:w="95" w:type="dxa"/>
              <w:start w:w="95" w:type="dxa"/>
              <w:bottom w:w="95" w:type="dxa"/>
              <w:end w:w="95" w:type="dxa"/>
            </w:tcMar>
            <w:vAlign w:val="center"/>
            <w:shd w:fill="EAF4EE"/>
          </w:tcPr>
          <w:p>
            <w:pPr>
              <w:spacing w:after="0" w:line="245" w:lineRule="auto"/>
            </w:pPr>
            <w:r>
              <w:rPr>
                <w:sz w:val="17"/>
              </w:rPr>
              <w:t>Optimistic checks or row locks for stock financial and approval conflicts.</w:t>
            </w:r>
          </w:p>
        </w:tc>
      </w:tr>
      <w:tr>
        <w:tc>
          <w:tcPr>
            <w:tcW w:type="dxa" w:w="2016"/>
            <w:tcMar>
              <w:top w:w="95" w:type="dxa"/>
              <w:start w:w="95" w:type="dxa"/>
              <w:bottom w:w="95" w:type="dxa"/>
              <w:end w:w="95" w:type="dxa"/>
            </w:tcMar>
            <w:vAlign w:val="center"/>
          </w:tcPr>
          <w:p>
            <w:pPr>
              <w:spacing w:after="0" w:line="245" w:lineRule="auto"/>
            </w:pPr>
            <w:r>
              <w:rPr>
                <w:sz w:val="17"/>
              </w:rPr>
              <w:t>Idempotency</w:t>
            </w:r>
          </w:p>
        </w:tc>
        <w:tc>
          <w:tcPr>
            <w:tcW w:type="dxa" w:w="7776"/>
            <w:tcMar>
              <w:top w:w="95" w:type="dxa"/>
              <w:start w:w="95" w:type="dxa"/>
              <w:bottom w:w="95" w:type="dxa"/>
              <w:end w:w="95" w:type="dxa"/>
            </w:tcMar>
            <w:vAlign w:val="center"/>
          </w:tcPr>
          <w:p>
            <w:pPr>
              <w:spacing w:after="0" w:line="245" w:lineRule="auto"/>
            </w:pPr>
            <w:r>
              <w:rPr>
                <w:sz w:val="17"/>
              </w:rPr>
              <w:t>Required on transaction completion payment and integration callbacks that may repeat.</w:t>
            </w:r>
          </w:p>
        </w:tc>
      </w:tr>
      <w:tr>
        <w:tc>
          <w:tcPr>
            <w:tcW w:type="dxa" w:w="2016"/>
            <w:tcMar>
              <w:top w:w="95" w:type="dxa"/>
              <w:start w:w="95" w:type="dxa"/>
              <w:bottom w:w="95" w:type="dxa"/>
              <w:end w:w="95" w:type="dxa"/>
            </w:tcMar>
            <w:vAlign w:val="center"/>
            <w:shd w:fill="EAF4EE"/>
          </w:tcPr>
          <w:p>
            <w:pPr>
              <w:spacing w:after="0" w:line="245" w:lineRule="auto"/>
            </w:pPr>
            <w:r>
              <w:rPr>
                <w:sz w:val="17"/>
              </w:rPr>
              <w:t>Errors</w:t>
            </w:r>
          </w:p>
        </w:tc>
        <w:tc>
          <w:tcPr>
            <w:tcW w:type="dxa" w:w="7776"/>
            <w:tcMar>
              <w:top w:w="95" w:type="dxa"/>
              <w:start w:w="95" w:type="dxa"/>
              <w:bottom w:w="95" w:type="dxa"/>
              <w:end w:w="95" w:type="dxa"/>
            </w:tcMar>
            <w:vAlign w:val="center"/>
            <w:shd w:fill="EAF4EE"/>
          </w:tcPr>
          <w:p>
            <w:pPr>
              <w:spacing w:after="0" w:line="245" w:lineRule="auto"/>
            </w:pPr>
            <w:r>
              <w:rPr>
                <w:sz w:val="17"/>
              </w:rPr>
              <w:t>Consistent codes for validation forbidden not found conflict throttled dependency failure and unexpected error.</w:t>
            </w:r>
          </w:p>
        </w:tc>
      </w:tr>
      <w:tr>
        <w:tc>
          <w:tcPr>
            <w:tcW w:type="dxa" w:w="2016"/>
            <w:tcMar>
              <w:top w:w="95" w:type="dxa"/>
              <w:start w:w="95" w:type="dxa"/>
              <w:bottom w:w="95" w:type="dxa"/>
              <w:end w:w="95" w:type="dxa"/>
            </w:tcMar>
            <w:vAlign w:val="center"/>
          </w:tcPr>
          <w:p>
            <w:pPr>
              <w:spacing w:after="0" w:line="245" w:lineRule="auto"/>
            </w:pPr>
            <w:r>
              <w:rPr>
                <w:sz w:val="17"/>
              </w:rPr>
              <w:t>Versioning</w:t>
            </w:r>
          </w:p>
        </w:tc>
        <w:tc>
          <w:tcPr>
            <w:tcW w:type="dxa" w:w="7776"/>
            <w:tcMar>
              <w:top w:w="95" w:type="dxa"/>
              <w:start w:w="95" w:type="dxa"/>
              <w:bottom w:w="95" w:type="dxa"/>
              <w:end w:w="95" w:type="dxa"/>
            </w:tcMar>
            <w:vAlign w:val="center"/>
          </w:tcPr>
          <w:p>
            <w:pPr>
              <w:spacing w:after="0" w:line="245" w:lineRule="auto"/>
            </w:pPr>
            <w:r>
              <w:rPr>
                <w:sz w:val="17"/>
              </w:rPr>
              <w:t>Backward-compatible changes within the supported API version and explicit version change for breaking contracts.</w:t>
            </w:r>
          </w:p>
        </w:tc>
      </w:tr>
    </w:tbl>
    <w:p>
      <w:pPr>
        <w:spacing w:after="0"/>
        <w:widowControl/>
      </w:pPr>
    </w:p>
    <w:p>
      <w:pPr>
        <w:pStyle w:val="Heading2"/>
        <w:keepNext/>
        <w:widowControl/>
      </w:pPr>
      <w:r>
        <w:t>Integration Pattern</w:t>
      </w:r>
    </w:p>
    <w:p>
      <w:pPr>
        <w:pStyle w:val="ListBullet"/>
        <w:spacing w:after="40"/>
        <w:widowControl/>
      </w:pPr>
      <w:r>
        <w:t>Use an adapter per external provider so business modules do not depend on provider-specific payloads.</w:t>
      </w:r>
    </w:p>
    <w:p>
      <w:pPr>
        <w:pStyle w:val="ListBullet"/>
        <w:spacing w:after="40"/>
        <w:widowControl/>
      </w:pPr>
      <w:r>
        <w:t>Store request identity response status retry state and safe correlation values for asynchronous integrations.</w:t>
      </w:r>
    </w:p>
    <w:p>
      <w:pPr>
        <w:pStyle w:val="ListBullet"/>
        <w:spacing w:after="40"/>
        <w:widowControl/>
      </w:pPr>
      <w:r>
        <w:t>Use timeouts bounded retries exponential backoff and circuit protection where external calls can fail.</w:t>
      </w:r>
    </w:p>
    <w:p>
      <w:pPr>
        <w:pStyle w:val="ListBullet"/>
        <w:spacing w:after="40"/>
        <w:widowControl/>
      </w:pPr>
      <w:r>
        <w:t>Never hold a database transaction open while waiting for a slow external provider unless the use case explicitly requires it and has been reviewed.</w:t>
      </w:r>
    </w:p>
    <w:p>
      <w:pPr>
        <w:pStyle w:val="ListBullet"/>
        <w:spacing w:after="40"/>
        <w:widowControl/>
      </w:pPr>
      <w:r>
        <w:t>Treat external callbacks as untrusted input and authenticate validate deduplicate and audit them.</w:t>
      </w:r>
    </w:p>
    <w:p>
      <w:pPr>
        <w:pStyle w:val="Heading2"/>
        <w:keepNext/>
        <w:widowControl/>
      </w:pPr>
      <w:r>
        <w:t>Background Jobs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232"/>
            <w:shd w:fill="0F5132"/>
            <w:tcMar>
              <w:top w:w="95" w:type="dxa"/>
              <w:start w:w="95" w:type="dxa"/>
              <w:bottom w:w="95" w:type="dxa"/>
              <w:end w:w="95" w:type="dxa"/>
            </w:tcMar>
            <w:vAlign w:val="center"/>
          </w:tcPr>
          <w:p>
            <w:pPr>
              <w:spacing w:after="0"/>
            </w:pPr>
            <w:r>
              <w:rPr>
                <w:b/>
                <w:color w:val="FFFFFF"/>
                <w:sz w:val="17"/>
              </w:rPr>
              <w:t>Job</w:t>
            </w:r>
          </w:p>
        </w:tc>
        <w:tc>
          <w:tcPr>
            <w:tcW w:type="dxa" w:w="7560"/>
            <w:shd w:fill="0F5132"/>
            <w:tcMar>
              <w:top w:w="95" w:type="dxa"/>
              <w:start w:w="95" w:type="dxa"/>
              <w:bottom w:w="95" w:type="dxa"/>
              <w:end w:w="95" w:type="dxa"/>
            </w:tcMar>
            <w:vAlign w:val="center"/>
          </w:tcPr>
          <w:p>
            <w:pPr>
              <w:spacing w:after="0"/>
            </w:pPr>
            <w:r>
              <w:rPr>
                <w:b/>
                <w:color w:val="FFFFFF"/>
                <w:sz w:val="17"/>
              </w:rPr>
              <w:t>Execution rule</w:t>
            </w:r>
          </w:p>
        </w:tc>
      </w:tr>
      <w:tr>
        <w:tc>
          <w:tcPr>
            <w:tcW w:type="dxa" w:w="2232"/>
            <w:tcMar>
              <w:top w:w="95" w:type="dxa"/>
              <w:start w:w="95" w:type="dxa"/>
              <w:bottom w:w="95" w:type="dxa"/>
              <w:end w:w="95" w:type="dxa"/>
            </w:tcMar>
            <w:vAlign w:val="center"/>
          </w:tcPr>
          <w:p>
            <w:pPr>
              <w:spacing w:after="0" w:line="245" w:lineRule="auto"/>
            </w:pPr>
            <w:r>
              <w:rPr>
                <w:sz w:val="17"/>
              </w:rPr>
              <w:t>Report export</w:t>
            </w:r>
          </w:p>
        </w:tc>
        <w:tc>
          <w:tcPr>
            <w:tcW w:type="dxa" w:w="7560"/>
            <w:tcMar>
              <w:top w:w="95" w:type="dxa"/>
              <w:start w:w="95" w:type="dxa"/>
              <w:bottom w:w="95" w:type="dxa"/>
              <w:end w:w="95" w:type="dxa"/>
            </w:tcMar>
            <w:vAlign w:val="center"/>
          </w:tcPr>
          <w:p>
            <w:pPr>
              <w:spacing w:after="0" w:line="245" w:lineRule="auto"/>
            </w:pPr>
            <w:r>
              <w:rPr>
                <w:sz w:val="17"/>
              </w:rPr>
              <w:t>Snapshot authorized filters and run asynchronously for large results.</w:t>
            </w:r>
          </w:p>
        </w:tc>
      </w:tr>
      <w:tr>
        <w:tc>
          <w:tcPr>
            <w:tcW w:type="dxa" w:w="2232"/>
            <w:tcMar>
              <w:top w:w="95" w:type="dxa"/>
              <w:start w:w="95" w:type="dxa"/>
              <w:bottom w:w="95" w:type="dxa"/>
              <w:end w:w="95" w:type="dxa"/>
            </w:tcMar>
            <w:vAlign w:val="center"/>
            <w:shd w:fill="EAF4EE"/>
          </w:tcPr>
          <w:p>
            <w:pPr>
              <w:spacing w:after="0" w:line="245" w:lineRule="auto"/>
            </w:pPr>
            <w:r>
              <w:rPr>
                <w:sz w:val="17"/>
              </w:rPr>
              <w:t>Import validation</w:t>
            </w:r>
          </w:p>
        </w:tc>
        <w:tc>
          <w:tcPr>
            <w:tcW w:type="dxa" w:w="7560"/>
            <w:tcMar>
              <w:top w:w="95" w:type="dxa"/>
              <w:start w:w="95" w:type="dxa"/>
              <w:bottom w:w="95" w:type="dxa"/>
              <w:end w:w="95" w:type="dxa"/>
            </w:tcMar>
            <w:vAlign w:val="center"/>
            <w:shd w:fill="EAF4EE"/>
          </w:tcPr>
          <w:p>
            <w:pPr>
              <w:spacing w:after="0" w:line="245" w:lineRule="auto"/>
            </w:pPr>
            <w:r>
              <w:rPr>
                <w:sz w:val="17"/>
              </w:rPr>
              <w:t>Parse validate and preview without changing production records.</w:t>
            </w:r>
          </w:p>
        </w:tc>
      </w:tr>
      <w:tr>
        <w:tc>
          <w:tcPr>
            <w:tcW w:type="dxa" w:w="2232"/>
            <w:tcMar>
              <w:top w:w="95" w:type="dxa"/>
              <w:start w:w="95" w:type="dxa"/>
              <w:bottom w:w="95" w:type="dxa"/>
              <w:end w:w="95" w:type="dxa"/>
            </w:tcMar>
            <w:vAlign w:val="center"/>
          </w:tcPr>
          <w:p>
            <w:pPr>
              <w:spacing w:after="0" w:line="245" w:lineRule="auto"/>
            </w:pPr>
            <w:r>
              <w:rPr>
                <w:sz w:val="17"/>
              </w:rPr>
              <w:t>Import commit</w:t>
            </w:r>
          </w:p>
        </w:tc>
        <w:tc>
          <w:tcPr>
            <w:tcW w:type="dxa" w:w="7560"/>
            <w:tcMar>
              <w:top w:w="95" w:type="dxa"/>
              <w:start w:w="95" w:type="dxa"/>
              <w:bottom w:w="95" w:type="dxa"/>
              <w:end w:w="95" w:type="dxa"/>
            </w:tcMar>
            <w:vAlign w:val="center"/>
          </w:tcPr>
          <w:p>
            <w:pPr>
              <w:spacing w:after="0" w:line="245" w:lineRule="auto"/>
            </w:pPr>
            <w:r>
              <w:rPr>
                <w:sz w:val="17"/>
              </w:rPr>
              <w:t>Use controlled batches transactions progress and a recoverable failure state.</w:t>
            </w:r>
          </w:p>
        </w:tc>
      </w:tr>
      <w:tr>
        <w:tc>
          <w:tcPr>
            <w:tcW w:type="dxa" w:w="2232"/>
            <w:tcMar>
              <w:top w:w="95" w:type="dxa"/>
              <w:start w:w="95" w:type="dxa"/>
              <w:bottom w:w="95" w:type="dxa"/>
              <w:end w:w="95" w:type="dxa"/>
            </w:tcMar>
            <w:vAlign w:val="center"/>
            <w:shd w:fill="EAF4EE"/>
          </w:tcPr>
          <w:p>
            <w:pPr>
              <w:spacing w:after="0" w:line="245" w:lineRule="auto"/>
            </w:pPr>
            <w:r>
              <w:rPr>
                <w:sz w:val="17"/>
              </w:rPr>
              <w:t>Notifications</w:t>
            </w:r>
          </w:p>
        </w:tc>
        <w:tc>
          <w:tcPr>
            <w:tcW w:type="dxa" w:w="7560"/>
            <w:tcMar>
              <w:top w:w="95" w:type="dxa"/>
              <w:start w:w="95" w:type="dxa"/>
              <w:bottom w:w="95" w:type="dxa"/>
              <w:end w:w="95" w:type="dxa"/>
            </w:tcMar>
            <w:vAlign w:val="center"/>
            <w:shd w:fill="EAF4EE"/>
          </w:tcPr>
          <w:p>
            <w:pPr>
              <w:spacing w:after="0" w:line="245" w:lineRule="auto"/>
            </w:pPr>
            <w:r>
              <w:rPr>
                <w:sz w:val="17"/>
              </w:rPr>
              <w:t>Send from persisted notification records and keep delivery attempts.</w:t>
            </w:r>
          </w:p>
        </w:tc>
      </w:tr>
      <w:tr>
        <w:tc>
          <w:tcPr>
            <w:tcW w:type="dxa" w:w="2232"/>
            <w:tcMar>
              <w:top w:w="95" w:type="dxa"/>
              <w:start w:w="95" w:type="dxa"/>
              <w:bottom w:w="95" w:type="dxa"/>
              <w:end w:w="95" w:type="dxa"/>
            </w:tcMar>
            <w:vAlign w:val="center"/>
          </w:tcPr>
          <w:p>
            <w:pPr>
              <w:spacing w:after="0" w:line="245" w:lineRule="auto"/>
            </w:pPr>
            <w:r>
              <w:rPr>
                <w:sz w:val="17"/>
              </w:rPr>
              <w:t>Backup</w:t>
            </w:r>
          </w:p>
        </w:tc>
        <w:tc>
          <w:tcPr>
            <w:tcW w:type="dxa" w:w="7560"/>
            <w:tcMar>
              <w:top w:w="95" w:type="dxa"/>
              <w:start w:w="95" w:type="dxa"/>
              <w:bottom w:w="95" w:type="dxa"/>
              <w:end w:w="95" w:type="dxa"/>
            </w:tcMar>
            <w:vAlign w:val="center"/>
          </w:tcPr>
          <w:p>
            <w:pPr>
              <w:spacing w:after="0" w:line="245" w:lineRule="auto"/>
            </w:pPr>
            <w:r>
              <w:rPr>
                <w:sz w:val="17"/>
              </w:rPr>
              <w:t>Run with exclusive job controls checksums encryption verification and retention.</w:t>
            </w:r>
          </w:p>
        </w:tc>
      </w:tr>
      <w:tr>
        <w:tc>
          <w:tcPr>
            <w:tcW w:type="dxa" w:w="2232"/>
            <w:tcMar>
              <w:top w:w="95" w:type="dxa"/>
              <w:start w:w="95" w:type="dxa"/>
              <w:bottom w:w="95" w:type="dxa"/>
              <w:end w:w="95" w:type="dxa"/>
            </w:tcMar>
            <w:vAlign w:val="center"/>
            <w:shd w:fill="EAF4EE"/>
          </w:tcPr>
          <w:p>
            <w:pPr>
              <w:spacing w:after="0" w:line="245" w:lineRule="auto"/>
            </w:pPr>
            <w:r>
              <w:rPr>
                <w:sz w:val="17"/>
              </w:rPr>
              <w:t>AI task</w:t>
            </w:r>
          </w:p>
        </w:tc>
        <w:tc>
          <w:tcPr>
            <w:tcW w:type="dxa" w:w="7560"/>
            <w:tcMar>
              <w:top w:w="95" w:type="dxa"/>
              <w:start w:w="95" w:type="dxa"/>
              <w:bottom w:w="95" w:type="dxa"/>
              <w:end w:w="95" w:type="dxa"/>
            </w:tcMar>
            <w:vAlign w:val="center"/>
            <w:shd w:fill="EAF4EE"/>
          </w:tcPr>
          <w:p>
            <w:pPr>
              <w:spacing w:after="0" w:line="245" w:lineRule="auto"/>
            </w:pPr>
            <w:r>
              <w:rPr>
                <w:sz w:val="17"/>
              </w:rPr>
              <w:t>Send minimized authorized input and return a proposal without direct core-data writes.</w:t>
            </w:r>
          </w:p>
        </w:tc>
      </w:tr>
    </w:tbl>
    <w:p>
      <w:pPr>
        <w:spacing w:after="0"/>
        <w:widowControl/>
      </w:pPr>
    </w:p>
    <w:p>
      <w:pPr>
        <w:pStyle w:val="Heading1"/>
        <w:keepNext/>
        <w:widowControl/>
      </w:pPr>
      <w:r>
        <w:t>8 Identity Security and Audit</w:t>
      </w:r>
    </w:p>
    <w:p>
      <w:pPr>
        <w:pStyle w:val="Heading2"/>
        <w:keepNext/>
        <w:widowControl/>
      </w:pPr>
      <w:r>
        <w:t>Identity Model</w:t>
      </w:r>
    </w:p>
    <w:p>
      <w:pPr>
        <w:pStyle w:val="ListBullet"/>
        <w:spacing w:after="40"/>
        <w:widowControl/>
      </w:pPr>
      <w:r>
        <w:t>One person uses one account; shared cashier or administrator accounts are prohibited.</w:t>
      </w:r>
    </w:p>
    <w:p>
      <w:pPr>
        <w:pStyle w:val="ListBullet"/>
        <w:spacing w:after="40"/>
        <w:widowControl/>
      </w:pPr>
      <w:r>
        <w:t>Roles group permissions while direct user grants should be exceptional and auditable.</w:t>
      </w:r>
    </w:p>
    <w:p>
      <w:pPr>
        <w:pStyle w:val="ListBullet"/>
        <w:spacing w:after="40"/>
        <w:widowControl/>
      </w:pPr>
      <w:r>
        <w:t>Super Admin is an installation-level capability and should not be the daily owner or cashier account.</w:t>
      </w:r>
    </w:p>
    <w:p>
      <w:pPr>
        <w:pStyle w:val="ListBullet"/>
        <w:spacing w:after="40"/>
        <w:widowControl/>
      </w:pPr>
      <w:r>
        <w:t>Deactivation revokes active sessions while retaining authorship history.</w:t>
      </w:r>
    </w:p>
    <w:p>
      <w:pPr>
        <w:pStyle w:val="ListBullet"/>
        <w:spacing w:after="40"/>
        <w:widowControl/>
      </w:pPr>
      <w:r>
        <w:t>Sensitive roles support mandatory two-factor authentication and stronger session controls.</w:t>
      </w:r>
    </w:p>
    <w:p>
      <w:pPr>
        <w:pStyle w:val="Heading2"/>
        <w:keepNext/>
        <w:widowControl/>
      </w:pPr>
      <w:r>
        <w:t>Authorization Evaluation</w:t>
      </w:r>
    </w:p>
    <w:p>
      <w:pPr>
        <w:pStyle w:val="ListNumber"/>
        <w:spacing w:after="60"/>
        <w:widowControl/>
      </w:pPr>
      <w:r>
        <w:t>Authenticate the request and validate the session.</w:t>
      </w:r>
    </w:p>
    <w:p>
      <w:pPr>
        <w:pStyle w:val="ListNumber"/>
        <w:spacing w:after="60"/>
        <w:widowControl/>
      </w:pPr>
      <w:r>
        <w:t>Resolve the installation organization branch and user assignment.</w:t>
      </w:r>
    </w:p>
    <w:p>
      <w:pPr>
        <w:pStyle w:val="ListNumber"/>
        <w:spacing w:after="60"/>
        <w:widowControl/>
      </w:pPr>
      <w:r>
        <w:t>Check the page or API action permission.</w:t>
      </w:r>
    </w:p>
    <w:p>
      <w:pPr>
        <w:pStyle w:val="ListNumber"/>
        <w:spacing w:after="60"/>
        <w:widowControl/>
      </w:pPr>
      <w:r>
        <w:t>Check record-level ownership branch and status constraints.</w:t>
      </w:r>
    </w:p>
    <w:p>
      <w:pPr>
        <w:pStyle w:val="ListNumber"/>
        <w:spacing w:after="60"/>
        <w:widowControl/>
      </w:pPr>
      <w:r>
        <w:t>Check monetary quantity discount or approval threshold.</w:t>
      </w:r>
    </w:p>
    <w:p>
      <w:pPr>
        <w:pStyle w:val="ListNumber"/>
        <w:spacing w:after="60"/>
        <w:widowControl/>
      </w:pPr>
      <w:r>
        <w:t>Apply the use-case rule and record success denial or approval requirement where appropriate.</w:t>
      </w:r>
    </w:p>
    <w:p>
      <w:pPr>
        <w:pStyle w:val="Heading2"/>
        <w:keepNext/>
        <w:widowControl/>
      </w:pPr>
      <w:r>
        <w:t>Security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088"/>
            <w:shd w:fill="0F5132"/>
            <w:tcMar>
              <w:top w:w="95" w:type="dxa"/>
              <w:start w:w="95" w:type="dxa"/>
              <w:bottom w:w="95" w:type="dxa"/>
              <w:end w:w="95" w:type="dxa"/>
            </w:tcMar>
            <w:vAlign w:val="center"/>
          </w:tcPr>
          <w:p>
            <w:pPr>
              <w:spacing w:after="0"/>
            </w:pPr>
            <w:r>
              <w:rPr>
                <w:b/>
                <w:color w:val="FFFFFF"/>
                <w:sz w:val="17"/>
              </w:rPr>
              <w:t>Control area</w:t>
            </w:r>
          </w:p>
        </w:tc>
        <w:tc>
          <w:tcPr>
            <w:tcW w:type="dxa" w:w="7704"/>
            <w:shd w:fill="0F5132"/>
            <w:tcMar>
              <w:top w:w="95" w:type="dxa"/>
              <w:start w:w="95" w:type="dxa"/>
              <w:bottom w:w="95" w:type="dxa"/>
              <w:end w:w="95" w:type="dxa"/>
            </w:tcMar>
            <w:vAlign w:val="center"/>
          </w:tcPr>
          <w:p>
            <w:pPr>
              <w:spacing w:after="0"/>
            </w:pPr>
            <w:r>
              <w:rPr>
                <w:b/>
                <w:color w:val="FFFFFF"/>
                <w:sz w:val="17"/>
              </w:rPr>
              <w:t>Architecture control</w:t>
            </w:r>
          </w:p>
        </w:tc>
      </w:tr>
      <w:tr>
        <w:tc>
          <w:tcPr>
            <w:tcW w:type="dxa" w:w="2088"/>
            <w:tcMar>
              <w:top w:w="95" w:type="dxa"/>
              <w:start w:w="95" w:type="dxa"/>
              <w:bottom w:w="95" w:type="dxa"/>
              <w:end w:w="95" w:type="dxa"/>
            </w:tcMar>
            <w:vAlign w:val="center"/>
          </w:tcPr>
          <w:p>
            <w:pPr>
              <w:spacing w:after="0" w:line="245" w:lineRule="auto"/>
            </w:pPr>
            <w:r>
              <w:rPr>
                <w:sz w:val="17"/>
              </w:rPr>
              <w:t>Credentials</w:t>
            </w:r>
          </w:p>
        </w:tc>
        <w:tc>
          <w:tcPr>
            <w:tcW w:type="dxa" w:w="7704"/>
            <w:tcMar>
              <w:top w:w="95" w:type="dxa"/>
              <w:start w:w="95" w:type="dxa"/>
              <w:bottom w:w="95" w:type="dxa"/>
              <w:end w:w="95" w:type="dxa"/>
            </w:tcMar>
            <w:vAlign w:val="center"/>
          </w:tcPr>
          <w:p>
            <w:pPr>
              <w:spacing w:after="0" w:line="245" w:lineRule="auto"/>
            </w:pPr>
            <w:r>
              <w:rPr>
                <w:sz w:val="17"/>
              </w:rPr>
              <w:t>Approved password hashing reset token expiry two-factor support and no readable credential storage.</w:t>
            </w:r>
          </w:p>
        </w:tc>
      </w:tr>
      <w:tr>
        <w:tc>
          <w:tcPr>
            <w:tcW w:type="dxa" w:w="2088"/>
            <w:tcMar>
              <w:top w:w="95" w:type="dxa"/>
              <w:start w:w="95" w:type="dxa"/>
              <w:bottom w:w="95" w:type="dxa"/>
              <w:end w:w="95" w:type="dxa"/>
            </w:tcMar>
            <w:vAlign w:val="center"/>
            <w:shd w:fill="EAF4EE"/>
          </w:tcPr>
          <w:p>
            <w:pPr>
              <w:spacing w:after="0" w:line="245" w:lineRule="auto"/>
            </w:pPr>
            <w:r>
              <w:rPr>
                <w:sz w:val="17"/>
              </w:rPr>
              <w:t>Sessions</w:t>
            </w:r>
          </w:p>
        </w:tc>
        <w:tc>
          <w:tcPr>
            <w:tcW w:type="dxa" w:w="7704"/>
            <w:tcMar>
              <w:top w:w="95" w:type="dxa"/>
              <w:start w:w="95" w:type="dxa"/>
              <w:bottom w:w="95" w:type="dxa"/>
              <w:end w:w="95" w:type="dxa"/>
            </w:tcMar>
            <w:vAlign w:val="center"/>
            <w:shd w:fill="EAF4EE"/>
          </w:tcPr>
          <w:p>
            <w:pPr>
              <w:spacing w:after="0" w:line="245" w:lineRule="auto"/>
            </w:pPr>
            <w:r>
              <w:rPr>
                <w:sz w:val="17"/>
              </w:rPr>
              <w:t>Secure cookies CSRF protection inactivity expiry revocation and login throttling.</w:t>
            </w:r>
          </w:p>
        </w:tc>
      </w:tr>
      <w:tr>
        <w:tc>
          <w:tcPr>
            <w:tcW w:type="dxa" w:w="2088"/>
            <w:tcMar>
              <w:top w:w="95" w:type="dxa"/>
              <w:start w:w="95" w:type="dxa"/>
              <w:bottom w:w="95" w:type="dxa"/>
              <w:end w:w="95" w:type="dxa"/>
            </w:tcMar>
            <w:vAlign w:val="center"/>
          </w:tcPr>
          <w:p>
            <w:pPr>
              <w:spacing w:after="0" w:line="245" w:lineRule="auto"/>
            </w:pPr>
            <w:r>
              <w:rPr>
                <w:sz w:val="17"/>
              </w:rPr>
              <w:t>Secrets</w:t>
            </w:r>
          </w:p>
        </w:tc>
        <w:tc>
          <w:tcPr>
            <w:tcW w:type="dxa" w:w="7704"/>
            <w:tcMar>
              <w:top w:w="95" w:type="dxa"/>
              <w:start w:w="95" w:type="dxa"/>
              <w:bottom w:w="95" w:type="dxa"/>
              <w:end w:w="95" w:type="dxa"/>
            </w:tcMar>
            <w:vAlign w:val="center"/>
          </w:tcPr>
          <w:p>
            <w:pPr>
              <w:spacing w:after="0" w:line="245" w:lineRule="auto"/>
            </w:pPr>
            <w:r>
              <w:rPr>
                <w:sz w:val="17"/>
              </w:rPr>
              <w:t>Per-installation secrets outside source control with restricted file permissions and rotation procedure.</w:t>
            </w:r>
          </w:p>
        </w:tc>
      </w:tr>
      <w:tr>
        <w:tc>
          <w:tcPr>
            <w:tcW w:type="dxa" w:w="2088"/>
            <w:tcMar>
              <w:top w:w="95" w:type="dxa"/>
              <w:start w:w="95" w:type="dxa"/>
              <w:bottom w:w="95" w:type="dxa"/>
              <w:end w:w="95" w:type="dxa"/>
            </w:tcMar>
            <w:vAlign w:val="center"/>
            <w:shd w:fill="EAF4EE"/>
          </w:tcPr>
          <w:p>
            <w:pPr>
              <w:spacing w:after="0" w:line="245" w:lineRule="auto"/>
            </w:pPr>
            <w:r>
              <w:rPr>
                <w:sz w:val="17"/>
              </w:rPr>
              <w:t>Network</w:t>
            </w:r>
          </w:p>
        </w:tc>
        <w:tc>
          <w:tcPr>
            <w:tcW w:type="dxa" w:w="7704"/>
            <w:tcMar>
              <w:top w:w="95" w:type="dxa"/>
              <w:start w:w="95" w:type="dxa"/>
              <w:bottom w:w="95" w:type="dxa"/>
              <w:end w:w="95" w:type="dxa"/>
            </w:tcMar>
            <w:vAlign w:val="center"/>
            <w:shd w:fill="EAF4EE"/>
          </w:tcPr>
          <w:p>
            <w:pPr>
              <w:spacing w:after="0" w:line="245" w:lineRule="auto"/>
            </w:pPr>
            <w:r>
              <w:rPr>
                <w:sz w:val="17"/>
              </w:rPr>
              <w:t>Expose only the gateway to users. Keep database cache and internal service ports private.</w:t>
            </w:r>
          </w:p>
        </w:tc>
      </w:tr>
      <w:tr>
        <w:tc>
          <w:tcPr>
            <w:tcW w:type="dxa" w:w="2088"/>
            <w:tcMar>
              <w:top w:w="95" w:type="dxa"/>
              <w:start w:w="95" w:type="dxa"/>
              <w:bottom w:w="95" w:type="dxa"/>
              <w:end w:w="95" w:type="dxa"/>
            </w:tcMar>
            <w:vAlign w:val="center"/>
          </w:tcPr>
          <w:p>
            <w:pPr>
              <w:spacing w:after="0" w:line="245" w:lineRule="auto"/>
            </w:pPr>
            <w:r>
              <w:rPr>
                <w:sz w:val="17"/>
              </w:rPr>
              <w:t>Input</w:t>
            </w:r>
          </w:p>
        </w:tc>
        <w:tc>
          <w:tcPr>
            <w:tcW w:type="dxa" w:w="7704"/>
            <w:tcMar>
              <w:top w:w="95" w:type="dxa"/>
              <w:start w:w="95" w:type="dxa"/>
              <w:bottom w:w="95" w:type="dxa"/>
              <w:end w:w="95" w:type="dxa"/>
            </w:tcMar>
            <w:vAlign w:val="center"/>
          </w:tcPr>
          <w:p>
            <w:pPr>
              <w:spacing w:after="0" w:line="245" w:lineRule="auto"/>
            </w:pPr>
            <w:r>
              <w:rPr>
                <w:sz w:val="17"/>
              </w:rPr>
              <w:t>Serializer validation allow-listed fields file restrictions size limits and safe parsing.</w:t>
            </w:r>
          </w:p>
        </w:tc>
      </w:tr>
      <w:tr>
        <w:tc>
          <w:tcPr>
            <w:tcW w:type="dxa" w:w="2088"/>
            <w:tcMar>
              <w:top w:w="95" w:type="dxa"/>
              <w:start w:w="95" w:type="dxa"/>
              <w:bottom w:w="95" w:type="dxa"/>
              <w:end w:w="95" w:type="dxa"/>
            </w:tcMar>
            <w:vAlign w:val="center"/>
            <w:shd w:fill="EAF4EE"/>
          </w:tcPr>
          <w:p>
            <w:pPr>
              <w:spacing w:after="0" w:line="245" w:lineRule="auto"/>
            </w:pPr>
            <w:r>
              <w:rPr>
                <w:sz w:val="17"/>
              </w:rPr>
              <w:t>Output</w:t>
            </w:r>
          </w:p>
        </w:tc>
        <w:tc>
          <w:tcPr>
            <w:tcW w:type="dxa" w:w="7704"/>
            <w:tcMar>
              <w:top w:w="95" w:type="dxa"/>
              <w:start w:w="95" w:type="dxa"/>
              <w:bottom w:w="95" w:type="dxa"/>
              <w:end w:w="95" w:type="dxa"/>
            </w:tcMar>
            <w:vAlign w:val="center"/>
            <w:shd w:fill="EAF4EE"/>
          </w:tcPr>
          <w:p>
            <w:pPr>
              <w:spacing w:after="0" w:line="245" w:lineRule="auto"/>
            </w:pPr>
            <w:r>
              <w:rPr>
                <w:sz w:val="17"/>
              </w:rPr>
              <w:t>Permission-aware serialization data minimization safe errors and controlled exports.</w:t>
            </w:r>
          </w:p>
        </w:tc>
      </w:tr>
      <w:tr>
        <w:tc>
          <w:tcPr>
            <w:tcW w:type="dxa" w:w="2088"/>
            <w:tcMar>
              <w:top w:w="95" w:type="dxa"/>
              <w:start w:w="95" w:type="dxa"/>
              <w:bottom w:w="95" w:type="dxa"/>
              <w:end w:w="95" w:type="dxa"/>
            </w:tcMar>
            <w:vAlign w:val="center"/>
          </w:tcPr>
          <w:p>
            <w:pPr>
              <w:spacing w:after="0" w:line="245" w:lineRule="auto"/>
            </w:pPr>
            <w:r>
              <w:rPr>
                <w:sz w:val="17"/>
              </w:rPr>
              <w:t>Containers</w:t>
            </w:r>
          </w:p>
        </w:tc>
        <w:tc>
          <w:tcPr>
            <w:tcW w:type="dxa" w:w="7704"/>
            <w:tcMar>
              <w:top w:w="95" w:type="dxa"/>
              <w:start w:w="95" w:type="dxa"/>
              <w:bottom w:w="95" w:type="dxa"/>
              <w:end w:w="95" w:type="dxa"/>
            </w:tcMar>
            <w:vAlign w:val="center"/>
          </w:tcPr>
          <w:p>
            <w:pPr>
              <w:spacing w:after="0" w:line="245" w:lineRule="auto"/>
            </w:pPr>
            <w:r>
              <w:rPr>
                <w:sz w:val="17"/>
              </w:rPr>
              <w:t>Pinned approved images non-root application processes where practical minimal packages and vulnerability review.</w:t>
            </w:r>
          </w:p>
        </w:tc>
      </w:tr>
      <w:tr>
        <w:tc>
          <w:tcPr>
            <w:tcW w:type="dxa" w:w="2088"/>
            <w:tcMar>
              <w:top w:w="95" w:type="dxa"/>
              <w:start w:w="95" w:type="dxa"/>
              <w:bottom w:w="95" w:type="dxa"/>
              <w:end w:w="95" w:type="dxa"/>
            </w:tcMar>
            <w:vAlign w:val="center"/>
            <w:shd w:fill="EAF4EE"/>
          </w:tcPr>
          <w:p>
            <w:pPr>
              <w:spacing w:after="0" w:line="245" w:lineRule="auto"/>
            </w:pPr>
            <w:r>
              <w:rPr>
                <w:sz w:val="17"/>
              </w:rPr>
              <w:t>Host</w:t>
            </w:r>
          </w:p>
        </w:tc>
        <w:tc>
          <w:tcPr>
            <w:tcW w:type="dxa" w:w="7704"/>
            <w:tcMar>
              <w:top w:w="95" w:type="dxa"/>
              <w:start w:w="95" w:type="dxa"/>
              <w:bottom w:w="95" w:type="dxa"/>
              <w:end w:w="95" w:type="dxa"/>
            </w:tcMar>
            <w:vAlign w:val="center"/>
            <w:shd w:fill="EAF4EE"/>
          </w:tcPr>
          <w:p>
            <w:pPr>
              <w:spacing w:after="0" w:line="245" w:lineRule="auto"/>
            </w:pPr>
            <w:r>
              <w:rPr>
                <w:sz w:val="17"/>
              </w:rPr>
              <w:t>Supported operating system firewall disk encryption where appropriate restricted administration and updates.</w:t>
            </w:r>
          </w:p>
        </w:tc>
      </w:tr>
      <w:tr>
        <w:tc>
          <w:tcPr>
            <w:tcW w:type="dxa" w:w="2088"/>
            <w:tcMar>
              <w:top w:w="95" w:type="dxa"/>
              <w:start w:w="95" w:type="dxa"/>
              <w:bottom w:w="95" w:type="dxa"/>
              <w:end w:w="95" w:type="dxa"/>
            </w:tcMar>
            <w:vAlign w:val="center"/>
          </w:tcPr>
          <w:p>
            <w:pPr>
              <w:spacing w:after="0" w:line="245" w:lineRule="auto"/>
            </w:pPr>
            <w:r>
              <w:rPr>
                <w:sz w:val="17"/>
              </w:rPr>
              <w:t>Backups</w:t>
            </w:r>
          </w:p>
        </w:tc>
        <w:tc>
          <w:tcPr>
            <w:tcW w:type="dxa" w:w="7704"/>
            <w:tcMar>
              <w:top w:w="95" w:type="dxa"/>
              <w:start w:w="95" w:type="dxa"/>
              <w:bottom w:w="95" w:type="dxa"/>
              <w:end w:w="95" w:type="dxa"/>
            </w:tcMar>
            <w:vAlign w:val="center"/>
          </w:tcPr>
          <w:p>
            <w:pPr>
              <w:spacing w:after="0" w:line="245" w:lineRule="auto"/>
            </w:pPr>
            <w:r>
              <w:rPr>
                <w:sz w:val="17"/>
              </w:rPr>
              <w:t>Encryption checksums separate key control off-device copies and tested restoration.</w:t>
            </w:r>
          </w:p>
        </w:tc>
      </w:tr>
    </w:tbl>
    <w:p>
      <w:pPr>
        <w:spacing w:after="0"/>
        <w:widowControl/>
      </w:pPr>
    </w:p>
    <w:p>
      <w:pPr>
        <w:pStyle w:val="Heading2"/>
        <w:keepNext/>
        <w:widowControl/>
      </w:pPr>
      <w:r>
        <w:t>Audit Architecture</w:t>
      </w:r>
    </w:p>
    <w:p>
      <w:pPr>
        <w:widowControl/>
      </w:pPr>
      <w:r>
        <w:t>Audit events are append-only application records written explicitly for important use cases. Each event captures actor action target time result reason approval session branch and relevant before-and-after values. Logs used for technical diagnostics are separate from audit evidence, although a safe correlation ID may connect them.</w:t>
      </w:r>
    </w:p>
    <w:p>
      <w:pPr>
        <w:pStyle w:val="ListBullet"/>
        <w:spacing w:after="40"/>
        <w:widowControl/>
      </w:pPr>
      <w:r>
        <w:t>Do not store passwords tokens encryption keys full payment secrets or unnecessary patient content in audit events.</w:t>
      </w:r>
    </w:p>
    <w:p>
      <w:pPr>
        <w:pStyle w:val="ListBullet"/>
        <w:spacing w:after="40"/>
        <w:widowControl/>
      </w:pPr>
      <w:r>
        <w:t>Use structured fields for searchable actor action module record and result values.</w:t>
      </w:r>
    </w:p>
    <w:p>
      <w:pPr>
        <w:pStyle w:val="ListBullet"/>
        <w:spacing w:after="40"/>
        <w:widowControl/>
      </w:pPr>
      <w:r>
        <w:t>Protect audit access with explicit permissions and branch or organization scope.</w:t>
      </w:r>
    </w:p>
    <w:p>
      <w:pPr>
        <w:pStyle w:val="ListBullet"/>
        <w:spacing w:after="40"/>
        <w:widowControl/>
      </w:pPr>
      <w:r>
        <w:t>Preserve original and correction events rather than rewriting history.</w:t>
      </w:r>
    </w:p>
    <w:p>
      <w:pPr>
        <w:pStyle w:val="ListBullet"/>
        <w:spacing w:after="40"/>
        <w:widowControl/>
      </w:pPr>
      <w:r>
        <w:t>Define retention archive export and integrity-monitoring procedures before production.</w:t>
      </w:r>
    </w:p>
    <w:p>
      <w:pPr>
        <w:pStyle w:val="Heading2"/>
        <w:keepNext/>
        <w:widowControl/>
      </w:pPr>
      <w:r>
        <w:t>Threat Focus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376"/>
            <w:shd w:fill="0F5132"/>
            <w:tcMar>
              <w:top w:w="95" w:type="dxa"/>
              <w:start w:w="95" w:type="dxa"/>
              <w:bottom w:w="95" w:type="dxa"/>
              <w:end w:w="95" w:type="dxa"/>
            </w:tcMar>
            <w:vAlign w:val="center"/>
          </w:tcPr>
          <w:p>
            <w:pPr>
              <w:spacing w:after="0"/>
            </w:pPr>
            <w:r>
              <w:rPr>
                <w:b/>
                <w:color w:val="FFFFFF"/>
                <w:sz w:val="17"/>
              </w:rPr>
              <w:t>Threat</w:t>
            </w:r>
          </w:p>
        </w:tc>
        <w:tc>
          <w:tcPr>
            <w:tcW w:type="dxa" w:w="7416"/>
            <w:shd w:fill="0F5132"/>
            <w:tcMar>
              <w:top w:w="95" w:type="dxa"/>
              <w:start w:w="95" w:type="dxa"/>
              <w:bottom w:w="95" w:type="dxa"/>
              <w:end w:w="95" w:type="dxa"/>
            </w:tcMar>
            <w:vAlign w:val="center"/>
          </w:tcPr>
          <w:p>
            <w:pPr>
              <w:spacing w:after="0"/>
            </w:pPr>
            <w:r>
              <w:rPr>
                <w:b/>
                <w:color w:val="FFFFFF"/>
                <w:sz w:val="17"/>
              </w:rPr>
              <w:t>Primary mitigation</w:t>
            </w:r>
          </w:p>
        </w:tc>
      </w:tr>
      <w:tr>
        <w:tc>
          <w:tcPr>
            <w:tcW w:type="dxa" w:w="2376"/>
            <w:tcMar>
              <w:top w:w="95" w:type="dxa"/>
              <w:start w:w="95" w:type="dxa"/>
              <w:bottom w:w="95" w:type="dxa"/>
              <w:end w:w="95" w:type="dxa"/>
            </w:tcMar>
            <w:vAlign w:val="center"/>
          </w:tcPr>
          <w:p>
            <w:pPr>
              <w:spacing w:after="0" w:line="245" w:lineRule="auto"/>
            </w:pPr>
            <w:r>
              <w:rPr>
                <w:sz w:val="17"/>
              </w:rPr>
              <w:t>Credential theft</w:t>
            </w:r>
          </w:p>
        </w:tc>
        <w:tc>
          <w:tcPr>
            <w:tcW w:type="dxa" w:w="7416"/>
            <w:tcMar>
              <w:top w:w="95" w:type="dxa"/>
              <w:start w:w="95" w:type="dxa"/>
              <w:bottom w:w="95" w:type="dxa"/>
              <w:end w:w="95" w:type="dxa"/>
            </w:tcMar>
            <w:vAlign w:val="center"/>
          </w:tcPr>
          <w:p>
            <w:pPr>
              <w:spacing w:after="0" w:line="245" w:lineRule="auto"/>
            </w:pPr>
            <w:r>
              <w:rPr>
                <w:sz w:val="17"/>
              </w:rPr>
              <w:t>Two-factor support throttling secure sessions revocation and monitoring.</w:t>
            </w:r>
          </w:p>
        </w:tc>
      </w:tr>
      <w:tr>
        <w:tc>
          <w:tcPr>
            <w:tcW w:type="dxa" w:w="2376"/>
            <w:tcMar>
              <w:top w:w="95" w:type="dxa"/>
              <w:start w:w="95" w:type="dxa"/>
              <w:bottom w:w="95" w:type="dxa"/>
              <w:end w:w="95" w:type="dxa"/>
            </w:tcMar>
            <w:vAlign w:val="center"/>
            <w:shd w:fill="EAF4EE"/>
          </w:tcPr>
          <w:p>
            <w:pPr>
              <w:spacing w:after="0" w:line="245" w:lineRule="auto"/>
            </w:pPr>
            <w:r>
              <w:rPr>
                <w:sz w:val="17"/>
              </w:rPr>
              <w:t>Privilege escalation</w:t>
            </w:r>
          </w:p>
        </w:tc>
        <w:tc>
          <w:tcPr>
            <w:tcW w:type="dxa" w:w="7416"/>
            <w:tcMar>
              <w:top w:w="95" w:type="dxa"/>
              <w:start w:w="95" w:type="dxa"/>
              <w:bottom w:w="95" w:type="dxa"/>
              <w:end w:w="95" w:type="dxa"/>
            </w:tcMar>
            <w:vAlign w:val="center"/>
            <w:shd w:fill="EAF4EE"/>
          </w:tcPr>
          <w:p>
            <w:pPr>
              <w:spacing w:after="0" w:line="245" w:lineRule="auto"/>
            </w:pPr>
            <w:r>
              <w:rPr>
                <w:sz w:val="17"/>
              </w:rPr>
              <w:t>Default deny backend permission checks approval thresholds and audit.</w:t>
            </w:r>
          </w:p>
        </w:tc>
      </w:tr>
      <w:tr>
        <w:tc>
          <w:tcPr>
            <w:tcW w:type="dxa" w:w="2376"/>
            <w:tcMar>
              <w:top w:w="95" w:type="dxa"/>
              <w:start w:w="95" w:type="dxa"/>
              <w:bottom w:w="95" w:type="dxa"/>
              <w:end w:w="95" w:type="dxa"/>
            </w:tcMar>
            <w:vAlign w:val="center"/>
          </w:tcPr>
          <w:p>
            <w:pPr>
              <w:spacing w:after="0" w:line="245" w:lineRule="auto"/>
            </w:pPr>
            <w:r>
              <w:rPr>
                <w:sz w:val="17"/>
              </w:rPr>
              <w:t>Stock manipulation</w:t>
            </w:r>
          </w:p>
        </w:tc>
        <w:tc>
          <w:tcPr>
            <w:tcW w:type="dxa" w:w="7416"/>
            <w:tcMar>
              <w:top w:w="95" w:type="dxa"/>
              <w:start w:w="95" w:type="dxa"/>
              <w:bottom w:w="95" w:type="dxa"/>
              <w:end w:w="95" w:type="dxa"/>
            </w:tcMar>
            <w:vAlign w:val="center"/>
          </w:tcPr>
          <w:p>
            <w:pPr>
              <w:spacing w:after="0" w:line="245" w:lineRule="auto"/>
            </w:pPr>
            <w:r>
              <w:rPr>
                <w:sz w:val="17"/>
              </w:rPr>
              <w:t>Immutable source transactions movement ledger controlled adjustments and reconciliation.</w:t>
            </w:r>
          </w:p>
        </w:tc>
      </w:tr>
      <w:tr>
        <w:tc>
          <w:tcPr>
            <w:tcW w:type="dxa" w:w="2376"/>
            <w:tcMar>
              <w:top w:w="95" w:type="dxa"/>
              <w:start w:w="95" w:type="dxa"/>
              <w:bottom w:w="95" w:type="dxa"/>
              <w:end w:w="95" w:type="dxa"/>
            </w:tcMar>
            <w:vAlign w:val="center"/>
            <w:shd w:fill="EAF4EE"/>
          </w:tcPr>
          <w:p>
            <w:pPr>
              <w:spacing w:after="0" w:line="245" w:lineRule="auto"/>
            </w:pPr>
            <w:r>
              <w:rPr>
                <w:sz w:val="17"/>
              </w:rPr>
              <w:t>Duplicate sale or payment</w:t>
            </w:r>
          </w:p>
        </w:tc>
        <w:tc>
          <w:tcPr>
            <w:tcW w:type="dxa" w:w="7416"/>
            <w:tcMar>
              <w:top w:w="95" w:type="dxa"/>
              <w:start w:w="95" w:type="dxa"/>
              <w:bottom w:w="95" w:type="dxa"/>
              <w:end w:w="95" w:type="dxa"/>
            </w:tcMar>
            <w:vAlign w:val="center"/>
            <w:shd w:fill="EAF4EE"/>
          </w:tcPr>
          <w:p>
            <w:pPr>
              <w:spacing w:after="0" w:line="245" w:lineRule="auto"/>
            </w:pPr>
            <w:r>
              <w:rPr>
                <w:sz w:val="17"/>
              </w:rPr>
              <w:t>Idempotency unique constraints database transactions and conflict responses.</w:t>
            </w:r>
          </w:p>
        </w:tc>
      </w:tr>
      <w:tr>
        <w:tc>
          <w:tcPr>
            <w:tcW w:type="dxa" w:w="2376"/>
            <w:tcMar>
              <w:top w:w="95" w:type="dxa"/>
              <w:start w:w="95" w:type="dxa"/>
              <w:bottom w:w="95" w:type="dxa"/>
              <w:end w:w="95" w:type="dxa"/>
            </w:tcMar>
            <w:vAlign w:val="center"/>
          </w:tcPr>
          <w:p>
            <w:pPr>
              <w:spacing w:after="0" w:line="245" w:lineRule="auto"/>
            </w:pPr>
            <w:r>
              <w:rPr>
                <w:sz w:val="17"/>
              </w:rPr>
              <w:t>Ransomware or disk loss</w:t>
            </w:r>
          </w:p>
        </w:tc>
        <w:tc>
          <w:tcPr>
            <w:tcW w:type="dxa" w:w="7416"/>
            <w:tcMar>
              <w:top w:w="95" w:type="dxa"/>
              <w:start w:w="95" w:type="dxa"/>
              <w:bottom w:w="95" w:type="dxa"/>
              <w:end w:w="95" w:type="dxa"/>
            </w:tcMar>
            <w:vAlign w:val="center"/>
          </w:tcPr>
          <w:p>
            <w:pPr>
              <w:spacing w:after="0" w:line="245" w:lineRule="auto"/>
            </w:pPr>
            <w:r>
              <w:rPr>
                <w:sz w:val="17"/>
              </w:rPr>
              <w:t>Restricted host use encrypted off-device backups and tested recovery.</w:t>
            </w:r>
          </w:p>
        </w:tc>
      </w:tr>
      <w:tr>
        <w:tc>
          <w:tcPr>
            <w:tcW w:type="dxa" w:w="2376"/>
            <w:tcMar>
              <w:top w:w="95" w:type="dxa"/>
              <w:start w:w="95" w:type="dxa"/>
              <w:bottom w:w="95" w:type="dxa"/>
              <w:end w:w="95" w:type="dxa"/>
            </w:tcMar>
            <w:vAlign w:val="center"/>
            <w:shd w:fill="EAF4EE"/>
          </w:tcPr>
          <w:p>
            <w:pPr>
              <w:spacing w:after="0" w:line="245" w:lineRule="auto"/>
            </w:pPr>
            <w:r>
              <w:rPr>
                <w:sz w:val="17"/>
              </w:rPr>
              <w:t>Malicious upload</w:t>
            </w:r>
          </w:p>
        </w:tc>
        <w:tc>
          <w:tcPr>
            <w:tcW w:type="dxa" w:w="7416"/>
            <w:tcMar>
              <w:top w:w="95" w:type="dxa"/>
              <w:start w:w="95" w:type="dxa"/>
              <w:bottom w:w="95" w:type="dxa"/>
              <w:end w:w="95" w:type="dxa"/>
            </w:tcMar>
            <w:vAlign w:val="center"/>
            <w:shd w:fill="EAF4EE"/>
          </w:tcPr>
          <w:p>
            <w:pPr>
              <w:spacing w:after="0" w:line="245" w:lineRule="auto"/>
            </w:pPr>
            <w:r>
              <w:rPr>
                <w:sz w:val="17"/>
              </w:rPr>
              <w:t>File type size content checks isolated storage and authorized download.</w:t>
            </w:r>
          </w:p>
        </w:tc>
      </w:tr>
      <w:tr>
        <w:tc>
          <w:tcPr>
            <w:tcW w:type="dxa" w:w="2376"/>
            <w:tcMar>
              <w:top w:w="95" w:type="dxa"/>
              <w:start w:w="95" w:type="dxa"/>
              <w:bottom w:w="95" w:type="dxa"/>
              <w:end w:w="95" w:type="dxa"/>
            </w:tcMar>
            <w:vAlign w:val="center"/>
          </w:tcPr>
          <w:p>
            <w:pPr>
              <w:spacing w:after="0" w:line="245" w:lineRule="auto"/>
            </w:pPr>
            <w:r>
              <w:rPr>
                <w:sz w:val="17"/>
              </w:rPr>
              <w:t>Secret exposure</w:t>
            </w:r>
          </w:p>
        </w:tc>
        <w:tc>
          <w:tcPr>
            <w:tcW w:type="dxa" w:w="7416"/>
            <w:tcMar>
              <w:top w:w="95" w:type="dxa"/>
              <w:start w:w="95" w:type="dxa"/>
              <w:bottom w:w="95" w:type="dxa"/>
              <w:end w:w="95" w:type="dxa"/>
            </w:tcMar>
            <w:vAlign w:val="center"/>
          </w:tcPr>
          <w:p>
            <w:pPr>
              <w:spacing w:after="0" w:line="245" w:lineRule="auto"/>
            </w:pPr>
            <w:r>
              <w:rPr>
                <w:sz w:val="17"/>
              </w:rPr>
              <w:t>Secret stores restricted configuration log filtering and safe diagnostics.</w:t>
            </w:r>
          </w:p>
        </w:tc>
      </w:tr>
      <w:tr>
        <w:tc>
          <w:tcPr>
            <w:tcW w:type="dxa" w:w="2376"/>
            <w:tcMar>
              <w:top w:w="95" w:type="dxa"/>
              <w:start w:w="95" w:type="dxa"/>
              <w:bottom w:w="95" w:type="dxa"/>
              <w:end w:w="95" w:type="dxa"/>
            </w:tcMar>
            <w:vAlign w:val="center"/>
            <w:shd w:fill="EAF4EE"/>
          </w:tcPr>
          <w:p>
            <w:pPr>
              <w:spacing w:after="0" w:line="245" w:lineRule="auto"/>
            </w:pPr>
            <w:r>
              <w:rPr>
                <w:sz w:val="17"/>
              </w:rPr>
              <w:t>AI overreach</w:t>
            </w:r>
          </w:p>
        </w:tc>
        <w:tc>
          <w:tcPr>
            <w:tcW w:type="dxa" w:w="7416"/>
            <w:tcMar>
              <w:top w:w="95" w:type="dxa"/>
              <w:start w:w="95" w:type="dxa"/>
              <w:bottom w:w="95" w:type="dxa"/>
              <w:end w:w="95" w:type="dxa"/>
            </w:tcMar>
            <w:vAlign w:val="center"/>
            <w:shd w:fill="EAF4EE"/>
          </w:tcPr>
          <w:p>
            <w:pPr>
              <w:spacing w:after="0" w:line="245" w:lineRule="auto"/>
            </w:pPr>
            <w:r>
              <w:rPr>
                <w:sz w:val="17"/>
              </w:rPr>
              <w:t>Separate service minimized data no direct writes and Django confirmation controls.</w:t>
            </w:r>
          </w:p>
        </w:tc>
      </w:tr>
    </w:tbl>
    <w:p>
      <w:pPr>
        <w:spacing w:after="0"/>
        <w:widowControl/>
      </w:pPr>
    </w:p>
    <w:p>
      <w:pPr>
        <w:pStyle w:val="Heading1"/>
        <w:keepNext/>
        <w:widowControl/>
      </w:pPr>
      <w:r>
        <w:t>9 Deployment Architecture</w:t>
      </w:r>
    </w:p>
    <w:p>
      <w:pPr>
        <w:jc w:val="center"/>
        <w:widowControl/>
      </w:pPr>
      <w:r>
        <w:drawing>
          <wp:inline xmlns:a="http://schemas.openxmlformats.org/drawingml/2006/main" xmlns:pic="http://schemas.openxmlformats.org/drawingml/2006/picture">
            <wp:extent cx="6126480" cy="3343593"/>
            <wp:docPr id="2" name="Picture 2"/>
            <wp:cNvGraphicFramePr>
              <a:graphicFrameLocks noChangeAspect="1"/>
            </wp:cNvGraphicFramePr>
            <a:graphic>
              <a:graphicData uri="http://schemas.openxmlformats.org/drawingml/2006/picture">
                <pic:pic>
                  <pic:nvPicPr>
                    <pic:cNvPr id="0" name="greenlifeai_deployment_topology.png"/>
                    <pic:cNvPicPr/>
                  </pic:nvPicPr>
                  <pic:blipFill>
                    <a:blip r:embed="rId10"/>
                    <a:stretch>
                      <a:fillRect/>
                    </a:stretch>
                  </pic:blipFill>
                  <pic:spPr>
                    <a:xfrm>
                      <a:off x="0" y="0"/>
                      <a:ext cx="6126480" cy="3343593"/>
                    </a:xfrm>
                    <a:prstGeom prst="rect"/>
                  </pic:spPr>
                </pic:pic>
              </a:graphicData>
            </a:graphic>
          </wp:inline>
        </w:drawing>
      </w:r>
    </w:p>
    <w:p>
      <w:pPr>
        <w:jc w:val="center"/>
        <w:widowControl/>
      </w:pPr>
      <w:r>
        <w:rPr>
          <w:i/>
          <w:sz w:val="18"/>
        </w:rPr>
        <w:t>Figure 2  Recommended local deployment topology</w:t>
      </w:r>
    </w:p>
    <w:p>
      <w:pPr>
        <w:pStyle w:val="Heading2"/>
        <w:keepNext/>
        <w:widowControl/>
      </w:pPr>
      <w:r>
        <w:t>Compose Services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val="true"/>
        </w:trPr>
        <w:tc>
          <w:tcPr>
            <w:tcW w:type="dxa" w:w="1728"/>
            <w:shd w:fill="0F5132"/>
            <w:tcMar>
              <w:top w:w="95" w:type="dxa"/>
              <w:start w:w="95" w:type="dxa"/>
              <w:bottom w:w="95" w:type="dxa"/>
              <w:end w:w="95" w:type="dxa"/>
            </w:tcMar>
            <w:vAlign w:val="center"/>
          </w:tcPr>
          <w:p>
            <w:pPr>
              <w:spacing w:after="0"/>
            </w:pPr>
            <w:r>
              <w:rPr>
                <w:b/>
                <w:color w:val="FFFFFF"/>
                <w:sz w:val="17"/>
              </w:rPr>
              <w:t>Service</w:t>
            </w:r>
          </w:p>
        </w:tc>
        <w:tc>
          <w:tcPr>
            <w:tcW w:type="dxa" w:w="3456"/>
            <w:shd w:fill="0F5132"/>
            <w:tcMar>
              <w:top w:w="95" w:type="dxa"/>
              <w:start w:w="95" w:type="dxa"/>
              <w:bottom w:w="95" w:type="dxa"/>
              <w:end w:w="95" w:type="dxa"/>
            </w:tcMar>
            <w:vAlign w:val="center"/>
          </w:tcPr>
          <w:p>
            <w:pPr>
              <w:spacing w:after="0"/>
            </w:pPr>
            <w:r>
              <w:rPr>
                <w:b/>
                <w:color w:val="FFFFFF"/>
                <w:sz w:val="17"/>
              </w:rPr>
              <w:t>Image or runtime</w:t>
            </w:r>
          </w:p>
        </w:tc>
        <w:tc>
          <w:tcPr>
            <w:tcW w:type="dxa" w:w="4608"/>
            <w:shd w:fill="0F5132"/>
            <w:tcMar>
              <w:top w:w="95" w:type="dxa"/>
              <w:start w:w="95" w:type="dxa"/>
              <w:bottom w:w="95" w:type="dxa"/>
              <w:end w:w="95" w:type="dxa"/>
            </w:tcMar>
            <w:vAlign w:val="center"/>
          </w:tcPr>
          <w:p>
            <w:pPr>
              <w:spacing w:after="0"/>
            </w:pPr>
            <w:r>
              <w:rPr>
                <w:b/>
                <w:color w:val="FFFFFF"/>
                <w:sz w:val="17"/>
              </w:rPr>
              <w:t>Persistence and exposure</w:t>
            </w:r>
          </w:p>
        </w:tc>
      </w:tr>
      <w:tr>
        <w:tc>
          <w:tcPr>
            <w:tcW w:type="dxa" w:w="1728"/>
            <w:tcMar>
              <w:top w:w="95" w:type="dxa"/>
              <w:start w:w="95" w:type="dxa"/>
              <w:bottom w:w="95" w:type="dxa"/>
              <w:end w:w="95" w:type="dxa"/>
            </w:tcMar>
            <w:vAlign w:val="center"/>
          </w:tcPr>
          <w:p>
            <w:pPr>
              <w:spacing w:after="0" w:line="245" w:lineRule="auto"/>
            </w:pPr>
            <w:r>
              <w:rPr>
                <w:sz w:val="17"/>
              </w:rPr>
              <w:t>gateway</w:t>
            </w:r>
          </w:p>
        </w:tc>
        <w:tc>
          <w:tcPr>
            <w:tcW w:type="dxa" w:w="3456"/>
            <w:tcMar>
              <w:top w:w="95" w:type="dxa"/>
              <w:start w:w="95" w:type="dxa"/>
              <w:bottom w:w="95" w:type="dxa"/>
              <w:end w:w="95" w:type="dxa"/>
            </w:tcMar>
            <w:vAlign w:val="center"/>
          </w:tcPr>
          <w:p>
            <w:pPr>
              <w:spacing w:after="0" w:line="245" w:lineRule="auto"/>
            </w:pPr>
            <w:r>
              <w:rPr>
                <w:sz w:val="17"/>
              </w:rPr>
              <w:t>Nginx or Caddy approved image</w:t>
            </w:r>
          </w:p>
        </w:tc>
        <w:tc>
          <w:tcPr>
            <w:tcW w:type="dxa" w:w="4608"/>
            <w:tcMar>
              <w:top w:w="95" w:type="dxa"/>
              <w:start w:w="95" w:type="dxa"/>
              <w:bottom w:w="95" w:type="dxa"/>
              <w:end w:w="95" w:type="dxa"/>
            </w:tcMar>
            <w:vAlign w:val="center"/>
          </w:tcPr>
          <w:p>
            <w:pPr>
              <w:spacing w:after="0" w:line="245" w:lineRule="auto"/>
            </w:pPr>
            <w:r>
              <w:rPr>
                <w:sz w:val="17"/>
              </w:rPr>
              <w:t>Exposes the local or HTTPS application address. No business data.</w:t>
            </w:r>
          </w:p>
        </w:tc>
      </w:tr>
      <w:tr>
        <w:tc>
          <w:tcPr>
            <w:tcW w:type="dxa" w:w="1728"/>
            <w:tcMar>
              <w:top w:w="95" w:type="dxa"/>
              <w:start w:w="95" w:type="dxa"/>
              <w:bottom w:w="95" w:type="dxa"/>
              <w:end w:w="95" w:type="dxa"/>
            </w:tcMar>
            <w:vAlign w:val="center"/>
            <w:shd w:fill="EAF4EE"/>
          </w:tcPr>
          <w:p>
            <w:pPr>
              <w:spacing w:after="0" w:line="245" w:lineRule="auto"/>
            </w:pPr>
            <w:r>
              <w:rPr>
                <w:sz w:val="17"/>
              </w:rPr>
              <w:t>frontend</w:t>
            </w:r>
          </w:p>
        </w:tc>
        <w:tc>
          <w:tcPr>
            <w:tcW w:type="dxa" w:w="3456"/>
            <w:tcMar>
              <w:top w:w="95" w:type="dxa"/>
              <w:start w:w="95" w:type="dxa"/>
              <w:bottom w:w="95" w:type="dxa"/>
              <w:end w:w="95" w:type="dxa"/>
            </w:tcMar>
            <w:vAlign w:val="center"/>
            <w:shd w:fill="EAF4EE"/>
          </w:tcPr>
          <w:p>
            <w:pPr>
              <w:spacing w:after="0" w:line="245" w:lineRule="auto"/>
            </w:pPr>
            <w:r>
              <w:rPr>
                <w:sz w:val="17"/>
              </w:rPr>
              <w:t>Versioned GreenlifeAI static build</w:t>
            </w:r>
          </w:p>
        </w:tc>
        <w:tc>
          <w:tcPr>
            <w:tcW w:type="dxa" w:w="4608"/>
            <w:tcMar>
              <w:top w:w="95" w:type="dxa"/>
              <w:start w:w="95" w:type="dxa"/>
              <w:bottom w:w="95" w:type="dxa"/>
              <w:end w:w="95" w:type="dxa"/>
            </w:tcMar>
            <w:vAlign w:val="center"/>
            <w:shd w:fill="EAF4EE"/>
          </w:tcPr>
          <w:p>
            <w:pPr>
              <w:spacing w:after="0" w:line="245" w:lineRule="auto"/>
            </w:pPr>
            <w:r>
              <w:rPr>
                <w:sz w:val="17"/>
              </w:rPr>
              <w:t>Served through the gateway. No persistent business data.</w:t>
            </w:r>
          </w:p>
        </w:tc>
      </w:tr>
      <w:tr>
        <w:tc>
          <w:tcPr>
            <w:tcW w:type="dxa" w:w="1728"/>
            <w:tcMar>
              <w:top w:w="95" w:type="dxa"/>
              <w:start w:w="95" w:type="dxa"/>
              <w:bottom w:w="95" w:type="dxa"/>
              <w:end w:w="95" w:type="dxa"/>
            </w:tcMar>
            <w:vAlign w:val="center"/>
          </w:tcPr>
          <w:p>
            <w:pPr>
              <w:spacing w:after="0" w:line="245" w:lineRule="auto"/>
            </w:pPr>
            <w:r>
              <w:rPr>
                <w:sz w:val="17"/>
              </w:rPr>
              <w:t>backend</w:t>
            </w:r>
          </w:p>
        </w:tc>
        <w:tc>
          <w:tcPr>
            <w:tcW w:type="dxa" w:w="3456"/>
            <w:tcMar>
              <w:top w:w="95" w:type="dxa"/>
              <w:start w:w="95" w:type="dxa"/>
              <w:bottom w:w="95" w:type="dxa"/>
              <w:end w:w="95" w:type="dxa"/>
            </w:tcMar>
            <w:vAlign w:val="center"/>
          </w:tcPr>
          <w:p>
            <w:pPr>
              <w:spacing w:after="0" w:line="245" w:lineRule="auto"/>
            </w:pPr>
            <w:r>
              <w:rPr>
                <w:sz w:val="17"/>
              </w:rPr>
              <w:t>Versioned GreenlifeAI Django image</w:t>
            </w:r>
          </w:p>
        </w:tc>
        <w:tc>
          <w:tcPr>
            <w:tcW w:type="dxa" w:w="4608"/>
            <w:tcMar>
              <w:top w:w="95" w:type="dxa"/>
              <w:start w:w="95" w:type="dxa"/>
              <w:bottom w:w="95" w:type="dxa"/>
              <w:end w:w="95" w:type="dxa"/>
            </w:tcMar>
            <w:vAlign w:val="center"/>
          </w:tcPr>
          <w:p>
            <w:pPr>
              <w:spacing w:after="0" w:line="245" w:lineRule="auto"/>
            </w:pPr>
            <w:r>
              <w:rPr>
                <w:sz w:val="17"/>
              </w:rPr>
              <w:t>Uses configuration secrets and media reference. Exposed only through gateway.</w:t>
            </w:r>
          </w:p>
        </w:tc>
      </w:tr>
      <w:tr>
        <w:tc>
          <w:tcPr>
            <w:tcW w:type="dxa" w:w="1728"/>
            <w:tcMar>
              <w:top w:w="95" w:type="dxa"/>
              <w:start w:w="95" w:type="dxa"/>
              <w:bottom w:w="95" w:type="dxa"/>
              <w:end w:w="95" w:type="dxa"/>
            </w:tcMar>
            <w:vAlign w:val="center"/>
            <w:shd w:fill="EAF4EE"/>
          </w:tcPr>
          <w:p>
            <w:pPr>
              <w:spacing w:after="0" w:line="245" w:lineRule="auto"/>
            </w:pPr>
            <w:r>
              <w:rPr>
                <w:sz w:val="17"/>
              </w:rPr>
              <w:t>database</w:t>
            </w:r>
          </w:p>
        </w:tc>
        <w:tc>
          <w:tcPr>
            <w:tcW w:type="dxa" w:w="3456"/>
            <w:tcMar>
              <w:top w:w="95" w:type="dxa"/>
              <w:start w:w="95" w:type="dxa"/>
              <w:bottom w:w="95" w:type="dxa"/>
              <w:end w:w="95" w:type="dxa"/>
            </w:tcMar>
            <w:vAlign w:val="center"/>
            <w:shd w:fill="EAF4EE"/>
          </w:tcPr>
          <w:p>
            <w:pPr>
              <w:spacing w:after="0" w:line="245" w:lineRule="auto"/>
            </w:pPr>
            <w:r>
              <w:rPr>
                <w:sz w:val="17"/>
              </w:rPr>
              <w:t>Supported PostgreSQL image</w:t>
            </w:r>
          </w:p>
        </w:tc>
        <w:tc>
          <w:tcPr>
            <w:tcW w:type="dxa" w:w="4608"/>
            <w:tcMar>
              <w:top w:w="95" w:type="dxa"/>
              <w:start w:w="95" w:type="dxa"/>
              <w:bottom w:w="95" w:type="dxa"/>
              <w:end w:w="95" w:type="dxa"/>
            </w:tcMar>
            <w:vAlign w:val="center"/>
            <w:shd w:fill="EAF4EE"/>
          </w:tcPr>
          <w:p>
            <w:pPr>
              <w:spacing w:after="0" w:line="245" w:lineRule="auto"/>
            </w:pPr>
            <w:r>
              <w:rPr>
                <w:sz w:val="17"/>
              </w:rPr>
              <w:t>Uses named persistent volume. Never exposed to ordinary client network.</w:t>
            </w:r>
          </w:p>
        </w:tc>
      </w:tr>
      <w:tr>
        <w:tc>
          <w:tcPr>
            <w:tcW w:type="dxa" w:w="1728"/>
            <w:tcMar>
              <w:top w:w="95" w:type="dxa"/>
              <w:start w:w="95" w:type="dxa"/>
              <w:bottom w:w="95" w:type="dxa"/>
              <w:end w:w="95" w:type="dxa"/>
            </w:tcMar>
            <w:vAlign w:val="center"/>
          </w:tcPr>
          <w:p>
            <w:pPr>
              <w:spacing w:after="0" w:line="245" w:lineRule="auto"/>
            </w:pPr>
            <w:r>
              <w:rPr>
                <w:sz w:val="17"/>
              </w:rPr>
              <w:t>redis</w:t>
            </w:r>
          </w:p>
        </w:tc>
        <w:tc>
          <w:tcPr>
            <w:tcW w:type="dxa" w:w="3456"/>
            <w:tcMar>
              <w:top w:w="95" w:type="dxa"/>
              <w:start w:w="95" w:type="dxa"/>
              <w:bottom w:w="95" w:type="dxa"/>
              <w:end w:w="95" w:type="dxa"/>
            </w:tcMar>
            <w:vAlign w:val="center"/>
          </w:tcPr>
          <w:p>
            <w:pPr>
              <w:spacing w:after="0" w:line="245" w:lineRule="auto"/>
            </w:pPr>
            <w:r>
              <w:rPr>
                <w:sz w:val="17"/>
              </w:rPr>
              <w:t>Supported Redis image when enabled</w:t>
            </w:r>
          </w:p>
        </w:tc>
        <w:tc>
          <w:tcPr>
            <w:tcW w:type="dxa" w:w="4608"/>
            <w:tcMar>
              <w:top w:w="95" w:type="dxa"/>
              <w:start w:w="95" w:type="dxa"/>
              <w:bottom w:w="95" w:type="dxa"/>
              <w:end w:w="95" w:type="dxa"/>
            </w:tcMar>
            <w:vAlign w:val="center"/>
          </w:tcPr>
          <w:p>
            <w:pPr>
              <w:spacing w:after="0" w:line="245" w:lineRule="auto"/>
            </w:pPr>
            <w:r>
              <w:rPr>
                <w:sz w:val="17"/>
              </w:rPr>
              <w:t>Private network. Persistence only if required by the job design.</w:t>
            </w:r>
          </w:p>
        </w:tc>
      </w:tr>
      <w:tr>
        <w:tc>
          <w:tcPr>
            <w:tcW w:type="dxa" w:w="1728"/>
            <w:tcMar>
              <w:top w:w="95" w:type="dxa"/>
              <w:start w:w="95" w:type="dxa"/>
              <w:bottom w:w="95" w:type="dxa"/>
              <w:end w:w="95" w:type="dxa"/>
            </w:tcMar>
            <w:vAlign w:val="center"/>
            <w:shd w:fill="EAF4EE"/>
          </w:tcPr>
          <w:p>
            <w:pPr>
              <w:spacing w:after="0" w:line="245" w:lineRule="auto"/>
            </w:pPr>
            <w:r>
              <w:rPr>
                <w:sz w:val="17"/>
              </w:rPr>
              <w:t>worker</w:t>
            </w:r>
          </w:p>
        </w:tc>
        <w:tc>
          <w:tcPr>
            <w:tcW w:type="dxa" w:w="3456"/>
            <w:tcMar>
              <w:top w:w="95" w:type="dxa"/>
              <w:start w:w="95" w:type="dxa"/>
              <w:bottom w:w="95" w:type="dxa"/>
              <w:end w:w="95" w:type="dxa"/>
            </w:tcMar>
            <w:vAlign w:val="center"/>
            <w:shd w:fill="EAF4EE"/>
          </w:tcPr>
          <w:p>
            <w:pPr>
              <w:spacing w:after="0" w:line="245" w:lineRule="auto"/>
            </w:pPr>
            <w:r>
              <w:rPr>
                <w:sz w:val="17"/>
              </w:rPr>
              <w:t>Same application release as backend</w:t>
            </w:r>
          </w:p>
        </w:tc>
        <w:tc>
          <w:tcPr>
            <w:tcW w:type="dxa" w:w="4608"/>
            <w:tcMar>
              <w:top w:w="95" w:type="dxa"/>
              <w:start w:w="95" w:type="dxa"/>
              <w:bottom w:w="95" w:type="dxa"/>
              <w:end w:w="95" w:type="dxa"/>
            </w:tcMar>
            <w:vAlign w:val="center"/>
            <w:shd w:fill="EAF4EE"/>
          </w:tcPr>
          <w:p>
            <w:pPr>
              <w:spacing w:after="0" w:line="245" w:lineRule="auto"/>
            </w:pPr>
            <w:r>
              <w:rPr>
                <w:sz w:val="17"/>
              </w:rPr>
              <w:t>Private network and approved task queues.</w:t>
            </w:r>
          </w:p>
        </w:tc>
      </w:tr>
      <w:tr>
        <w:tc>
          <w:tcPr>
            <w:tcW w:type="dxa" w:w="1728"/>
            <w:tcMar>
              <w:top w:w="95" w:type="dxa"/>
              <w:start w:w="95" w:type="dxa"/>
              <w:bottom w:w="95" w:type="dxa"/>
              <w:end w:w="95" w:type="dxa"/>
            </w:tcMar>
            <w:vAlign w:val="center"/>
          </w:tcPr>
          <w:p>
            <w:pPr>
              <w:spacing w:after="0" w:line="245" w:lineRule="auto"/>
            </w:pPr>
            <w:r>
              <w:rPr>
                <w:sz w:val="17"/>
              </w:rPr>
              <w:t>scheduler</w:t>
            </w:r>
          </w:p>
        </w:tc>
        <w:tc>
          <w:tcPr>
            <w:tcW w:type="dxa" w:w="3456"/>
            <w:tcMar>
              <w:top w:w="95" w:type="dxa"/>
              <w:start w:w="95" w:type="dxa"/>
              <w:bottom w:w="95" w:type="dxa"/>
              <w:end w:w="95" w:type="dxa"/>
            </w:tcMar>
            <w:vAlign w:val="center"/>
          </w:tcPr>
          <w:p>
            <w:pPr>
              <w:spacing w:after="0" w:line="245" w:lineRule="auto"/>
            </w:pPr>
            <w:r>
              <w:rPr>
                <w:sz w:val="17"/>
              </w:rPr>
              <w:t>Same application release as backend</w:t>
            </w:r>
          </w:p>
        </w:tc>
        <w:tc>
          <w:tcPr>
            <w:tcW w:type="dxa" w:w="4608"/>
            <w:tcMar>
              <w:top w:w="95" w:type="dxa"/>
              <w:start w:w="95" w:type="dxa"/>
              <w:bottom w:w="95" w:type="dxa"/>
              <w:end w:w="95" w:type="dxa"/>
            </w:tcMar>
            <w:vAlign w:val="center"/>
          </w:tcPr>
          <w:p>
            <w:pPr>
              <w:spacing w:after="0" w:line="245" w:lineRule="auto"/>
            </w:pPr>
            <w:r>
              <w:rPr>
                <w:sz w:val="17"/>
              </w:rPr>
              <w:t>Runs scheduled alerts backup orchestration and maintenance tasks.</w:t>
            </w:r>
          </w:p>
        </w:tc>
      </w:tr>
      <w:tr>
        <w:tc>
          <w:tcPr>
            <w:tcW w:type="dxa" w:w="1728"/>
            <w:tcMar>
              <w:top w:w="95" w:type="dxa"/>
              <w:start w:w="95" w:type="dxa"/>
              <w:bottom w:w="95" w:type="dxa"/>
              <w:end w:w="95" w:type="dxa"/>
            </w:tcMar>
            <w:vAlign w:val="center"/>
            <w:shd w:fill="EAF4EE"/>
          </w:tcPr>
          <w:p>
            <w:pPr>
              <w:spacing w:after="0" w:line="245" w:lineRule="auto"/>
            </w:pPr>
            <w:r>
              <w:rPr>
                <w:sz w:val="17"/>
              </w:rPr>
              <w:t>backup</w:t>
            </w:r>
          </w:p>
        </w:tc>
        <w:tc>
          <w:tcPr>
            <w:tcW w:type="dxa" w:w="3456"/>
            <w:tcMar>
              <w:top w:w="95" w:type="dxa"/>
              <w:start w:w="95" w:type="dxa"/>
              <w:bottom w:w="95" w:type="dxa"/>
              <w:end w:w="95" w:type="dxa"/>
            </w:tcMar>
            <w:vAlign w:val="center"/>
            <w:shd w:fill="EAF4EE"/>
          </w:tcPr>
          <w:p>
            <w:pPr>
              <w:spacing w:after="0" w:line="245" w:lineRule="auto"/>
            </w:pPr>
            <w:r>
              <w:rPr>
                <w:sz w:val="17"/>
              </w:rPr>
              <w:t>Approved backup tooling</w:t>
            </w:r>
          </w:p>
        </w:tc>
        <w:tc>
          <w:tcPr>
            <w:tcW w:type="dxa" w:w="4608"/>
            <w:tcMar>
              <w:top w:w="95" w:type="dxa"/>
              <w:start w:w="95" w:type="dxa"/>
              <w:bottom w:w="95" w:type="dxa"/>
              <w:end w:w="95" w:type="dxa"/>
            </w:tcMar>
            <w:vAlign w:val="center"/>
            <w:shd w:fill="EAF4EE"/>
          </w:tcPr>
          <w:p>
            <w:pPr>
              <w:spacing w:after="0" w:line="245" w:lineRule="auto"/>
            </w:pPr>
            <w:r>
              <w:rPr>
                <w:sz w:val="17"/>
              </w:rPr>
              <w:t>Writes encrypted artifacts to configured local and off-device destinations.</w:t>
            </w:r>
          </w:p>
        </w:tc>
      </w:tr>
    </w:tbl>
    <w:p>
      <w:pPr>
        <w:spacing w:after="0"/>
        <w:widowControl/>
      </w:pPr>
    </w:p>
    <w:p>
      <w:pPr>
        <w:pStyle w:val="Heading2"/>
        <w:keepNext/>
        <w:widowControl/>
      </w:pPr>
      <w:r>
        <w:t>Resource Naming</w:t>
      </w:r>
    </w:p>
    <w:p>
      <w:pPr>
        <w:widowControl/>
      </w:pPr>
      <w:r>
        <w:t>The Compose project name provides the shared prefix. A production example is greenlifeai_greenlife_001_prod. Compose-generated container network and volume names inherit this identity. Images use version tags such as greenlifeai/backend:1.0.0. Explicit container names are avoided unless an operational requirement justifies them.</w:t>
      </w:r>
    </w:p>
    <w:p>
      <w:pPr>
        <w:pStyle w:val="Heading2"/>
        <w:keepNext/>
        <w:widowControl/>
      </w:pPr>
      <w:r>
        <w:t>Local Windows Deployment</w:t>
      </w:r>
    </w:p>
    <w:p>
      <w:pPr>
        <w:pStyle w:val="ListBullet"/>
        <w:spacing w:after="40"/>
        <w:widowControl/>
      </w:pPr>
      <w:r>
        <w:t>Docker Desktop uses the supported WSL 2 backend and starts when the designated Windows user signs in.</w:t>
      </w:r>
    </w:p>
    <w:p>
      <w:pPr>
        <w:pStyle w:val="ListBullet"/>
        <w:spacing w:after="40"/>
        <w:widowControl/>
      </w:pPr>
      <w:r>
        <w:t>The Docker dashboard remains closed during normal operation while the tray service runs in the background.</w:t>
      </w:r>
    </w:p>
    <w:p>
      <w:pPr>
        <w:pStyle w:val="ListBullet"/>
        <w:spacing w:after="40"/>
        <w:widowControl/>
      </w:pPr>
      <w:r>
        <w:t>Application containers use health checks and an appropriate restart policy.</w:t>
      </w:r>
    </w:p>
    <w:p>
      <w:pPr>
        <w:pStyle w:val="ListBullet"/>
        <w:spacing w:after="40"/>
        <w:widowControl/>
      </w:pPr>
      <w:r>
        <w:t>The GreenlifeAI launcher waits for Docker readiness then checks the expected project volumes schema API and frontend.</w:t>
      </w:r>
    </w:p>
    <w:p>
      <w:pPr>
        <w:pStyle w:val="ListBullet"/>
        <w:spacing w:after="40"/>
        <w:widowControl/>
      </w:pPr>
      <w:r>
        <w:t>Production data remains in named volumes with independent PostgreSQL-aware backups.</w:t>
      </w:r>
    </w:p>
    <w:p>
      <w:pPr>
        <w:pStyle w:val="ListBullet"/>
        <w:spacing w:after="40"/>
        <w:widowControl/>
      </w:pPr>
      <w:r>
        <w:t>Windows updates Docker Desktop updates and application updates follow a controlled maintenance procedure.</w:t>
      </w:r>
    </w:p>
    <w:p>
      <w:pPr>
        <w:pStyle w:val="Heading2"/>
        <w:keepNext/>
        <w:widowControl/>
      </w:pPr>
      <w:r>
        <w:t>Dedicated Linux Deployment</w:t>
      </w:r>
    </w:p>
    <w:p>
      <w:pPr>
        <w:pStyle w:val="ListBullet"/>
        <w:spacing w:after="40"/>
        <w:widowControl/>
      </w:pPr>
      <w:r>
        <w:t>Use a supported Ubuntu LTS host with Docker Engine and the Compose plugin.</w:t>
      </w:r>
    </w:p>
    <w:p>
      <w:pPr>
        <w:pStyle w:val="ListBullet"/>
        <w:spacing w:after="40"/>
        <w:widowControl/>
      </w:pPr>
      <w:r>
        <w:t>Docker starts as a system service before interactive login.</w:t>
      </w:r>
    </w:p>
    <w:p>
      <w:pPr>
        <w:pStyle w:val="ListBullet"/>
        <w:spacing w:after="40"/>
        <w:widowControl/>
      </w:pPr>
      <w:r>
        <w:t>Assign a stable local network address or approved hostname and restrict the firewall.</w:t>
      </w:r>
    </w:p>
    <w:p>
      <w:pPr>
        <w:pStyle w:val="ListBullet"/>
        <w:spacing w:after="40"/>
        <w:widowControl/>
      </w:pPr>
      <w:r>
        <w:t>Staff computers require only a supported browser and the GreenlifeAI shortcut.</w:t>
      </w:r>
    </w:p>
    <w:p>
      <w:pPr>
        <w:pStyle w:val="ListBullet"/>
        <w:spacing w:after="40"/>
        <w:widowControl/>
      </w:pPr>
      <w:r>
        <w:t>Use UPS power protection separate backup storage disk monitoring and restricted administrator access.</w:t>
      </w:r>
    </w:p>
    <w:p>
      <w:pPr>
        <w:pStyle w:val="Heading2"/>
        <w:keepNext/>
        <w:widowControl/>
      </w:pPr>
      <w:r>
        <w:t>VPS and Cloud Deployment</w:t>
      </w:r>
    </w:p>
    <w:p>
      <w:pPr>
        <w:pStyle w:val="ListBullet"/>
        <w:spacing w:after="40"/>
        <w:widowControl/>
      </w:pPr>
      <w:r>
        <w:t>Use HTTPS public or private access according to the approved audience and network model.</w:t>
      </w:r>
    </w:p>
    <w:p>
      <w:pPr>
        <w:pStyle w:val="ListBullet"/>
        <w:spacing w:after="40"/>
        <w:widowControl/>
      </w:pPr>
      <w:r>
        <w:t>Prefer managed PostgreSQL and object storage when operational capacity and budget support them.</w:t>
      </w:r>
    </w:p>
    <w:p>
      <w:pPr>
        <w:pStyle w:val="ListBullet"/>
        <w:spacing w:after="40"/>
        <w:widowControl/>
      </w:pPr>
      <w:r>
        <w:t>Keep administrative endpoints restricted by network identity and role.</w:t>
      </w:r>
    </w:p>
    <w:p>
      <w:pPr>
        <w:pStyle w:val="ListBullet"/>
        <w:spacing w:after="40"/>
        <w:widowControl/>
      </w:pPr>
      <w:r>
        <w:t>Centralize backups monitoring alerts logs and versioned deployments.</w:t>
      </w:r>
    </w:p>
    <w:p>
      <w:pPr>
        <w:pStyle w:val="ListBullet"/>
        <w:spacing w:after="40"/>
        <w:widowControl/>
      </w:pPr>
      <w:r>
        <w:t>Migrate through a controlled database and file cutover before enabling online writes.</w:t>
      </w:r>
    </w:p>
    <w:p>
      <w:pPr>
        <w:pStyle w:val="Heading2"/>
        <w:keepNext/>
        <w:widowControl/>
      </w:pPr>
      <w:r>
        <w:t>Capacity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1944"/>
            <w:shd w:fill="0F5132"/>
            <w:tcMar>
              <w:top w:w="95" w:type="dxa"/>
              <w:start w:w="95" w:type="dxa"/>
              <w:bottom w:w="95" w:type="dxa"/>
              <w:end w:w="95" w:type="dxa"/>
            </w:tcMar>
            <w:vAlign w:val="center"/>
          </w:tcPr>
          <w:p>
            <w:pPr>
              <w:spacing w:after="0"/>
            </w:pPr>
            <w:r>
              <w:rPr>
                <w:b/>
                <w:color w:val="FFFFFF"/>
                <w:sz w:val="17"/>
              </w:rPr>
              <w:t>Resource</w:t>
            </w:r>
          </w:p>
        </w:tc>
        <w:tc>
          <w:tcPr>
            <w:tcW w:type="dxa" w:w="7848"/>
            <w:shd w:fill="0F5132"/>
            <w:tcMar>
              <w:top w:w="95" w:type="dxa"/>
              <w:start w:w="95" w:type="dxa"/>
              <w:bottom w:w="95" w:type="dxa"/>
              <w:end w:w="95" w:type="dxa"/>
            </w:tcMar>
            <w:vAlign w:val="center"/>
          </w:tcPr>
          <w:p>
            <w:pPr>
              <w:spacing w:after="0"/>
            </w:pPr>
            <w:r>
              <w:rPr>
                <w:b/>
                <w:color w:val="FFFFFF"/>
                <w:sz w:val="17"/>
              </w:rPr>
              <w:t>Initial recommendation to validate</w:t>
            </w:r>
          </w:p>
        </w:tc>
      </w:tr>
      <w:tr>
        <w:tc>
          <w:tcPr>
            <w:tcW w:type="dxa" w:w="1944"/>
            <w:tcMar>
              <w:top w:w="95" w:type="dxa"/>
              <w:start w:w="95" w:type="dxa"/>
              <w:bottom w:w="95" w:type="dxa"/>
              <w:end w:w="95" w:type="dxa"/>
            </w:tcMar>
            <w:vAlign w:val="center"/>
          </w:tcPr>
          <w:p>
            <w:pPr>
              <w:spacing w:after="0" w:line="245" w:lineRule="auto"/>
            </w:pPr>
            <w:r>
              <w:rPr>
                <w:sz w:val="17"/>
              </w:rPr>
              <w:t>CPU</w:t>
            </w:r>
          </w:p>
        </w:tc>
        <w:tc>
          <w:tcPr>
            <w:tcW w:type="dxa" w:w="7848"/>
            <w:tcMar>
              <w:top w:w="95" w:type="dxa"/>
              <w:start w:w="95" w:type="dxa"/>
              <w:bottom w:w="95" w:type="dxa"/>
              <w:end w:w="95" w:type="dxa"/>
            </w:tcMar>
            <w:vAlign w:val="center"/>
          </w:tcPr>
          <w:p>
            <w:pPr>
              <w:spacing w:after="0" w:line="245" w:lineRule="auto"/>
            </w:pPr>
            <w:r>
              <w:rPr>
                <w:sz w:val="17"/>
              </w:rPr>
              <w:t>At least four modern logical cores for a Windows single-machine pilot or local server.</w:t>
            </w:r>
          </w:p>
        </w:tc>
      </w:tr>
      <w:tr>
        <w:tc>
          <w:tcPr>
            <w:tcW w:type="dxa" w:w="1944"/>
            <w:tcMar>
              <w:top w:w="95" w:type="dxa"/>
              <w:start w:w="95" w:type="dxa"/>
              <w:bottom w:w="95" w:type="dxa"/>
              <w:end w:w="95" w:type="dxa"/>
            </w:tcMar>
            <w:vAlign w:val="center"/>
            <w:shd w:fill="EAF4EE"/>
          </w:tcPr>
          <w:p>
            <w:pPr>
              <w:spacing w:after="0" w:line="245" w:lineRule="auto"/>
            </w:pPr>
            <w:r>
              <w:rPr>
                <w:sz w:val="17"/>
              </w:rPr>
              <w:t>Memory</w:t>
            </w:r>
          </w:p>
        </w:tc>
        <w:tc>
          <w:tcPr>
            <w:tcW w:type="dxa" w:w="7848"/>
            <w:tcMar>
              <w:top w:w="95" w:type="dxa"/>
              <w:start w:w="95" w:type="dxa"/>
              <w:bottom w:w="95" w:type="dxa"/>
              <w:end w:w="95" w:type="dxa"/>
            </w:tcMar>
            <w:vAlign w:val="center"/>
            <w:shd w:fill="EAF4EE"/>
          </w:tcPr>
          <w:p>
            <w:pPr>
              <w:spacing w:after="0" w:line="245" w:lineRule="auto"/>
            </w:pPr>
            <w:r>
              <w:rPr>
                <w:sz w:val="17"/>
              </w:rPr>
              <w:t>At least 8 GB system memory with enough reserved for the operating system Docker and browser; 16 GB is preferred for a shared local server.</w:t>
            </w:r>
          </w:p>
        </w:tc>
      </w:tr>
      <w:tr>
        <w:tc>
          <w:tcPr>
            <w:tcW w:type="dxa" w:w="1944"/>
            <w:tcMar>
              <w:top w:w="95" w:type="dxa"/>
              <w:start w:w="95" w:type="dxa"/>
              <w:bottom w:w="95" w:type="dxa"/>
              <w:end w:w="95" w:type="dxa"/>
            </w:tcMar>
            <w:vAlign w:val="center"/>
          </w:tcPr>
          <w:p>
            <w:pPr>
              <w:spacing w:after="0" w:line="245" w:lineRule="auto"/>
            </w:pPr>
            <w:r>
              <w:rPr>
                <w:sz w:val="17"/>
              </w:rPr>
              <w:t>Storage</w:t>
            </w:r>
          </w:p>
        </w:tc>
        <w:tc>
          <w:tcPr>
            <w:tcW w:type="dxa" w:w="7848"/>
            <w:tcMar>
              <w:top w:w="95" w:type="dxa"/>
              <w:start w:w="95" w:type="dxa"/>
              <w:bottom w:w="95" w:type="dxa"/>
              <w:end w:w="95" w:type="dxa"/>
            </w:tcMar>
            <w:vAlign w:val="center"/>
          </w:tcPr>
          <w:p>
            <w:pPr>
              <w:spacing w:after="0" w:line="245" w:lineRule="auto"/>
            </w:pPr>
            <w:r>
              <w:rPr>
                <w:sz w:val="17"/>
              </w:rPr>
              <w:t>SSD with monitored free space and capacity for database media images logs temporary exports and retained backups.</w:t>
            </w:r>
          </w:p>
        </w:tc>
      </w:tr>
      <w:tr>
        <w:tc>
          <w:tcPr>
            <w:tcW w:type="dxa" w:w="1944"/>
            <w:tcMar>
              <w:top w:w="95" w:type="dxa"/>
              <w:start w:w="95" w:type="dxa"/>
              <w:bottom w:w="95" w:type="dxa"/>
              <w:end w:w="95" w:type="dxa"/>
            </w:tcMar>
            <w:vAlign w:val="center"/>
            <w:shd w:fill="EAF4EE"/>
          </w:tcPr>
          <w:p>
            <w:pPr>
              <w:spacing w:after="0" w:line="245" w:lineRule="auto"/>
            </w:pPr>
            <w:r>
              <w:rPr>
                <w:sz w:val="17"/>
              </w:rPr>
              <w:t>Power</w:t>
            </w:r>
          </w:p>
        </w:tc>
        <w:tc>
          <w:tcPr>
            <w:tcW w:type="dxa" w:w="7848"/>
            <w:tcMar>
              <w:top w:w="95" w:type="dxa"/>
              <w:start w:w="95" w:type="dxa"/>
              <w:bottom w:w="95" w:type="dxa"/>
              <w:end w:w="95" w:type="dxa"/>
            </w:tcMar>
            <w:vAlign w:val="center"/>
            <w:shd w:fill="EAF4EE"/>
          </w:tcPr>
          <w:p>
            <w:pPr>
              <w:spacing w:after="0" w:line="245" w:lineRule="auto"/>
            </w:pPr>
            <w:r>
              <w:rPr>
                <w:sz w:val="17"/>
              </w:rPr>
              <w:t>UPS and surge protection for the local production host and network equipment.</w:t>
            </w:r>
          </w:p>
        </w:tc>
      </w:tr>
      <w:tr>
        <w:tc>
          <w:tcPr>
            <w:tcW w:type="dxa" w:w="1944"/>
            <w:tcMar>
              <w:top w:w="95" w:type="dxa"/>
              <w:start w:w="95" w:type="dxa"/>
              <w:bottom w:w="95" w:type="dxa"/>
              <w:end w:w="95" w:type="dxa"/>
            </w:tcMar>
            <w:vAlign w:val="center"/>
          </w:tcPr>
          <w:p>
            <w:pPr>
              <w:spacing w:after="0" w:line="245" w:lineRule="auto"/>
            </w:pPr>
            <w:r>
              <w:rPr>
                <w:sz w:val="17"/>
              </w:rPr>
              <w:t>Network</w:t>
            </w:r>
          </w:p>
        </w:tc>
        <w:tc>
          <w:tcPr>
            <w:tcW w:type="dxa" w:w="7848"/>
            <w:tcMar>
              <w:top w:w="95" w:type="dxa"/>
              <w:start w:w="95" w:type="dxa"/>
              <w:bottom w:w="95" w:type="dxa"/>
              <w:end w:w="95" w:type="dxa"/>
            </w:tcMar>
            <w:vAlign w:val="center"/>
          </w:tcPr>
          <w:p>
            <w:pPr>
              <w:spacing w:after="0" w:line="245" w:lineRule="auto"/>
            </w:pPr>
            <w:r>
              <w:rPr>
                <w:sz w:val="17"/>
              </w:rPr>
              <w:t>Reliable local LAN with stable server address. Internet required only for configured online services updates or off-site backup.</w:t>
            </w:r>
          </w:p>
        </w:tc>
      </w:tr>
      <w:tr>
        <w:tc>
          <w:tcPr>
            <w:tcW w:type="dxa" w:w="1944"/>
            <w:tcMar>
              <w:top w:w="95" w:type="dxa"/>
              <w:start w:w="95" w:type="dxa"/>
              <w:bottom w:w="95" w:type="dxa"/>
              <w:end w:w="95" w:type="dxa"/>
            </w:tcMar>
            <w:vAlign w:val="center"/>
            <w:shd w:fill="EAF4EE"/>
          </w:tcPr>
          <w:p>
            <w:pPr>
              <w:spacing w:after="0" w:line="245" w:lineRule="auto"/>
            </w:pPr>
            <w:r>
              <w:rPr>
                <w:sz w:val="17"/>
              </w:rPr>
              <w:t>Peripherals</w:t>
            </w:r>
          </w:p>
        </w:tc>
        <w:tc>
          <w:tcPr>
            <w:tcW w:type="dxa" w:w="7848"/>
            <w:tcMar>
              <w:top w:w="95" w:type="dxa"/>
              <w:start w:w="95" w:type="dxa"/>
              <w:bottom w:w="95" w:type="dxa"/>
              <w:end w:w="95" w:type="dxa"/>
            </w:tcMar>
            <w:vAlign w:val="center"/>
            <w:shd w:fill="EAF4EE"/>
          </w:tcPr>
          <w:p>
            <w:pPr>
              <w:spacing w:after="0" w:line="245" w:lineRule="auto"/>
            </w:pPr>
            <w:r>
              <w:rPr>
                <w:sz w:val="17"/>
              </w:rPr>
              <w:t>Tested barcode scanners receipt printers and any cash-drawer integration before go-live.</w:t>
            </w:r>
          </w:p>
        </w:tc>
      </w:tr>
    </w:tbl>
    <w:p>
      <w:pPr>
        <w:spacing w:after="0"/>
        <w:widowControl/>
      </w:pPr>
    </w:p>
    <w:p>
      <w:pPr>
        <w:widowControl/>
      </w:pPr>
      <w:r>
        <w:t>Final capacity must be based on measured product count batch count users transactions attachments report periods backup retention and growth. The table is a starting point rather than a guaranteed sizing result.</w:t>
      </w:r>
    </w:p>
    <w:p>
      <w:pPr>
        <w:pStyle w:val="Heading1"/>
        <w:keepNext/>
        <w:widowControl/>
      </w:pPr>
      <w:r>
        <w:t>10 Installer Launcher and Startup</w:t>
      </w:r>
    </w:p>
    <w:p>
      <w:pPr>
        <w:pStyle w:val="Heading2"/>
        <w:keepNext/>
        <w:widowControl/>
      </w:pPr>
      <w:r>
        <w:t>Installer Architecture</w:t>
      </w:r>
    </w:p>
    <w:p>
      <w:pPr>
        <w:pStyle w:val="ListNumber"/>
        <w:spacing w:after="60"/>
        <w:widowControl/>
      </w:pPr>
      <w:r>
        <w:t>Inspect host operating system CPU architecture memory disk virtualization WSL network ports time and prior installation.</w:t>
      </w:r>
    </w:p>
    <w:p>
      <w:pPr>
        <w:pStyle w:val="ListNumber"/>
        <w:spacing w:after="60"/>
        <w:widowControl/>
      </w:pPr>
      <w:r>
        <w:t>Install or verify the approved Docker runtime and Compose support.</w:t>
      </w:r>
    </w:p>
    <w:p>
      <w:pPr>
        <w:pStyle w:val="ListNumber"/>
        <w:spacing w:after="60"/>
        <w:widowControl/>
      </w:pPr>
      <w:r>
        <w:t>Load signed versioned images from the registry or offline package.</w:t>
      </w:r>
    </w:p>
    <w:p>
      <w:pPr>
        <w:pStyle w:val="ListNumber"/>
        <w:spacing w:after="60"/>
        <w:widowControl/>
      </w:pPr>
      <w:r>
        <w:t>Generate installation identity database credentials Django secret backup key and activation token.</w:t>
      </w:r>
    </w:p>
    <w:p>
      <w:pPr>
        <w:pStyle w:val="ListNumber"/>
        <w:spacing w:after="60"/>
        <w:widowControl/>
      </w:pPr>
      <w:r>
        <w:t>Write protected environment configuration and create named volumes and networks.</w:t>
      </w:r>
    </w:p>
    <w:p>
      <w:pPr>
        <w:pStyle w:val="ListNumber"/>
        <w:spacing w:after="60"/>
        <w:widowControl/>
      </w:pPr>
      <w:r>
        <w:t>Start the database run migrations create installation metadata and verify persistence.</w:t>
      </w:r>
    </w:p>
    <w:p>
      <w:pPr>
        <w:pStyle w:val="ListNumber"/>
        <w:spacing w:after="60"/>
        <w:widowControl/>
      </w:pPr>
      <w:r>
        <w:t>Configure Super Admin activation backups automatic startup health checks and shortcut.</w:t>
      </w:r>
    </w:p>
    <w:p>
      <w:pPr>
        <w:pStyle w:val="ListNumber"/>
        <w:spacing w:after="60"/>
        <w:widowControl/>
      </w:pPr>
      <w:r>
        <w:t>Run acceptance health tests and save a sanitized installation record.</w:t>
      </w:r>
    </w:p>
    <w:p>
      <w:pPr>
        <w:pStyle w:val="Heading2"/>
        <w:keepNext/>
        <w:widowControl/>
      </w:pPr>
      <w:r>
        <w:t>Launcher State Machine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232"/>
            <w:shd w:fill="0F5132"/>
            <w:tcMar>
              <w:top w:w="95" w:type="dxa"/>
              <w:start w:w="95" w:type="dxa"/>
              <w:bottom w:w="95" w:type="dxa"/>
              <w:end w:w="95" w:type="dxa"/>
            </w:tcMar>
            <w:vAlign w:val="center"/>
          </w:tcPr>
          <w:p>
            <w:pPr>
              <w:spacing w:after="0"/>
            </w:pPr>
            <w:r>
              <w:rPr>
                <w:b/>
                <w:color w:val="FFFFFF"/>
                <w:sz w:val="17"/>
              </w:rPr>
              <w:t>State</w:t>
            </w:r>
          </w:p>
        </w:tc>
        <w:tc>
          <w:tcPr>
            <w:tcW w:type="dxa" w:w="7560"/>
            <w:shd w:fill="0F5132"/>
            <w:tcMar>
              <w:top w:w="95" w:type="dxa"/>
              <w:start w:w="95" w:type="dxa"/>
              <w:bottom w:w="95" w:type="dxa"/>
              <w:end w:w="95" w:type="dxa"/>
            </w:tcMar>
            <w:vAlign w:val="center"/>
          </w:tcPr>
          <w:p>
            <w:pPr>
              <w:spacing w:after="0"/>
            </w:pPr>
            <w:r>
              <w:rPr>
                <w:b/>
                <w:color w:val="FFFFFF"/>
                <w:sz w:val="17"/>
              </w:rPr>
              <w:t>Behavior</w:t>
            </w:r>
          </w:p>
        </w:tc>
      </w:tr>
      <w:tr>
        <w:tc>
          <w:tcPr>
            <w:tcW w:type="dxa" w:w="2232"/>
            <w:tcMar>
              <w:top w:w="95" w:type="dxa"/>
              <w:start w:w="95" w:type="dxa"/>
              <w:bottom w:w="95" w:type="dxa"/>
              <w:end w:w="95" w:type="dxa"/>
            </w:tcMar>
            <w:vAlign w:val="center"/>
          </w:tcPr>
          <w:p>
            <w:pPr>
              <w:spacing w:after="0" w:line="245" w:lineRule="auto"/>
            </w:pPr>
            <w:r>
              <w:rPr>
                <w:sz w:val="17"/>
              </w:rPr>
              <w:t>Initializing</w:t>
            </w:r>
          </w:p>
        </w:tc>
        <w:tc>
          <w:tcPr>
            <w:tcW w:type="dxa" w:w="7560"/>
            <w:tcMar>
              <w:top w:w="95" w:type="dxa"/>
              <w:start w:w="95" w:type="dxa"/>
              <w:bottom w:w="95" w:type="dxa"/>
              <w:end w:w="95" w:type="dxa"/>
            </w:tcMar>
            <w:vAlign w:val="center"/>
          </w:tcPr>
          <w:p>
            <w:pPr>
              <w:spacing w:after="0" w:line="245" w:lineRule="auto"/>
            </w:pPr>
            <w:r>
              <w:rPr>
                <w:sz w:val="17"/>
              </w:rPr>
              <w:t>Display GreenlifeAI and begin local environment checks.</w:t>
            </w:r>
          </w:p>
        </w:tc>
      </w:tr>
      <w:tr>
        <w:tc>
          <w:tcPr>
            <w:tcW w:type="dxa" w:w="2232"/>
            <w:tcMar>
              <w:top w:w="95" w:type="dxa"/>
              <w:start w:w="95" w:type="dxa"/>
              <w:bottom w:w="95" w:type="dxa"/>
              <w:end w:w="95" w:type="dxa"/>
            </w:tcMar>
            <w:vAlign w:val="center"/>
            <w:shd w:fill="EAF4EE"/>
          </w:tcPr>
          <w:p>
            <w:pPr>
              <w:spacing w:after="0" w:line="245" w:lineRule="auto"/>
            </w:pPr>
            <w:r>
              <w:rPr>
                <w:sz w:val="17"/>
              </w:rPr>
              <w:t>Waiting for Docker</w:t>
            </w:r>
          </w:p>
        </w:tc>
        <w:tc>
          <w:tcPr>
            <w:tcW w:type="dxa" w:w="7560"/>
            <w:tcMar>
              <w:top w:w="95" w:type="dxa"/>
              <w:start w:w="95" w:type="dxa"/>
              <w:bottom w:w="95" w:type="dxa"/>
              <w:end w:w="95" w:type="dxa"/>
            </w:tcMar>
            <w:vAlign w:val="center"/>
            <w:shd w:fill="EAF4EE"/>
          </w:tcPr>
          <w:p>
            <w:pPr>
              <w:spacing w:after="0" w:line="245" w:lineRule="auto"/>
            </w:pPr>
            <w:r>
              <w:rPr>
                <w:sz w:val="17"/>
              </w:rPr>
              <w:t>Start or wait for Docker Desktop and show a truthful extended-start message.</w:t>
            </w:r>
          </w:p>
        </w:tc>
      </w:tr>
      <w:tr>
        <w:tc>
          <w:tcPr>
            <w:tcW w:type="dxa" w:w="2232"/>
            <w:tcMar>
              <w:top w:w="95" w:type="dxa"/>
              <w:start w:w="95" w:type="dxa"/>
              <w:bottom w:w="95" w:type="dxa"/>
              <w:end w:w="95" w:type="dxa"/>
            </w:tcMar>
            <w:vAlign w:val="center"/>
          </w:tcPr>
          <w:p>
            <w:pPr>
              <w:spacing w:after="0" w:line="245" w:lineRule="auto"/>
            </w:pPr>
            <w:r>
              <w:rPr>
                <w:sz w:val="17"/>
              </w:rPr>
              <w:t>Checking installation</w:t>
            </w:r>
          </w:p>
        </w:tc>
        <w:tc>
          <w:tcPr>
            <w:tcW w:type="dxa" w:w="7560"/>
            <w:tcMar>
              <w:top w:w="95" w:type="dxa"/>
              <w:start w:w="95" w:type="dxa"/>
              <w:bottom w:w="95" w:type="dxa"/>
              <w:end w:w="95" w:type="dxa"/>
            </w:tcMar>
            <w:vAlign w:val="center"/>
          </w:tcPr>
          <w:p>
            <w:pPr>
              <w:spacing w:after="0" w:line="245" w:lineRule="auto"/>
            </w:pPr>
            <w:r>
              <w:rPr>
                <w:sz w:val="17"/>
              </w:rPr>
              <w:t>Verify project identity configuration secrets images volumes disk and compatible versions.</w:t>
            </w:r>
          </w:p>
        </w:tc>
      </w:tr>
      <w:tr>
        <w:tc>
          <w:tcPr>
            <w:tcW w:type="dxa" w:w="2232"/>
            <w:tcMar>
              <w:top w:w="95" w:type="dxa"/>
              <w:start w:w="95" w:type="dxa"/>
              <w:bottom w:w="95" w:type="dxa"/>
              <w:end w:w="95" w:type="dxa"/>
            </w:tcMar>
            <w:vAlign w:val="center"/>
            <w:shd w:fill="EAF4EE"/>
          </w:tcPr>
          <w:p>
            <w:pPr>
              <w:spacing w:after="0" w:line="245" w:lineRule="auto"/>
            </w:pPr>
            <w:r>
              <w:rPr>
                <w:sz w:val="17"/>
              </w:rPr>
              <w:t>Checking services</w:t>
            </w:r>
          </w:p>
        </w:tc>
        <w:tc>
          <w:tcPr>
            <w:tcW w:type="dxa" w:w="7560"/>
            <w:tcMar>
              <w:top w:w="95" w:type="dxa"/>
              <w:start w:w="95" w:type="dxa"/>
              <w:bottom w:w="95" w:type="dxa"/>
              <w:end w:w="95" w:type="dxa"/>
            </w:tcMar>
            <w:vAlign w:val="center"/>
            <w:shd w:fill="EAF4EE"/>
          </w:tcPr>
          <w:p>
            <w:pPr>
              <w:spacing w:after="0" w:line="245" w:lineRule="auto"/>
            </w:pPr>
            <w:r>
              <w:rPr>
                <w:sz w:val="17"/>
              </w:rPr>
              <w:t>Verify database schema backend frontend and backup status.</w:t>
            </w:r>
          </w:p>
        </w:tc>
      </w:tr>
      <w:tr>
        <w:tc>
          <w:tcPr>
            <w:tcW w:type="dxa" w:w="2232"/>
            <w:tcMar>
              <w:top w:w="95" w:type="dxa"/>
              <w:start w:w="95" w:type="dxa"/>
              <w:bottom w:w="95" w:type="dxa"/>
              <w:end w:w="95" w:type="dxa"/>
            </w:tcMar>
            <w:vAlign w:val="center"/>
          </w:tcPr>
          <w:p>
            <w:pPr>
              <w:spacing w:after="0" w:line="245" w:lineRule="auto"/>
            </w:pPr>
            <w:r>
              <w:rPr>
                <w:sz w:val="17"/>
              </w:rPr>
              <w:t>Ready</w:t>
            </w:r>
          </w:p>
        </w:tc>
        <w:tc>
          <w:tcPr>
            <w:tcW w:type="dxa" w:w="7560"/>
            <w:tcMar>
              <w:top w:w="95" w:type="dxa"/>
              <w:start w:w="95" w:type="dxa"/>
              <w:bottom w:w="95" w:type="dxa"/>
              <w:end w:w="95" w:type="dxa"/>
            </w:tcMar>
            <w:vAlign w:val="center"/>
          </w:tcPr>
          <w:p>
            <w:pPr>
              <w:spacing w:after="0" w:line="245" w:lineRule="auto"/>
            </w:pPr>
            <w:r>
              <w:rPr>
                <w:sz w:val="17"/>
              </w:rPr>
              <w:t>Open the login page and close or minimize the launcher.</w:t>
            </w:r>
          </w:p>
        </w:tc>
      </w:tr>
      <w:tr>
        <w:tc>
          <w:tcPr>
            <w:tcW w:type="dxa" w:w="2232"/>
            <w:tcMar>
              <w:top w:w="95" w:type="dxa"/>
              <w:start w:w="95" w:type="dxa"/>
              <w:bottom w:w="95" w:type="dxa"/>
              <w:end w:w="95" w:type="dxa"/>
            </w:tcMar>
            <w:vAlign w:val="center"/>
            <w:shd w:fill="EAF4EE"/>
          </w:tcPr>
          <w:p>
            <w:pPr>
              <w:spacing w:after="0" w:line="245" w:lineRule="auto"/>
            </w:pPr>
            <w:r>
              <w:rPr>
                <w:sz w:val="17"/>
              </w:rPr>
              <w:t>Warning</w:t>
            </w:r>
          </w:p>
        </w:tc>
        <w:tc>
          <w:tcPr>
            <w:tcW w:type="dxa" w:w="7560"/>
            <w:tcMar>
              <w:top w:w="95" w:type="dxa"/>
              <w:start w:w="95" w:type="dxa"/>
              <w:bottom w:w="95" w:type="dxa"/>
              <w:end w:w="95" w:type="dxa"/>
            </w:tcMar>
            <w:vAlign w:val="center"/>
            <w:shd w:fill="EAF4EE"/>
          </w:tcPr>
          <w:p>
            <w:pPr>
              <w:spacing w:after="0" w:line="245" w:lineRule="auto"/>
            </w:pPr>
            <w:r>
              <w:rPr>
                <w:sz w:val="17"/>
              </w:rPr>
              <w:t>Allow login only when the failed check is noncritical and record the warning.</w:t>
            </w:r>
          </w:p>
        </w:tc>
      </w:tr>
      <w:tr>
        <w:tc>
          <w:tcPr>
            <w:tcW w:type="dxa" w:w="2232"/>
            <w:tcMar>
              <w:top w:w="95" w:type="dxa"/>
              <w:start w:w="95" w:type="dxa"/>
              <w:bottom w:w="95" w:type="dxa"/>
              <w:end w:w="95" w:type="dxa"/>
            </w:tcMar>
            <w:vAlign w:val="center"/>
          </w:tcPr>
          <w:p>
            <w:pPr>
              <w:spacing w:after="0" w:line="245" w:lineRule="auto"/>
            </w:pPr>
            <w:r>
              <w:rPr>
                <w:sz w:val="17"/>
              </w:rPr>
              <w:t>Blocked</w:t>
            </w:r>
          </w:p>
        </w:tc>
        <w:tc>
          <w:tcPr>
            <w:tcW w:type="dxa" w:w="7560"/>
            <w:tcMar>
              <w:top w:w="95" w:type="dxa"/>
              <w:start w:w="95" w:type="dxa"/>
              <w:bottom w:w="95" w:type="dxa"/>
              <w:end w:w="95" w:type="dxa"/>
            </w:tcMar>
            <w:vAlign w:val="center"/>
          </w:tcPr>
          <w:p>
            <w:pPr>
              <w:spacing w:after="0" w:line="245" w:lineRule="auto"/>
            </w:pPr>
            <w:r>
              <w:rPr>
                <w:sz w:val="17"/>
              </w:rPr>
              <w:t>Protect data stop launch and show retry support and sanitized diagnostic options.</w:t>
            </w:r>
          </w:p>
        </w:tc>
      </w:tr>
    </w:tbl>
    <w:p>
      <w:pPr>
        <w:spacing w:after="0"/>
        <w:widowControl/>
      </w:pPr>
    </w:p>
    <w:p>
      <w:pPr>
        <w:pStyle w:val="Heading2"/>
        <w:keepNext/>
        <w:widowControl/>
      </w:pPr>
      <w:r>
        <w:t>Warm Startup Target</w:t>
      </w:r>
    </w:p>
    <w:p>
      <w:pPr>
        <w:widowControl/>
      </w:pPr>
      <w:r>
        <w:t>When Docker and containers are already running, the launcher should normally complete checks within five to seven seconds on approved hardware. It may open sooner. It must not show artificial percentages. After a host restart, Docker initialization may take longer and the launcher explains the delay rather than presenting a false failure.</w:t>
      </w:r>
    </w:p>
    <w:p>
      <w:pPr>
        <w:pStyle w:val="Heading2"/>
        <w:keepNext/>
        <w:widowControl/>
      </w:pPr>
      <w:r>
        <w:t>Critical Startup Rules</w:t>
      </w:r>
    </w:p>
    <w:p>
      <w:pPr>
        <w:pStyle w:val="ListBullet"/>
        <w:spacing w:after="40"/>
        <w:widowControl/>
      </w:pPr>
      <w:r>
        <w:t>A missing expected production database volume blocks startup and never triggers automatic replacement.</w:t>
      </w:r>
    </w:p>
    <w:p>
      <w:pPr>
        <w:pStyle w:val="ListBullet"/>
        <w:spacing w:after="40"/>
        <w:widowControl/>
      </w:pPr>
      <w:r>
        <w:t>An incompatible database schema blocks login until the approved update or rollback procedure completes.</w:t>
      </w:r>
    </w:p>
    <w:p>
      <w:pPr>
        <w:pStyle w:val="ListBullet"/>
        <w:spacing w:after="40"/>
        <w:widowControl/>
      </w:pPr>
      <w:r>
        <w:t>A failed off-site backup connection may create a warning while local operation continues if a verified local backup policy permits it.</w:t>
      </w:r>
    </w:p>
    <w:p>
      <w:pPr>
        <w:pStyle w:val="ListBullet"/>
        <w:spacing w:after="40"/>
        <w:widowControl/>
      </w:pPr>
      <w:r>
        <w:t>A database integrity or migration failure blocks writes and preserves diagnostic evidence.</w:t>
      </w:r>
    </w:p>
    <w:p>
      <w:pPr>
        <w:pStyle w:val="ListBullet"/>
        <w:spacing w:after="40"/>
        <w:widowControl/>
      </w:pPr>
      <w:r>
        <w:t>Ordinary users never receive buttons to reset Docker delete volumes reinitialize PostgreSQL or restore production data.</w:t>
      </w:r>
    </w:p>
    <w:p>
      <w:pPr>
        <w:pStyle w:val="Heading1"/>
        <w:keepNext/>
        <w:widowControl/>
      </w:pPr>
      <w:r>
        <w:t>11 Backup Recovery and Migration</w:t>
      </w:r>
    </w:p>
    <w:p>
      <w:pPr>
        <w:pStyle w:val="Heading2"/>
        <w:keepNext/>
        <w:widowControl/>
      </w:pPr>
      <w:r>
        <w:t>Backup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val="true"/>
        </w:trPr>
        <w:tc>
          <w:tcPr>
            <w:tcW w:type="dxa" w:w="1872"/>
            <w:shd w:fill="0F5132"/>
            <w:tcMar>
              <w:top w:w="95" w:type="dxa"/>
              <w:start w:w="95" w:type="dxa"/>
              <w:bottom w:w="95" w:type="dxa"/>
              <w:end w:w="95" w:type="dxa"/>
            </w:tcMar>
            <w:vAlign w:val="center"/>
          </w:tcPr>
          <w:p>
            <w:pPr>
              <w:spacing w:after="0"/>
            </w:pPr>
            <w:r>
              <w:rPr>
                <w:b/>
                <w:color w:val="FFFFFF"/>
                <w:sz w:val="17"/>
              </w:rPr>
              <w:t>Artifact</w:t>
            </w:r>
          </w:p>
        </w:tc>
        <w:tc>
          <w:tcPr>
            <w:tcW w:type="dxa" w:w="4896"/>
            <w:shd w:fill="0F5132"/>
            <w:tcMar>
              <w:top w:w="95" w:type="dxa"/>
              <w:start w:w="95" w:type="dxa"/>
              <w:bottom w:w="95" w:type="dxa"/>
              <w:end w:w="95" w:type="dxa"/>
            </w:tcMar>
            <w:vAlign w:val="center"/>
          </w:tcPr>
          <w:p>
            <w:pPr>
              <w:spacing w:after="0"/>
            </w:pPr>
            <w:r>
              <w:rPr>
                <w:b/>
                <w:color w:val="FFFFFF"/>
                <w:sz w:val="17"/>
              </w:rPr>
              <w:t>Method</w:t>
            </w:r>
          </w:p>
        </w:tc>
        <w:tc>
          <w:tcPr>
            <w:tcW w:type="dxa" w:w="3024"/>
            <w:shd w:fill="0F5132"/>
            <w:tcMar>
              <w:top w:w="95" w:type="dxa"/>
              <w:start w:w="95" w:type="dxa"/>
              <w:bottom w:w="95" w:type="dxa"/>
              <w:end w:w="95" w:type="dxa"/>
            </w:tcMar>
            <w:vAlign w:val="center"/>
          </w:tcPr>
          <w:p>
            <w:pPr>
              <w:spacing w:after="0"/>
            </w:pPr>
            <w:r>
              <w:rPr>
                <w:b/>
                <w:color w:val="FFFFFF"/>
                <w:sz w:val="17"/>
              </w:rPr>
              <w:t>Verification</w:t>
            </w:r>
          </w:p>
        </w:tc>
      </w:tr>
      <w:tr>
        <w:tc>
          <w:tcPr>
            <w:tcW w:type="dxa" w:w="1872"/>
            <w:tcMar>
              <w:top w:w="95" w:type="dxa"/>
              <w:start w:w="95" w:type="dxa"/>
              <w:bottom w:w="95" w:type="dxa"/>
              <w:end w:w="95" w:type="dxa"/>
            </w:tcMar>
            <w:vAlign w:val="center"/>
          </w:tcPr>
          <w:p>
            <w:pPr>
              <w:spacing w:after="0" w:line="245" w:lineRule="auto"/>
            </w:pPr>
            <w:r>
              <w:rPr>
                <w:sz w:val="17"/>
              </w:rPr>
              <w:t>PostgreSQL</w:t>
            </w:r>
          </w:p>
        </w:tc>
        <w:tc>
          <w:tcPr>
            <w:tcW w:type="dxa" w:w="4896"/>
            <w:tcMar>
              <w:top w:w="95" w:type="dxa"/>
              <w:start w:w="95" w:type="dxa"/>
              <w:bottom w:w="95" w:type="dxa"/>
              <w:end w:w="95" w:type="dxa"/>
            </w:tcMar>
            <w:vAlign w:val="center"/>
          </w:tcPr>
          <w:p>
            <w:pPr>
              <w:spacing w:after="0" w:line="245" w:lineRule="auto"/>
            </w:pPr>
            <w:r>
              <w:rPr>
                <w:sz w:val="17"/>
              </w:rPr>
              <w:t>Scheduled logical backup with approved PostgreSQL tools and optional advanced physical recovery in later hosting.</w:t>
            </w:r>
          </w:p>
        </w:tc>
        <w:tc>
          <w:tcPr>
            <w:tcW w:type="dxa" w:w="3024"/>
            <w:tcMar>
              <w:top w:w="95" w:type="dxa"/>
              <w:start w:w="95" w:type="dxa"/>
              <w:bottom w:w="95" w:type="dxa"/>
              <w:end w:w="95" w:type="dxa"/>
            </w:tcMar>
            <w:vAlign w:val="center"/>
          </w:tcPr>
          <w:p>
            <w:pPr>
              <w:spacing w:after="0" w:line="245" w:lineRule="auto"/>
            </w:pPr>
            <w:r>
              <w:rPr>
                <w:sz w:val="17"/>
              </w:rPr>
              <w:t>Exit status size checksum restore test and schema metadata.</w:t>
            </w:r>
          </w:p>
        </w:tc>
      </w:tr>
      <w:tr>
        <w:tc>
          <w:tcPr>
            <w:tcW w:type="dxa" w:w="1872"/>
            <w:tcMar>
              <w:top w:w="95" w:type="dxa"/>
              <w:start w:w="95" w:type="dxa"/>
              <w:bottom w:w="95" w:type="dxa"/>
              <w:end w:w="95" w:type="dxa"/>
            </w:tcMar>
            <w:vAlign w:val="center"/>
            <w:shd w:fill="EAF4EE"/>
          </w:tcPr>
          <w:p>
            <w:pPr>
              <w:spacing w:after="0" w:line="245" w:lineRule="auto"/>
            </w:pPr>
            <w:r>
              <w:rPr>
                <w:sz w:val="17"/>
              </w:rPr>
              <w:t>Media files</w:t>
            </w:r>
          </w:p>
        </w:tc>
        <w:tc>
          <w:tcPr>
            <w:tcW w:type="dxa" w:w="4896"/>
            <w:tcMar>
              <w:top w:w="95" w:type="dxa"/>
              <w:start w:w="95" w:type="dxa"/>
              <w:bottom w:w="95" w:type="dxa"/>
              <w:end w:w="95" w:type="dxa"/>
            </w:tcMar>
            <w:vAlign w:val="center"/>
            <w:shd w:fill="EAF4EE"/>
          </w:tcPr>
          <w:p>
            <w:pPr>
              <w:spacing w:after="0" w:line="245" w:lineRule="auto"/>
            </w:pPr>
            <w:r>
              <w:rPr>
                <w:sz w:val="17"/>
              </w:rPr>
              <w:t>Versioned or synchronized protected copy coordinated with database references.</w:t>
            </w:r>
          </w:p>
        </w:tc>
        <w:tc>
          <w:tcPr>
            <w:tcW w:type="dxa" w:w="3024"/>
            <w:tcMar>
              <w:top w:w="95" w:type="dxa"/>
              <w:start w:w="95" w:type="dxa"/>
              <w:bottom w:w="95" w:type="dxa"/>
              <w:end w:w="95" w:type="dxa"/>
            </w:tcMar>
            <w:vAlign w:val="center"/>
            <w:shd w:fill="EAF4EE"/>
          </w:tcPr>
          <w:p>
            <w:pPr>
              <w:spacing w:after="0" w:line="245" w:lineRule="auto"/>
            </w:pPr>
            <w:r>
              <w:rPr>
                <w:sz w:val="17"/>
              </w:rPr>
              <w:t>Manifest checksum count and sampled retrieval.</w:t>
            </w:r>
          </w:p>
        </w:tc>
      </w:tr>
      <w:tr>
        <w:tc>
          <w:tcPr>
            <w:tcW w:type="dxa" w:w="1872"/>
            <w:tcMar>
              <w:top w:w="95" w:type="dxa"/>
              <w:start w:w="95" w:type="dxa"/>
              <w:bottom w:w="95" w:type="dxa"/>
              <w:end w:w="95" w:type="dxa"/>
            </w:tcMar>
            <w:vAlign w:val="center"/>
          </w:tcPr>
          <w:p>
            <w:pPr>
              <w:spacing w:after="0" w:line="245" w:lineRule="auto"/>
            </w:pPr>
            <w:r>
              <w:rPr>
                <w:sz w:val="17"/>
              </w:rPr>
              <w:t>Configuration metadata</w:t>
            </w:r>
          </w:p>
        </w:tc>
        <w:tc>
          <w:tcPr>
            <w:tcW w:type="dxa" w:w="4896"/>
            <w:tcMar>
              <w:top w:w="95" w:type="dxa"/>
              <w:start w:w="95" w:type="dxa"/>
              <w:bottom w:w="95" w:type="dxa"/>
              <w:end w:w="95" w:type="dxa"/>
            </w:tcMar>
            <w:vAlign w:val="center"/>
          </w:tcPr>
          <w:p>
            <w:pPr>
              <w:spacing w:after="0" w:line="245" w:lineRule="auto"/>
            </w:pPr>
            <w:r>
              <w:rPr>
                <w:sz w:val="17"/>
              </w:rPr>
              <w:t>Nonsecret installation version schema and deployment metadata.</w:t>
            </w:r>
          </w:p>
        </w:tc>
        <w:tc>
          <w:tcPr>
            <w:tcW w:type="dxa" w:w="3024"/>
            <w:tcMar>
              <w:top w:w="95" w:type="dxa"/>
              <w:start w:w="95" w:type="dxa"/>
              <w:bottom w:w="95" w:type="dxa"/>
              <w:end w:w="95" w:type="dxa"/>
            </w:tcMar>
            <w:vAlign w:val="center"/>
          </w:tcPr>
          <w:p>
            <w:pPr>
              <w:spacing w:after="0" w:line="245" w:lineRule="auto"/>
            </w:pPr>
            <w:r>
              <w:rPr>
                <w:sz w:val="17"/>
              </w:rPr>
              <w:t>Manifest validation against the installed release.</w:t>
            </w:r>
          </w:p>
        </w:tc>
      </w:tr>
      <w:tr>
        <w:tc>
          <w:tcPr>
            <w:tcW w:type="dxa" w:w="1872"/>
            <w:tcMar>
              <w:top w:w="95" w:type="dxa"/>
              <w:start w:w="95" w:type="dxa"/>
              <w:bottom w:w="95" w:type="dxa"/>
              <w:end w:w="95" w:type="dxa"/>
            </w:tcMar>
            <w:vAlign w:val="center"/>
            <w:shd w:fill="EAF4EE"/>
          </w:tcPr>
          <w:p>
            <w:pPr>
              <w:spacing w:after="0" w:line="245" w:lineRule="auto"/>
            </w:pPr>
            <w:r>
              <w:rPr>
                <w:sz w:val="17"/>
              </w:rPr>
              <w:t>Secrets</w:t>
            </w:r>
          </w:p>
        </w:tc>
        <w:tc>
          <w:tcPr>
            <w:tcW w:type="dxa" w:w="4896"/>
            <w:tcMar>
              <w:top w:w="95" w:type="dxa"/>
              <w:start w:w="95" w:type="dxa"/>
              <w:bottom w:w="95" w:type="dxa"/>
              <w:end w:w="95" w:type="dxa"/>
            </w:tcMar>
            <w:vAlign w:val="center"/>
            <w:shd w:fill="EAF4EE"/>
          </w:tcPr>
          <w:p>
            <w:pPr>
              <w:spacing w:after="0" w:line="245" w:lineRule="auto"/>
            </w:pPr>
            <w:r>
              <w:rPr>
                <w:sz w:val="17"/>
              </w:rPr>
              <w:t>Separate protected recovery process rather than ordinary report or support export.</w:t>
            </w:r>
          </w:p>
        </w:tc>
        <w:tc>
          <w:tcPr>
            <w:tcW w:type="dxa" w:w="3024"/>
            <w:tcMar>
              <w:top w:w="95" w:type="dxa"/>
              <w:start w:w="95" w:type="dxa"/>
              <w:bottom w:w="95" w:type="dxa"/>
              <w:end w:w="95" w:type="dxa"/>
            </w:tcMar>
            <w:vAlign w:val="center"/>
            <w:shd w:fill="EAF4EE"/>
          </w:tcPr>
          <w:p>
            <w:pPr>
              <w:spacing w:after="0" w:line="245" w:lineRule="auto"/>
            </w:pPr>
            <w:r>
              <w:rPr>
                <w:sz w:val="17"/>
              </w:rPr>
              <w:t>Restricted access documented custody and rotation test.</w:t>
            </w:r>
          </w:p>
        </w:tc>
      </w:tr>
    </w:tbl>
    <w:p>
      <w:pPr>
        <w:spacing w:after="0"/>
        <w:widowControl/>
      </w:pPr>
    </w:p>
    <w:p>
      <w:pPr>
        <w:pStyle w:val="Heading2"/>
        <w:keepNext/>
        <w:widowControl/>
      </w:pPr>
      <w:r>
        <w:t>Backup Flow</w:t>
      </w:r>
    </w:p>
    <w:p>
      <w:pPr>
        <w:pStyle w:val="ListNumber"/>
        <w:spacing w:after="60"/>
        <w:widowControl/>
      </w:pPr>
      <w:r>
        <w:t>Acquire a backup job lock and record the job identity.</w:t>
      </w:r>
    </w:p>
    <w:p>
      <w:pPr>
        <w:pStyle w:val="ListNumber"/>
        <w:spacing w:after="60"/>
        <w:widowControl/>
      </w:pPr>
      <w:r>
        <w:t>Check disk capacity destinations and required encryption material.</w:t>
      </w:r>
    </w:p>
    <w:p>
      <w:pPr>
        <w:pStyle w:val="ListNumber"/>
        <w:spacing w:after="60"/>
        <w:widowControl/>
      </w:pPr>
      <w:r>
        <w:t>Create the PostgreSQL backup and required file snapshot or manifest.</w:t>
      </w:r>
    </w:p>
    <w:p>
      <w:pPr>
        <w:pStyle w:val="ListNumber"/>
        <w:spacing w:after="60"/>
        <w:widowControl/>
      </w:pPr>
      <w:r>
        <w:t>Calculate checksums and package version schema installation and timestamp metadata.</w:t>
      </w:r>
    </w:p>
    <w:p>
      <w:pPr>
        <w:pStyle w:val="ListNumber"/>
        <w:spacing w:after="60"/>
        <w:widowControl/>
      </w:pPr>
      <w:r>
        <w:t>Encrypt the backup and copy it to the configured independent destinations.</w:t>
      </w:r>
    </w:p>
    <w:p>
      <w:pPr>
        <w:pStyle w:val="ListNumber"/>
        <w:spacing w:after="60"/>
        <w:widowControl/>
      </w:pPr>
      <w:r>
        <w:t>Verify completion record results apply retention and raise alerts for failure.</w:t>
      </w:r>
    </w:p>
    <w:p>
      <w:pPr>
        <w:pStyle w:val="ListNumber"/>
        <w:spacing w:after="60"/>
        <w:widowControl/>
      </w:pPr>
      <w:r>
        <w:t>Periodically restore a selected backup into an isolated environment and record the test.</w:t>
      </w:r>
    </w:p>
    <w:p>
      <w:pPr>
        <w:pStyle w:val="Heading2"/>
        <w:keepNext/>
        <w:widowControl/>
      </w:pPr>
      <w:r>
        <w:t>Recovery Modes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232"/>
            <w:shd w:fill="0F5132"/>
            <w:tcMar>
              <w:top w:w="95" w:type="dxa"/>
              <w:start w:w="95" w:type="dxa"/>
              <w:bottom w:w="95" w:type="dxa"/>
              <w:end w:w="95" w:type="dxa"/>
            </w:tcMar>
            <w:vAlign w:val="center"/>
          </w:tcPr>
          <w:p>
            <w:pPr>
              <w:spacing w:after="0"/>
            </w:pPr>
            <w:r>
              <w:rPr>
                <w:b/>
                <w:color w:val="FFFFFF"/>
                <w:sz w:val="17"/>
              </w:rPr>
              <w:t>Mode</w:t>
            </w:r>
          </w:p>
        </w:tc>
        <w:tc>
          <w:tcPr>
            <w:tcW w:type="dxa" w:w="7560"/>
            <w:shd w:fill="0F5132"/>
            <w:tcMar>
              <w:top w:w="95" w:type="dxa"/>
              <w:start w:w="95" w:type="dxa"/>
              <w:bottom w:w="95" w:type="dxa"/>
              <w:end w:w="95" w:type="dxa"/>
            </w:tcMar>
            <w:vAlign w:val="center"/>
          </w:tcPr>
          <w:p>
            <w:pPr>
              <w:spacing w:after="0"/>
            </w:pPr>
            <w:r>
              <w:rPr>
                <w:b/>
                <w:color w:val="FFFFFF"/>
                <w:sz w:val="17"/>
              </w:rPr>
              <w:t>Use</w:t>
            </w:r>
          </w:p>
        </w:tc>
      </w:tr>
      <w:tr>
        <w:tc>
          <w:tcPr>
            <w:tcW w:type="dxa" w:w="2232"/>
            <w:tcMar>
              <w:top w:w="95" w:type="dxa"/>
              <w:start w:w="95" w:type="dxa"/>
              <w:bottom w:w="95" w:type="dxa"/>
              <w:end w:w="95" w:type="dxa"/>
            </w:tcMar>
            <w:vAlign w:val="center"/>
          </w:tcPr>
          <w:p>
            <w:pPr>
              <w:spacing w:after="0" w:line="245" w:lineRule="auto"/>
            </w:pPr>
            <w:r>
              <w:rPr>
                <w:sz w:val="17"/>
              </w:rPr>
              <w:t>Application restart</w:t>
            </w:r>
          </w:p>
        </w:tc>
        <w:tc>
          <w:tcPr>
            <w:tcW w:type="dxa" w:w="7560"/>
            <w:tcMar>
              <w:top w:w="95" w:type="dxa"/>
              <w:start w:w="95" w:type="dxa"/>
              <w:bottom w:w="95" w:type="dxa"/>
              <w:end w:w="95" w:type="dxa"/>
            </w:tcMar>
            <w:vAlign w:val="center"/>
          </w:tcPr>
          <w:p>
            <w:pPr>
              <w:spacing w:after="0" w:line="245" w:lineRule="auto"/>
            </w:pPr>
            <w:r>
              <w:rPr>
                <w:sz w:val="17"/>
              </w:rPr>
              <w:t>Recover stopped containers without changing persistent data.</w:t>
            </w:r>
          </w:p>
        </w:tc>
      </w:tr>
      <w:tr>
        <w:tc>
          <w:tcPr>
            <w:tcW w:type="dxa" w:w="2232"/>
            <w:tcMar>
              <w:top w:w="95" w:type="dxa"/>
              <w:start w:w="95" w:type="dxa"/>
              <w:bottom w:w="95" w:type="dxa"/>
              <w:end w:w="95" w:type="dxa"/>
            </w:tcMar>
            <w:vAlign w:val="center"/>
            <w:shd w:fill="EAF4EE"/>
          </w:tcPr>
          <w:p>
            <w:pPr>
              <w:spacing w:after="0" w:line="245" w:lineRule="auto"/>
            </w:pPr>
            <w:r>
              <w:rPr>
                <w:sz w:val="17"/>
              </w:rPr>
              <w:t>Host replacement</w:t>
            </w:r>
          </w:p>
        </w:tc>
        <w:tc>
          <w:tcPr>
            <w:tcW w:type="dxa" w:w="7560"/>
            <w:tcMar>
              <w:top w:w="95" w:type="dxa"/>
              <w:start w:w="95" w:type="dxa"/>
              <w:bottom w:w="95" w:type="dxa"/>
              <w:end w:w="95" w:type="dxa"/>
            </w:tcMar>
            <w:vAlign w:val="center"/>
            <w:shd w:fill="EAF4EE"/>
          </w:tcPr>
          <w:p>
            <w:pPr>
              <w:spacing w:after="0" w:line="245" w:lineRule="auto"/>
            </w:pPr>
            <w:r>
              <w:rPr>
                <w:sz w:val="17"/>
              </w:rPr>
              <w:t>Install the same compatible release on replacement hardware and restore database files and configuration.</w:t>
            </w:r>
          </w:p>
        </w:tc>
      </w:tr>
      <w:tr>
        <w:tc>
          <w:tcPr>
            <w:tcW w:type="dxa" w:w="2232"/>
            <w:tcMar>
              <w:top w:w="95" w:type="dxa"/>
              <w:start w:w="95" w:type="dxa"/>
              <w:bottom w:w="95" w:type="dxa"/>
              <w:end w:w="95" w:type="dxa"/>
            </w:tcMar>
            <w:vAlign w:val="center"/>
          </w:tcPr>
          <w:p>
            <w:pPr>
              <w:spacing w:after="0" w:line="245" w:lineRule="auto"/>
            </w:pPr>
            <w:r>
              <w:rPr>
                <w:sz w:val="17"/>
              </w:rPr>
              <w:t>Database restore</w:t>
            </w:r>
          </w:p>
        </w:tc>
        <w:tc>
          <w:tcPr>
            <w:tcW w:type="dxa" w:w="7560"/>
            <w:tcMar>
              <w:top w:w="95" w:type="dxa"/>
              <w:start w:w="95" w:type="dxa"/>
              <w:bottom w:w="95" w:type="dxa"/>
              <w:end w:w="95" w:type="dxa"/>
            </w:tcMar>
            <w:vAlign w:val="center"/>
          </w:tcPr>
          <w:p>
            <w:pPr>
              <w:spacing w:after="0" w:line="245" w:lineRule="auto"/>
            </w:pPr>
            <w:r>
              <w:rPr>
                <w:sz w:val="17"/>
              </w:rPr>
              <w:t>Restore a selected verified backup after explicit target confirmation and pre-restore protection.</w:t>
            </w:r>
          </w:p>
        </w:tc>
      </w:tr>
      <w:tr>
        <w:tc>
          <w:tcPr>
            <w:tcW w:type="dxa" w:w="2232"/>
            <w:tcMar>
              <w:top w:w="95" w:type="dxa"/>
              <w:start w:w="95" w:type="dxa"/>
              <w:bottom w:w="95" w:type="dxa"/>
              <w:end w:w="95" w:type="dxa"/>
            </w:tcMar>
            <w:vAlign w:val="center"/>
            <w:shd w:fill="EAF4EE"/>
          </w:tcPr>
          <w:p>
            <w:pPr>
              <w:spacing w:after="0" w:line="245" w:lineRule="auto"/>
            </w:pPr>
            <w:r>
              <w:rPr>
                <w:sz w:val="17"/>
              </w:rPr>
              <w:t>Failed release rollback</w:t>
            </w:r>
          </w:p>
        </w:tc>
        <w:tc>
          <w:tcPr>
            <w:tcW w:type="dxa" w:w="7560"/>
            <w:tcMar>
              <w:top w:w="95" w:type="dxa"/>
              <w:start w:w="95" w:type="dxa"/>
              <w:bottom w:w="95" w:type="dxa"/>
              <w:end w:w="95" w:type="dxa"/>
            </w:tcMar>
            <w:vAlign w:val="center"/>
            <w:shd w:fill="EAF4EE"/>
          </w:tcPr>
          <w:p>
            <w:pPr>
              <w:spacing w:after="0" w:line="245" w:lineRule="auto"/>
            </w:pPr>
            <w:r>
              <w:rPr>
                <w:sz w:val="17"/>
              </w:rPr>
              <w:t>Restore compatible code and where safe the prior schema or pre-update backup under a documented plan.</w:t>
            </w:r>
          </w:p>
        </w:tc>
      </w:tr>
      <w:tr>
        <w:tc>
          <w:tcPr>
            <w:tcW w:type="dxa" w:w="2232"/>
            <w:tcMar>
              <w:top w:w="95" w:type="dxa"/>
              <w:start w:w="95" w:type="dxa"/>
              <w:bottom w:w="95" w:type="dxa"/>
              <w:end w:w="95" w:type="dxa"/>
            </w:tcMar>
            <w:vAlign w:val="center"/>
          </w:tcPr>
          <w:p>
            <w:pPr>
              <w:spacing w:after="0" w:line="245" w:lineRule="auto"/>
            </w:pPr>
            <w:r>
              <w:rPr>
                <w:sz w:val="17"/>
              </w:rPr>
              <w:t>Local to cloud cutover</w:t>
            </w:r>
          </w:p>
        </w:tc>
        <w:tc>
          <w:tcPr>
            <w:tcW w:type="dxa" w:w="7560"/>
            <w:tcMar>
              <w:top w:w="95" w:type="dxa"/>
              <w:start w:w="95" w:type="dxa"/>
              <w:bottom w:w="95" w:type="dxa"/>
              <w:end w:w="95" w:type="dxa"/>
            </w:tcMar>
            <w:vAlign w:val="center"/>
          </w:tcPr>
          <w:p>
            <w:pPr>
              <w:spacing w:after="0" w:line="245" w:lineRule="auto"/>
            </w:pPr>
            <w:r>
              <w:rPr>
                <w:sz w:val="17"/>
              </w:rPr>
              <w:t>Stop local writes back up restore online reconcile and then change the authoritative endpoint.</w:t>
            </w:r>
          </w:p>
        </w:tc>
      </w:tr>
    </w:tbl>
    <w:p>
      <w:pPr>
        <w:spacing w:after="0"/>
        <w:widowControl/>
      </w:pPr>
    </w:p>
    <w:p>
      <w:pPr>
        <w:pStyle w:val="Heading2"/>
        <w:keepNext/>
        <w:widowControl/>
      </w:pPr>
      <w:r>
        <w:t>Migration Architecture</w:t>
      </w:r>
    </w:p>
    <w:p>
      <w:pPr>
        <w:pStyle w:val="ListBullet"/>
        <w:spacing w:after="40"/>
        <w:widowControl/>
      </w:pPr>
      <w:r>
        <w:t>Use staging tables or isolated validation structures for uploaded product stock and balance files.</w:t>
      </w:r>
    </w:p>
    <w:p>
      <w:pPr>
        <w:pStyle w:val="ListBullet"/>
        <w:spacing w:after="40"/>
        <w:widowControl/>
      </w:pPr>
      <w:r>
        <w:t>Validate required fields duplicates references units dates quantities costs and totals before commit.</w:t>
      </w:r>
    </w:p>
    <w:p>
      <w:pPr>
        <w:pStyle w:val="ListBullet"/>
        <w:spacing w:after="40"/>
        <w:widowControl/>
      </w:pPr>
      <w:r>
        <w:t>Generate a preview with record counts stock quantities valuation receivables payables loans and errors.</w:t>
      </w:r>
    </w:p>
    <w:p>
      <w:pPr>
        <w:pStyle w:val="ListBullet"/>
        <w:spacing w:after="40"/>
        <w:widowControl/>
      </w:pPr>
      <w:r>
        <w:t>Require approval before the import command creates production opening records.</w:t>
      </w:r>
    </w:p>
    <w:p>
      <w:pPr>
        <w:pStyle w:val="ListBullet"/>
        <w:spacing w:after="40"/>
        <w:widowControl/>
      </w:pPr>
      <w:r>
        <w:t>Tag opening records with migration job cutover date source and approver.</w:t>
      </w:r>
    </w:p>
    <w:p>
      <w:pPr>
        <w:pStyle w:val="ListBullet"/>
        <w:spacing w:after="40"/>
        <w:widowControl/>
      </w:pPr>
      <w:r>
        <w:t>Use controlled batches and database transactions so failures do not leave unexplained partial state.</w:t>
      </w:r>
    </w:p>
    <w:p>
      <w:pPr>
        <w:pStyle w:val="ListBullet"/>
        <w:spacing w:after="40"/>
        <w:widowControl/>
      </w:pPr>
      <w:r>
        <w:t>Lock approved opening positions and correct later through audited adjustments.</w:t>
      </w:r>
    </w:p>
    <w:p>
      <w:pPr>
        <w:pStyle w:val="Heading1"/>
        <w:keepNext/>
        <w:widowControl/>
      </w:pPr>
      <w:r>
        <w:t>12 Observability Performance and Operations</w:t>
      </w:r>
    </w:p>
    <w:p>
      <w:pPr>
        <w:pStyle w:val="Heading2"/>
        <w:keepNext/>
        <w:widowControl/>
      </w:pPr>
      <w:r>
        <w:t>Health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232"/>
            <w:shd w:fill="0F5132"/>
            <w:tcMar>
              <w:top w:w="95" w:type="dxa"/>
              <w:start w:w="95" w:type="dxa"/>
              <w:bottom w:w="95" w:type="dxa"/>
              <w:end w:w="95" w:type="dxa"/>
            </w:tcMar>
            <w:vAlign w:val="center"/>
          </w:tcPr>
          <w:p>
            <w:pPr>
              <w:spacing w:after="0"/>
            </w:pPr>
            <w:r>
              <w:rPr>
                <w:b/>
                <w:color w:val="FFFFFF"/>
                <w:sz w:val="17"/>
              </w:rPr>
              <w:t>Check</w:t>
            </w:r>
          </w:p>
        </w:tc>
        <w:tc>
          <w:tcPr>
            <w:tcW w:type="dxa" w:w="7560"/>
            <w:shd w:fill="0F5132"/>
            <w:tcMar>
              <w:top w:w="95" w:type="dxa"/>
              <w:start w:w="95" w:type="dxa"/>
              <w:bottom w:w="95" w:type="dxa"/>
              <w:end w:w="95" w:type="dxa"/>
            </w:tcMar>
            <w:vAlign w:val="center"/>
          </w:tcPr>
          <w:p>
            <w:pPr>
              <w:spacing w:after="0"/>
            </w:pPr>
            <w:r>
              <w:rPr>
                <w:b/>
                <w:color w:val="FFFFFF"/>
                <w:sz w:val="17"/>
              </w:rPr>
              <w:t>Audience and content</w:t>
            </w:r>
          </w:p>
        </w:tc>
      </w:tr>
      <w:tr>
        <w:tc>
          <w:tcPr>
            <w:tcW w:type="dxa" w:w="2232"/>
            <w:tcMar>
              <w:top w:w="95" w:type="dxa"/>
              <w:start w:w="95" w:type="dxa"/>
              <w:bottom w:w="95" w:type="dxa"/>
              <w:end w:w="95" w:type="dxa"/>
            </w:tcMar>
            <w:vAlign w:val="center"/>
          </w:tcPr>
          <w:p>
            <w:pPr>
              <w:spacing w:after="0" w:line="245" w:lineRule="auto"/>
            </w:pPr>
            <w:r>
              <w:rPr>
                <w:sz w:val="17"/>
              </w:rPr>
              <w:t>Liveness</w:t>
            </w:r>
          </w:p>
        </w:tc>
        <w:tc>
          <w:tcPr>
            <w:tcW w:type="dxa" w:w="7560"/>
            <w:tcMar>
              <w:top w:w="95" w:type="dxa"/>
              <w:start w:w="95" w:type="dxa"/>
              <w:bottom w:w="95" w:type="dxa"/>
              <w:end w:w="95" w:type="dxa"/>
            </w:tcMar>
            <w:vAlign w:val="center"/>
          </w:tcPr>
          <w:p>
            <w:pPr>
              <w:spacing w:after="0" w:line="245" w:lineRule="auto"/>
            </w:pPr>
            <w:r>
              <w:rPr>
                <w:sz w:val="17"/>
              </w:rPr>
              <w:t>Internal orchestrator check that the process responds. No confidential detail.</w:t>
            </w:r>
          </w:p>
        </w:tc>
      </w:tr>
      <w:tr>
        <w:tc>
          <w:tcPr>
            <w:tcW w:type="dxa" w:w="2232"/>
            <w:tcMar>
              <w:top w:w="95" w:type="dxa"/>
              <w:start w:w="95" w:type="dxa"/>
              <w:bottom w:w="95" w:type="dxa"/>
              <w:end w:w="95" w:type="dxa"/>
            </w:tcMar>
            <w:vAlign w:val="center"/>
            <w:shd w:fill="EAF4EE"/>
          </w:tcPr>
          <w:p>
            <w:pPr>
              <w:spacing w:after="0" w:line="245" w:lineRule="auto"/>
            </w:pPr>
            <w:r>
              <w:rPr>
                <w:sz w:val="17"/>
              </w:rPr>
              <w:t>Readiness</w:t>
            </w:r>
          </w:p>
        </w:tc>
        <w:tc>
          <w:tcPr>
            <w:tcW w:type="dxa" w:w="7560"/>
            <w:tcMar>
              <w:top w:w="95" w:type="dxa"/>
              <w:start w:w="95" w:type="dxa"/>
              <w:bottom w:w="95" w:type="dxa"/>
              <w:end w:w="95" w:type="dxa"/>
            </w:tcMar>
            <w:vAlign w:val="center"/>
            <w:shd w:fill="EAF4EE"/>
          </w:tcPr>
          <w:p>
            <w:pPr>
              <w:spacing w:after="0" w:line="245" w:lineRule="auto"/>
            </w:pPr>
            <w:r>
              <w:rPr>
                <w:sz w:val="17"/>
              </w:rPr>
              <w:t>Confirms required dependencies and compatible schema before receiving traffic.</w:t>
            </w:r>
          </w:p>
        </w:tc>
      </w:tr>
      <w:tr>
        <w:tc>
          <w:tcPr>
            <w:tcW w:type="dxa" w:w="2232"/>
            <w:tcMar>
              <w:top w:w="95" w:type="dxa"/>
              <w:start w:w="95" w:type="dxa"/>
              <w:bottom w:w="95" w:type="dxa"/>
              <w:end w:w="95" w:type="dxa"/>
            </w:tcMar>
            <w:vAlign w:val="center"/>
          </w:tcPr>
          <w:p>
            <w:pPr>
              <w:spacing w:after="0" w:line="245" w:lineRule="auto"/>
            </w:pPr>
            <w:r>
              <w:rPr>
                <w:sz w:val="17"/>
              </w:rPr>
              <w:t>Launcher health</w:t>
            </w:r>
          </w:p>
        </w:tc>
        <w:tc>
          <w:tcPr>
            <w:tcW w:type="dxa" w:w="7560"/>
            <w:tcMar>
              <w:top w:w="95" w:type="dxa"/>
              <w:start w:w="95" w:type="dxa"/>
              <w:bottom w:w="95" w:type="dxa"/>
              <w:end w:w="95" w:type="dxa"/>
            </w:tcMar>
            <w:vAlign w:val="center"/>
          </w:tcPr>
          <w:p>
            <w:pPr>
              <w:spacing w:after="0" w:line="245" w:lineRule="auto"/>
            </w:pPr>
            <w:r>
              <w:rPr>
                <w:sz w:val="17"/>
              </w:rPr>
              <w:t>Returns safe installation service version database and backup states for the local launcher.</w:t>
            </w:r>
          </w:p>
        </w:tc>
      </w:tr>
      <w:tr>
        <w:tc>
          <w:tcPr>
            <w:tcW w:type="dxa" w:w="2232"/>
            <w:tcMar>
              <w:top w:w="95" w:type="dxa"/>
              <w:start w:w="95" w:type="dxa"/>
              <w:bottom w:w="95" w:type="dxa"/>
              <w:end w:w="95" w:type="dxa"/>
            </w:tcMar>
            <w:vAlign w:val="center"/>
            <w:shd w:fill="EAF4EE"/>
          </w:tcPr>
          <w:p>
            <w:pPr>
              <w:spacing w:after="0" w:line="245" w:lineRule="auto"/>
            </w:pPr>
            <w:r>
              <w:rPr>
                <w:sz w:val="17"/>
              </w:rPr>
              <w:t>Administrative diagnostics</w:t>
            </w:r>
          </w:p>
        </w:tc>
        <w:tc>
          <w:tcPr>
            <w:tcW w:type="dxa" w:w="7560"/>
            <w:tcMar>
              <w:top w:w="95" w:type="dxa"/>
              <w:start w:w="95" w:type="dxa"/>
              <w:bottom w:w="95" w:type="dxa"/>
              <w:end w:w="95" w:type="dxa"/>
            </w:tcMar>
            <w:vAlign w:val="center"/>
            <w:shd w:fill="EAF4EE"/>
          </w:tcPr>
          <w:p>
            <w:pPr>
              <w:spacing w:after="0" w:line="245" w:lineRule="auto"/>
            </w:pPr>
            <w:r>
              <w:rPr>
                <w:sz w:val="17"/>
              </w:rPr>
              <w:t>Restricted details including container version queue status storage capacity and recent failures.</w:t>
            </w:r>
          </w:p>
        </w:tc>
      </w:tr>
      <w:tr>
        <w:tc>
          <w:tcPr>
            <w:tcW w:type="dxa" w:w="2232"/>
            <w:tcMar>
              <w:top w:w="95" w:type="dxa"/>
              <w:start w:w="95" w:type="dxa"/>
              <w:bottom w:w="95" w:type="dxa"/>
              <w:end w:w="95" w:type="dxa"/>
            </w:tcMar>
            <w:vAlign w:val="center"/>
          </w:tcPr>
          <w:p>
            <w:pPr>
              <w:spacing w:after="0" w:line="245" w:lineRule="auto"/>
            </w:pPr>
            <w:r>
              <w:rPr>
                <w:sz w:val="17"/>
              </w:rPr>
              <w:t>Backup health</w:t>
            </w:r>
          </w:p>
        </w:tc>
        <w:tc>
          <w:tcPr>
            <w:tcW w:type="dxa" w:w="7560"/>
            <w:tcMar>
              <w:top w:w="95" w:type="dxa"/>
              <w:start w:w="95" w:type="dxa"/>
              <w:bottom w:w="95" w:type="dxa"/>
              <w:end w:w="95" w:type="dxa"/>
            </w:tcMar>
            <w:vAlign w:val="center"/>
          </w:tcPr>
          <w:p>
            <w:pPr>
              <w:spacing w:after="0" w:line="245" w:lineRule="auto"/>
            </w:pPr>
            <w:r>
              <w:rPr>
                <w:sz w:val="17"/>
              </w:rPr>
              <w:t>Last success verification destinations retention alerts and restore-test age.</w:t>
            </w:r>
          </w:p>
        </w:tc>
      </w:tr>
    </w:tbl>
    <w:p>
      <w:pPr>
        <w:spacing w:after="0"/>
        <w:widowControl/>
      </w:pPr>
    </w:p>
    <w:p>
      <w:pPr>
        <w:pStyle w:val="Heading2"/>
        <w:keepNext/>
        <w:widowControl/>
      </w:pPr>
      <w:r>
        <w:t>Logging</w:t>
      </w:r>
    </w:p>
    <w:p>
      <w:pPr>
        <w:pStyle w:val="ListBullet"/>
        <w:spacing w:after="40"/>
        <w:widowControl/>
      </w:pPr>
      <w:r>
        <w:t>Use structured application logs with timestamp level service environment request correlation and safe event fields.</w:t>
      </w:r>
    </w:p>
    <w:p>
      <w:pPr>
        <w:pStyle w:val="ListBullet"/>
        <w:spacing w:after="40"/>
        <w:widowControl/>
      </w:pPr>
      <w:r>
        <w:t>Separate technical logs security events audit evidence and business reports according to their purpose.</w:t>
      </w:r>
    </w:p>
    <w:p>
      <w:pPr>
        <w:pStyle w:val="ListBullet"/>
        <w:spacing w:after="40"/>
        <w:widowControl/>
      </w:pPr>
      <w:r>
        <w:t>Filter credentials tokens encryption material patient content and confidential request bodies.</w:t>
      </w:r>
    </w:p>
    <w:p>
      <w:pPr>
        <w:pStyle w:val="ListBullet"/>
        <w:spacing w:after="40"/>
        <w:widowControl/>
      </w:pPr>
      <w:r>
        <w:t>Apply size rotation retention and access rules to local logs.</w:t>
      </w:r>
    </w:p>
    <w:p>
      <w:pPr>
        <w:pStyle w:val="ListBullet"/>
        <w:spacing w:after="40"/>
        <w:widowControl/>
      </w:pPr>
      <w:r>
        <w:t>Allow a sanitized support package that contains versions health states and selected logs without business secrets.</w:t>
      </w:r>
    </w:p>
    <w:p>
      <w:pPr>
        <w:pStyle w:val="Heading2"/>
        <w:keepNext/>
        <w:widowControl/>
      </w:pPr>
      <w:r>
        <w:t>Metrics and Alerts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088"/>
            <w:shd w:fill="0F5132"/>
            <w:tcMar>
              <w:top w:w="95" w:type="dxa"/>
              <w:start w:w="95" w:type="dxa"/>
              <w:bottom w:w="95" w:type="dxa"/>
              <w:end w:w="95" w:type="dxa"/>
            </w:tcMar>
            <w:vAlign w:val="center"/>
          </w:tcPr>
          <w:p>
            <w:pPr>
              <w:spacing w:after="0"/>
            </w:pPr>
            <w:r>
              <w:rPr>
                <w:b/>
                <w:color w:val="FFFFFF"/>
                <w:sz w:val="17"/>
              </w:rPr>
              <w:t>Area</w:t>
            </w:r>
          </w:p>
        </w:tc>
        <w:tc>
          <w:tcPr>
            <w:tcW w:type="dxa" w:w="7704"/>
            <w:shd w:fill="0F5132"/>
            <w:tcMar>
              <w:top w:w="95" w:type="dxa"/>
              <w:start w:w="95" w:type="dxa"/>
              <w:bottom w:w="95" w:type="dxa"/>
              <w:end w:w="95" w:type="dxa"/>
            </w:tcMar>
            <w:vAlign w:val="center"/>
          </w:tcPr>
          <w:p>
            <w:pPr>
              <w:spacing w:after="0"/>
            </w:pPr>
            <w:r>
              <w:rPr>
                <w:b/>
                <w:color w:val="FFFFFF"/>
                <w:sz w:val="17"/>
              </w:rPr>
              <w:t>Examples</w:t>
            </w:r>
          </w:p>
        </w:tc>
      </w:tr>
      <w:tr>
        <w:tc>
          <w:tcPr>
            <w:tcW w:type="dxa" w:w="2088"/>
            <w:tcMar>
              <w:top w:w="95" w:type="dxa"/>
              <w:start w:w="95" w:type="dxa"/>
              <w:bottom w:w="95" w:type="dxa"/>
              <w:end w:w="95" w:type="dxa"/>
            </w:tcMar>
            <w:vAlign w:val="center"/>
          </w:tcPr>
          <w:p>
            <w:pPr>
              <w:spacing w:after="0" w:line="245" w:lineRule="auto"/>
            </w:pPr>
            <w:r>
              <w:rPr>
                <w:sz w:val="17"/>
              </w:rPr>
              <w:t>Application</w:t>
            </w:r>
          </w:p>
        </w:tc>
        <w:tc>
          <w:tcPr>
            <w:tcW w:type="dxa" w:w="7704"/>
            <w:tcMar>
              <w:top w:w="95" w:type="dxa"/>
              <w:start w:w="95" w:type="dxa"/>
              <w:bottom w:w="95" w:type="dxa"/>
              <w:end w:w="95" w:type="dxa"/>
            </w:tcMar>
            <w:vAlign w:val="center"/>
          </w:tcPr>
          <w:p>
            <w:pPr>
              <w:spacing w:after="0" w:line="245" w:lineRule="auto"/>
            </w:pPr>
            <w:r>
              <w:rPr>
                <w:sz w:val="17"/>
              </w:rPr>
              <w:t>Request latency error rate active sessions transaction completion and background-job duration.</w:t>
            </w:r>
          </w:p>
        </w:tc>
      </w:tr>
      <w:tr>
        <w:tc>
          <w:tcPr>
            <w:tcW w:type="dxa" w:w="2088"/>
            <w:tcMar>
              <w:top w:w="95" w:type="dxa"/>
              <w:start w:w="95" w:type="dxa"/>
              <w:bottom w:w="95" w:type="dxa"/>
              <w:end w:w="95" w:type="dxa"/>
            </w:tcMar>
            <w:vAlign w:val="center"/>
            <w:shd w:fill="EAF4EE"/>
          </w:tcPr>
          <w:p>
            <w:pPr>
              <w:spacing w:after="0" w:line="245" w:lineRule="auto"/>
            </w:pPr>
            <w:r>
              <w:rPr>
                <w:sz w:val="17"/>
              </w:rPr>
              <w:t>Database</w:t>
            </w:r>
          </w:p>
        </w:tc>
        <w:tc>
          <w:tcPr>
            <w:tcW w:type="dxa" w:w="7704"/>
            <w:tcMar>
              <w:top w:w="95" w:type="dxa"/>
              <w:start w:w="95" w:type="dxa"/>
              <w:bottom w:w="95" w:type="dxa"/>
              <w:end w:w="95" w:type="dxa"/>
            </w:tcMar>
            <w:vAlign w:val="center"/>
            <w:shd w:fill="EAF4EE"/>
          </w:tcPr>
          <w:p>
            <w:pPr>
              <w:spacing w:after="0" w:line="245" w:lineRule="auto"/>
            </w:pPr>
            <w:r>
              <w:rPr>
                <w:sz w:val="17"/>
              </w:rPr>
              <w:t>Connections slow queries lock waits storage growth failed transactions and backup duration.</w:t>
            </w:r>
          </w:p>
        </w:tc>
      </w:tr>
      <w:tr>
        <w:tc>
          <w:tcPr>
            <w:tcW w:type="dxa" w:w="2088"/>
            <w:tcMar>
              <w:top w:w="95" w:type="dxa"/>
              <w:start w:w="95" w:type="dxa"/>
              <w:bottom w:w="95" w:type="dxa"/>
              <w:end w:w="95" w:type="dxa"/>
            </w:tcMar>
            <w:vAlign w:val="center"/>
          </w:tcPr>
          <w:p>
            <w:pPr>
              <w:spacing w:after="0" w:line="245" w:lineRule="auto"/>
            </w:pPr>
            <w:r>
              <w:rPr>
                <w:sz w:val="17"/>
              </w:rPr>
              <w:t>Host</w:t>
            </w:r>
          </w:p>
        </w:tc>
        <w:tc>
          <w:tcPr>
            <w:tcW w:type="dxa" w:w="7704"/>
            <w:tcMar>
              <w:top w:w="95" w:type="dxa"/>
              <w:start w:w="95" w:type="dxa"/>
              <w:bottom w:w="95" w:type="dxa"/>
              <w:end w:w="95" w:type="dxa"/>
            </w:tcMar>
            <w:vAlign w:val="center"/>
          </w:tcPr>
          <w:p>
            <w:pPr>
              <w:spacing w:after="0" w:line="245" w:lineRule="auto"/>
            </w:pPr>
            <w:r>
              <w:rPr>
                <w:sz w:val="17"/>
              </w:rPr>
              <w:t>CPU memory disk capacity disk health clock status and unexpected restart.</w:t>
            </w:r>
          </w:p>
        </w:tc>
      </w:tr>
      <w:tr>
        <w:tc>
          <w:tcPr>
            <w:tcW w:type="dxa" w:w="2088"/>
            <w:tcMar>
              <w:top w:w="95" w:type="dxa"/>
              <w:start w:w="95" w:type="dxa"/>
              <w:bottom w:w="95" w:type="dxa"/>
              <w:end w:w="95" w:type="dxa"/>
            </w:tcMar>
            <w:vAlign w:val="center"/>
            <w:shd w:fill="EAF4EE"/>
          </w:tcPr>
          <w:p>
            <w:pPr>
              <w:spacing w:after="0" w:line="245" w:lineRule="auto"/>
            </w:pPr>
            <w:r>
              <w:rPr>
                <w:sz w:val="17"/>
              </w:rPr>
              <w:t>Business integrity</w:t>
            </w:r>
          </w:p>
        </w:tc>
        <w:tc>
          <w:tcPr>
            <w:tcW w:type="dxa" w:w="7704"/>
            <w:tcMar>
              <w:top w:w="95" w:type="dxa"/>
              <w:start w:w="95" w:type="dxa"/>
              <w:bottom w:w="95" w:type="dxa"/>
              <w:end w:w="95" w:type="dxa"/>
            </w:tcMar>
            <w:vAlign w:val="center"/>
            <w:shd w:fill="EAF4EE"/>
          </w:tcPr>
          <w:p>
            <w:pPr>
              <w:spacing w:after="0" w:line="245" w:lineRule="auto"/>
            </w:pPr>
            <w:r>
              <w:rPr>
                <w:sz w:val="17"/>
              </w:rPr>
              <w:t>Failed stock posting duplicate conflicts approval backlog and reconciliation differences.</w:t>
            </w:r>
          </w:p>
        </w:tc>
      </w:tr>
      <w:tr>
        <w:tc>
          <w:tcPr>
            <w:tcW w:type="dxa" w:w="2088"/>
            <w:tcMar>
              <w:top w:w="95" w:type="dxa"/>
              <w:start w:w="95" w:type="dxa"/>
              <w:bottom w:w="95" w:type="dxa"/>
              <w:end w:w="95" w:type="dxa"/>
            </w:tcMar>
            <w:vAlign w:val="center"/>
          </w:tcPr>
          <w:p>
            <w:pPr>
              <w:spacing w:after="0" w:line="245" w:lineRule="auto"/>
            </w:pPr>
            <w:r>
              <w:rPr>
                <w:sz w:val="17"/>
              </w:rPr>
              <w:t>Security</w:t>
            </w:r>
          </w:p>
        </w:tc>
        <w:tc>
          <w:tcPr>
            <w:tcW w:type="dxa" w:w="7704"/>
            <w:tcMar>
              <w:top w:w="95" w:type="dxa"/>
              <w:start w:w="95" w:type="dxa"/>
              <w:bottom w:w="95" w:type="dxa"/>
              <w:end w:w="95" w:type="dxa"/>
            </w:tcMar>
            <w:vAlign w:val="center"/>
          </w:tcPr>
          <w:p>
            <w:pPr>
              <w:spacing w:after="0" w:line="245" w:lineRule="auto"/>
            </w:pPr>
            <w:r>
              <w:rPr>
                <w:sz w:val="17"/>
              </w:rPr>
              <w:t>Failed login throttling forbidden actions role changes and unusual export activity.</w:t>
            </w:r>
          </w:p>
        </w:tc>
      </w:tr>
      <w:tr>
        <w:tc>
          <w:tcPr>
            <w:tcW w:type="dxa" w:w="2088"/>
            <w:tcMar>
              <w:top w:w="95" w:type="dxa"/>
              <w:start w:w="95" w:type="dxa"/>
              <w:bottom w:w="95" w:type="dxa"/>
              <w:end w:w="95" w:type="dxa"/>
            </w:tcMar>
            <w:vAlign w:val="center"/>
            <w:shd w:fill="EAF4EE"/>
          </w:tcPr>
          <w:p>
            <w:pPr>
              <w:spacing w:after="0" w:line="245" w:lineRule="auto"/>
            </w:pPr>
            <w:r>
              <w:rPr>
                <w:sz w:val="17"/>
              </w:rPr>
              <w:t>Recovery</w:t>
            </w:r>
          </w:p>
        </w:tc>
        <w:tc>
          <w:tcPr>
            <w:tcW w:type="dxa" w:w="7704"/>
            <w:tcMar>
              <w:top w:w="95" w:type="dxa"/>
              <w:start w:w="95" w:type="dxa"/>
              <w:bottom w:w="95" w:type="dxa"/>
              <w:end w:w="95" w:type="dxa"/>
            </w:tcMar>
            <w:vAlign w:val="center"/>
            <w:shd w:fill="EAF4EE"/>
          </w:tcPr>
          <w:p>
            <w:pPr>
              <w:spacing w:after="0" w:line="245" w:lineRule="auto"/>
            </w:pPr>
            <w:r>
              <w:rPr>
                <w:sz w:val="17"/>
              </w:rPr>
              <w:t>Backup failure checksum failure missed off-site copy and overdue restore test.</w:t>
            </w:r>
          </w:p>
        </w:tc>
      </w:tr>
    </w:tbl>
    <w:p>
      <w:pPr>
        <w:spacing w:after="0"/>
        <w:widowControl/>
      </w:pPr>
    </w:p>
    <w:p>
      <w:pPr>
        <w:pStyle w:val="Heading2"/>
        <w:keepNext/>
        <w:widowControl/>
      </w:pPr>
      <w:r>
        <w:t>Performance Strategy</w:t>
      </w:r>
    </w:p>
    <w:p>
      <w:pPr>
        <w:pStyle w:val="ListBullet"/>
        <w:spacing w:after="40"/>
        <w:widowControl/>
      </w:pPr>
      <w:r>
        <w:t>Keep point-of-sale and receiving request paths short and transaction-focused.</w:t>
      </w:r>
    </w:p>
    <w:p>
      <w:pPr>
        <w:pStyle w:val="ListBullet"/>
        <w:spacing w:after="40"/>
        <w:widowControl/>
      </w:pPr>
      <w:r>
        <w:t>Preload or index common product barcode batch price and availability lookups.</w:t>
      </w:r>
    </w:p>
    <w:p>
      <w:pPr>
        <w:pStyle w:val="ListBullet"/>
        <w:spacing w:after="40"/>
        <w:widowControl/>
      </w:pPr>
      <w:r>
        <w:t>Use pagination and bounded filters for lists and audit views.</w:t>
      </w:r>
    </w:p>
    <w:p>
      <w:pPr>
        <w:pStyle w:val="ListBullet"/>
        <w:spacing w:after="40"/>
        <w:widowControl/>
      </w:pPr>
      <w:r>
        <w:t>Cache stable reference data only when invalidation and permission behavior are clear.</w:t>
      </w:r>
    </w:p>
    <w:p>
      <w:pPr>
        <w:pStyle w:val="ListBullet"/>
        <w:spacing w:after="40"/>
        <w:widowControl/>
      </w:pPr>
      <w:r>
        <w:t>Run large reports exports imports notifications backups and AI tasks asynchronously.</w:t>
      </w:r>
    </w:p>
    <w:p>
      <w:pPr>
        <w:pStyle w:val="ListBullet"/>
        <w:spacing w:after="40"/>
        <w:widowControl/>
      </w:pPr>
      <w:r>
        <w:t>Define load targets from measured users products batches transactions and report periods before production acceptance.</w:t>
      </w:r>
    </w:p>
    <w:p>
      <w:pPr>
        <w:pStyle w:val="Heading2"/>
        <w:keepNext/>
        <w:widowControl/>
      </w:pPr>
      <w:r>
        <w:t>Maintenance Operations</w:t>
      </w:r>
    </w:p>
    <w:p>
      <w:pPr>
        <w:pStyle w:val="ListBullet"/>
        <w:spacing w:after="40"/>
        <w:widowControl/>
      </w:pPr>
      <w:r>
        <w:t>Daily review of failed backups critical alerts disk capacity and unresolved service failures.</w:t>
      </w:r>
    </w:p>
    <w:p>
      <w:pPr>
        <w:pStyle w:val="ListBullet"/>
        <w:spacing w:after="40"/>
        <w:widowControl/>
      </w:pPr>
      <w:r>
        <w:t>Scheduled review of expiry queues reconciliation differences user access and security events.</w:t>
      </w:r>
    </w:p>
    <w:p>
      <w:pPr>
        <w:pStyle w:val="ListBullet"/>
        <w:spacing w:after="40"/>
        <w:widowControl/>
      </w:pPr>
      <w:r>
        <w:t>Controlled application dependency and host updates with backup test and rollback planning.</w:t>
      </w:r>
    </w:p>
    <w:p>
      <w:pPr>
        <w:pStyle w:val="ListBullet"/>
        <w:spacing w:after="40"/>
        <w:widowControl/>
      </w:pPr>
      <w:r>
        <w:t>Periodic database analyze vacuum index review and query-plan review through supported PostgreSQL operations.</w:t>
      </w:r>
    </w:p>
    <w:p>
      <w:pPr>
        <w:pStyle w:val="ListBullet"/>
        <w:spacing w:after="40"/>
        <w:widowControl/>
      </w:pPr>
      <w:r>
        <w:t>Periodic restore test permission review secret rotation and unsupported-version review.</w:t>
      </w:r>
    </w:p>
    <w:p>
      <w:pPr>
        <w:pStyle w:val="Heading1"/>
        <w:keepNext/>
        <w:widowControl/>
      </w:pPr>
      <w:r>
        <w:t>13 Testing Release and Change Management</w:t>
      </w:r>
    </w:p>
    <w:p>
      <w:pPr>
        <w:pStyle w:val="Heading2"/>
        <w:keepNext/>
        <w:widowControl/>
      </w:pPr>
      <w:r>
        <w:t>Architecture Test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1944"/>
            <w:shd w:fill="0F5132"/>
            <w:tcMar>
              <w:top w:w="95" w:type="dxa"/>
              <w:start w:w="95" w:type="dxa"/>
              <w:bottom w:w="95" w:type="dxa"/>
              <w:end w:w="95" w:type="dxa"/>
            </w:tcMar>
            <w:vAlign w:val="center"/>
          </w:tcPr>
          <w:p>
            <w:pPr>
              <w:spacing w:after="0"/>
            </w:pPr>
            <w:r>
              <w:rPr>
                <w:b/>
                <w:color w:val="FFFFFF"/>
                <w:sz w:val="17"/>
              </w:rPr>
              <w:t>Test type</w:t>
            </w:r>
          </w:p>
        </w:tc>
        <w:tc>
          <w:tcPr>
            <w:tcW w:type="dxa" w:w="7848"/>
            <w:shd w:fill="0F5132"/>
            <w:tcMar>
              <w:top w:w="95" w:type="dxa"/>
              <w:start w:w="95" w:type="dxa"/>
              <w:bottom w:w="95" w:type="dxa"/>
              <w:end w:w="95" w:type="dxa"/>
            </w:tcMar>
            <w:vAlign w:val="center"/>
          </w:tcPr>
          <w:p>
            <w:pPr>
              <w:spacing w:after="0"/>
            </w:pPr>
            <w:r>
              <w:rPr>
                <w:b/>
                <w:color w:val="FFFFFF"/>
                <w:sz w:val="17"/>
              </w:rPr>
              <w:t>Coverage</w:t>
            </w:r>
          </w:p>
        </w:tc>
      </w:tr>
      <w:tr>
        <w:tc>
          <w:tcPr>
            <w:tcW w:type="dxa" w:w="1944"/>
            <w:tcMar>
              <w:top w:w="95" w:type="dxa"/>
              <w:start w:w="95" w:type="dxa"/>
              <w:bottom w:w="95" w:type="dxa"/>
              <w:end w:w="95" w:type="dxa"/>
            </w:tcMar>
            <w:vAlign w:val="center"/>
          </w:tcPr>
          <w:p>
            <w:pPr>
              <w:spacing w:after="0" w:line="245" w:lineRule="auto"/>
            </w:pPr>
            <w:r>
              <w:rPr>
                <w:sz w:val="17"/>
              </w:rPr>
              <w:t>Unit</w:t>
            </w:r>
          </w:p>
        </w:tc>
        <w:tc>
          <w:tcPr>
            <w:tcW w:type="dxa" w:w="7848"/>
            <w:tcMar>
              <w:top w:w="95" w:type="dxa"/>
              <w:start w:w="95" w:type="dxa"/>
              <w:bottom w:w="95" w:type="dxa"/>
              <w:end w:w="95" w:type="dxa"/>
            </w:tcMar>
            <w:vAlign w:val="center"/>
          </w:tcPr>
          <w:p>
            <w:pPr>
              <w:spacing w:after="0" w:line="245" w:lineRule="auto"/>
            </w:pPr>
            <w:r>
              <w:rPr>
                <w:sz w:val="17"/>
              </w:rPr>
              <w:t>Domain calculations state machines permission rules conversions and validation.</w:t>
            </w:r>
          </w:p>
        </w:tc>
      </w:tr>
      <w:tr>
        <w:tc>
          <w:tcPr>
            <w:tcW w:type="dxa" w:w="1944"/>
            <w:tcMar>
              <w:top w:w="95" w:type="dxa"/>
              <w:start w:w="95" w:type="dxa"/>
              <w:bottom w:w="95" w:type="dxa"/>
              <w:end w:w="95" w:type="dxa"/>
            </w:tcMar>
            <w:vAlign w:val="center"/>
            <w:shd w:fill="EAF4EE"/>
          </w:tcPr>
          <w:p>
            <w:pPr>
              <w:spacing w:after="0" w:line="245" w:lineRule="auto"/>
            </w:pPr>
            <w:r>
              <w:rPr>
                <w:sz w:val="17"/>
              </w:rPr>
              <w:t>Database</w:t>
            </w:r>
          </w:p>
        </w:tc>
        <w:tc>
          <w:tcPr>
            <w:tcW w:type="dxa" w:w="7848"/>
            <w:tcMar>
              <w:top w:w="95" w:type="dxa"/>
              <w:start w:w="95" w:type="dxa"/>
              <w:bottom w:w="95" w:type="dxa"/>
              <w:end w:w="95" w:type="dxa"/>
            </w:tcMar>
            <w:vAlign w:val="center"/>
            <w:shd w:fill="EAF4EE"/>
          </w:tcPr>
          <w:p>
            <w:pPr>
              <w:spacing w:after="0" w:line="245" w:lineRule="auto"/>
            </w:pPr>
            <w:r>
              <w:rPr>
                <w:sz w:val="17"/>
              </w:rPr>
              <w:t>Constraints migrations transactions locking indexes and rollback behavior.</w:t>
            </w:r>
          </w:p>
        </w:tc>
      </w:tr>
      <w:tr>
        <w:tc>
          <w:tcPr>
            <w:tcW w:type="dxa" w:w="1944"/>
            <w:tcMar>
              <w:top w:w="95" w:type="dxa"/>
              <w:start w:w="95" w:type="dxa"/>
              <w:bottom w:w="95" w:type="dxa"/>
              <w:end w:w="95" w:type="dxa"/>
            </w:tcMar>
            <w:vAlign w:val="center"/>
          </w:tcPr>
          <w:p>
            <w:pPr>
              <w:spacing w:after="0" w:line="245" w:lineRule="auto"/>
            </w:pPr>
            <w:r>
              <w:rPr>
                <w:sz w:val="17"/>
              </w:rPr>
              <w:t>API</w:t>
            </w:r>
          </w:p>
        </w:tc>
        <w:tc>
          <w:tcPr>
            <w:tcW w:type="dxa" w:w="7848"/>
            <w:tcMar>
              <w:top w:w="95" w:type="dxa"/>
              <w:start w:w="95" w:type="dxa"/>
              <w:bottom w:w="95" w:type="dxa"/>
              <w:end w:w="95" w:type="dxa"/>
            </w:tcMar>
            <w:vAlign w:val="center"/>
          </w:tcPr>
          <w:p>
            <w:pPr>
              <w:spacing w:after="0" w:line="245" w:lineRule="auto"/>
            </w:pPr>
            <w:r>
              <w:rPr>
                <w:sz w:val="17"/>
              </w:rPr>
              <w:t>Authentication authorization branch scope input errors idempotency concurrency and response contracts.</w:t>
            </w:r>
          </w:p>
        </w:tc>
      </w:tr>
      <w:tr>
        <w:tc>
          <w:tcPr>
            <w:tcW w:type="dxa" w:w="1944"/>
            <w:tcMar>
              <w:top w:w="95" w:type="dxa"/>
              <w:start w:w="95" w:type="dxa"/>
              <w:bottom w:w="95" w:type="dxa"/>
              <w:end w:w="95" w:type="dxa"/>
            </w:tcMar>
            <w:vAlign w:val="center"/>
            <w:shd w:fill="EAF4EE"/>
          </w:tcPr>
          <w:p>
            <w:pPr>
              <w:spacing w:after="0" w:line="245" w:lineRule="auto"/>
            </w:pPr>
            <w:r>
              <w:rPr>
                <w:sz w:val="17"/>
              </w:rPr>
              <w:t>Integration</w:t>
            </w:r>
          </w:p>
        </w:tc>
        <w:tc>
          <w:tcPr>
            <w:tcW w:type="dxa" w:w="7848"/>
            <w:tcMar>
              <w:top w:w="95" w:type="dxa"/>
              <w:start w:w="95" w:type="dxa"/>
              <w:bottom w:w="95" w:type="dxa"/>
              <w:end w:w="95" w:type="dxa"/>
            </w:tcMar>
            <w:vAlign w:val="center"/>
            <w:shd w:fill="EAF4EE"/>
          </w:tcPr>
          <w:p>
            <w:pPr>
              <w:spacing w:after="0" w:line="245" w:lineRule="auto"/>
            </w:pPr>
            <w:r>
              <w:rPr>
                <w:sz w:val="17"/>
              </w:rPr>
              <w:t>PostgreSQL media Redis workers printing backup and approved external adapters.</w:t>
            </w:r>
          </w:p>
        </w:tc>
      </w:tr>
      <w:tr>
        <w:tc>
          <w:tcPr>
            <w:tcW w:type="dxa" w:w="1944"/>
            <w:tcMar>
              <w:top w:w="95" w:type="dxa"/>
              <w:start w:w="95" w:type="dxa"/>
              <w:bottom w:w="95" w:type="dxa"/>
              <w:end w:w="95" w:type="dxa"/>
            </w:tcMar>
            <w:vAlign w:val="center"/>
          </w:tcPr>
          <w:p>
            <w:pPr>
              <w:spacing w:after="0" w:line="245" w:lineRule="auto"/>
            </w:pPr>
            <w:r>
              <w:rPr>
                <w:sz w:val="17"/>
              </w:rPr>
              <w:t>Browser</w:t>
            </w:r>
          </w:p>
        </w:tc>
        <w:tc>
          <w:tcPr>
            <w:tcW w:type="dxa" w:w="7848"/>
            <w:tcMar>
              <w:top w:w="95" w:type="dxa"/>
              <w:start w:w="95" w:type="dxa"/>
              <w:bottom w:w="95" w:type="dxa"/>
              <w:end w:w="95" w:type="dxa"/>
            </w:tcMar>
            <w:vAlign w:val="center"/>
          </w:tcPr>
          <w:p>
            <w:pPr>
              <w:spacing w:after="0" w:line="245" w:lineRule="auto"/>
            </w:pPr>
            <w:r>
              <w:rPr>
                <w:sz w:val="17"/>
              </w:rPr>
              <w:t>Critical cashier receiving inventory approval report and administration journeys.</w:t>
            </w:r>
          </w:p>
        </w:tc>
      </w:tr>
      <w:tr>
        <w:tc>
          <w:tcPr>
            <w:tcW w:type="dxa" w:w="1944"/>
            <w:tcMar>
              <w:top w:w="95" w:type="dxa"/>
              <w:start w:w="95" w:type="dxa"/>
              <w:bottom w:w="95" w:type="dxa"/>
              <w:end w:w="95" w:type="dxa"/>
            </w:tcMar>
            <w:vAlign w:val="center"/>
            <w:shd w:fill="EAF4EE"/>
          </w:tcPr>
          <w:p>
            <w:pPr>
              <w:spacing w:after="0" w:line="245" w:lineRule="auto"/>
            </w:pPr>
            <w:r>
              <w:rPr>
                <w:sz w:val="17"/>
              </w:rPr>
              <w:t>Security</w:t>
            </w:r>
          </w:p>
        </w:tc>
        <w:tc>
          <w:tcPr>
            <w:tcW w:type="dxa" w:w="7848"/>
            <w:tcMar>
              <w:top w:w="95" w:type="dxa"/>
              <w:start w:w="95" w:type="dxa"/>
              <w:bottom w:w="95" w:type="dxa"/>
              <w:end w:w="95" w:type="dxa"/>
            </w:tcMar>
            <w:vAlign w:val="center"/>
            <w:shd w:fill="EAF4EE"/>
          </w:tcPr>
          <w:p>
            <w:pPr>
              <w:spacing w:after="0" w:line="245" w:lineRule="auto"/>
            </w:pPr>
            <w:r>
              <w:rPr>
                <w:sz w:val="17"/>
              </w:rPr>
              <w:t>Session CSRF access control injection upload secrets container and dependency checks.</w:t>
            </w:r>
          </w:p>
        </w:tc>
      </w:tr>
      <w:tr>
        <w:tc>
          <w:tcPr>
            <w:tcW w:type="dxa" w:w="1944"/>
            <w:tcMar>
              <w:top w:w="95" w:type="dxa"/>
              <w:start w:w="95" w:type="dxa"/>
              <w:bottom w:w="95" w:type="dxa"/>
              <w:end w:w="95" w:type="dxa"/>
            </w:tcMar>
            <w:vAlign w:val="center"/>
          </w:tcPr>
          <w:p>
            <w:pPr>
              <w:spacing w:after="0" w:line="245" w:lineRule="auto"/>
            </w:pPr>
            <w:r>
              <w:rPr>
                <w:sz w:val="17"/>
              </w:rPr>
              <w:t>Recovery</w:t>
            </w:r>
          </w:p>
        </w:tc>
        <w:tc>
          <w:tcPr>
            <w:tcW w:type="dxa" w:w="7848"/>
            <w:tcMar>
              <w:top w:w="95" w:type="dxa"/>
              <w:start w:w="95" w:type="dxa"/>
              <w:bottom w:w="95" w:type="dxa"/>
              <w:end w:w="95" w:type="dxa"/>
            </w:tcMar>
            <w:vAlign w:val="center"/>
          </w:tcPr>
          <w:p>
            <w:pPr>
              <w:spacing w:after="0" w:line="245" w:lineRule="auto"/>
            </w:pPr>
            <w:r>
              <w:rPr>
                <w:sz w:val="17"/>
              </w:rPr>
              <w:t>Container restart host restart backup restore replacement host and local-to-cloud migration.</w:t>
            </w:r>
          </w:p>
        </w:tc>
      </w:tr>
      <w:tr>
        <w:tc>
          <w:tcPr>
            <w:tcW w:type="dxa" w:w="1944"/>
            <w:tcMar>
              <w:top w:w="95" w:type="dxa"/>
              <w:start w:w="95" w:type="dxa"/>
              <w:bottom w:w="95" w:type="dxa"/>
              <w:end w:w="95" w:type="dxa"/>
            </w:tcMar>
            <w:vAlign w:val="center"/>
            <w:shd w:fill="EAF4EE"/>
          </w:tcPr>
          <w:p>
            <w:pPr>
              <w:spacing w:after="0" w:line="245" w:lineRule="auto"/>
            </w:pPr>
            <w:r>
              <w:rPr>
                <w:sz w:val="17"/>
              </w:rPr>
              <w:t>Performance</w:t>
            </w:r>
          </w:p>
        </w:tc>
        <w:tc>
          <w:tcPr>
            <w:tcW w:type="dxa" w:w="7848"/>
            <w:tcMar>
              <w:top w:w="95" w:type="dxa"/>
              <w:start w:w="95" w:type="dxa"/>
              <w:bottom w:w="95" w:type="dxa"/>
              <w:end w:w="95" w:type="dxa"/>
            </w:tcMar>
            <w:vAlign w:val="center"/>
            <w:shd w:fill="EAF4EE"/>
          </w:tcPr>
          <w:p>
            <w:pPr>
              <w:spacing w:after="0" w:line="245" w:lineRule="auto"/>
            </w:pPr>
            <w:r>
              <w:rPr>
                <w:sz w:val="17"/>
              </w:rPr>
              <w:t>Product search sale completion receiving dashboard report import export backup and concurrent load.</w:t>
            </w:r>
          </w:p>
        </w:tc>
      </w:tr>
    </w:tbl>
    <w:p>
      <w:pPr>
        <w:spacing w:after="0"/>
        <w:widowControl/>
      </w:pPr>
    </w:p>
    <w:p>
      <w:pPr>
        <w:pStyle w:val="Heading2"/>
        <w:keepNext/>
        <w:widowControl/>
      </w:pPr>
      <w:r>
        <w:t>Release Artifacts</w:t>
      </w:r>
    </w:p>
    <w:p>
      <w:pPr>
        <w:pStyle w:val="ListBullet"/>
        <w:spacing w:after="40"/>
        <w:widowControl/>
      </w:pPr>
      <w:r>
        <w:t>Versioned backend frontend gateway and worker images.</w:t>
      </w:r>
    </w:p>
    <w:p>
      <w:pPr>
        <w:pStyle w:val="ListBullet"/>
        <w:spacing w:after="40"/>
        <w:widowControl/>
      </w:pPr>
      <w:r>
        <w:t>Database migrations and compatibility declaration.</w:t>
      </w:r>
    </w:p>
    <w:p>
      <w:pPr>
        <w:pStyle w:val="ListBullet"/>
        <w:spacing w:after="40"/>
        <w:widowControl/>
      </w:pPr>
      <w:r>
        <w:t>Release notes configuration changes known limitations and rollback plan.</w:t>
      </w:r>
    </w:p>
    <w:p>
      <w:pPr>
        <w:pStyle w:val="ListBullet"/>
        <w:spacing w:after="40"/>
        <w:widowControl/>
      </w:pPr>
      <w:r>
        <w:t>Image checksums or signatures software component inventory and vulnerability review result.</w:t>
      </w:r>
    </w:p>
    <w:p>
      <w:pPr>
        <w:pStyle w:val="ListBullet"/>
        <w:spacing w:after="40"/>
        <w:widowControl/>
      </w:pPr>
      <w:r>
        <w:t>Installer or update package launcher version and sanitized deployment record.</w:t>
      </w:r>
    </w:p>
    <w:p>
      <w:pPr>
        <w:pStyle w:val="ListBullet"/>
        <w:spacing w:after="40"/>
        <w:widowControl/>
      </w:pPr>
      <w:r>
        <w:t>Test evidence backup verification and user acceptance status.</w:t>
      </w:r>
    </w:p>
    <w:p>
      <w:pPr>
        <w:pStyle w:val="Heading2"/>
        <w:keepNext/>
        <w:widowControl/>
      </w:pPr>
      <w:r>
        <w:t>Update Process</w:t>
      </w:r>
    </w:p>
    <w:p>
      <w:pPr>
        <w:pStyle w:val="ListNumber"/>
        <w:spacing w:after="60"/>
        <w:widowControl/>
      </w:pPr>
      <w:r>
        <w:t>Validate the release in development and representative staging environments.</w:t>
      </w:r>
    </w:p>
    <w:p>
      <w:pPr>
        <w:pStyle w:val="ListNumber"/>
        <w:spacing w:after="60"/>
        <w:widowControl/>
      </w:pPr>
      <w:r>
        <w:t>Create and verify a fresh production backup.</w:t>
      </w:r>
    </w:p>
    <w:p>
      <w:pPr>
        <w:pStyle w:val="ListNumber"/>
        <w:spacing w:after="60"/>
        <w:widowControl/>
      </w:pPr>
      <w:r>
        <w:t>Place the application in the required maintenance or restricted-write state.</w:t>
      </w:r>
    </w:p>
    <w:p>
      <w:pPr>
        <w:pStyle w:val="ListNumber"/>
        <w:spacing w:after="60"/>
        <w:widowControl/>
      </w:pPr>
      <w:r>
        <w:t>Load versioned images and run approved migrations.</w:t>
      </w:r>
    </w:p>
    <w:p>
      <w:pPr>
        <w:pStyle w:val="ListNumber"/>
        <w:spacing w:after="60"/>
        <w:widowControl/>
      </w:pPr>
      <w:r>
        <w:t>Start services and execute health smoke integrity and transaction tests.</w:t>
      </w:r>
    </w:p>
    <w:p>
      <w:pPr>
        <w:pStyle w:val="ListNumber"/>
        <w:spacing w:after="60"/>
        <w:widowControl/>
      </w:pPr>
      <w:r>
        <w:t>Release normal access and monitor alerts and reconciliation.</w:t>
      </w:r>
    </w:p>
    <w:p>
      <w:pPr>
        <w:pStyle w:val="ListNumber"/>
        <w:spacing w:after="60"/>
        <w:widowControl/>
      </w:pPr>
      <w:r>
        <w:t>Use the documented rollback procedure if acceptance checks fail.</w:t>
      </w:r>
    </w:p>
    <w:p>
      <w:pPr>
        <w:pStyle w:val="Heading2"/>
        <w:keepNext/>
        <w:widowControl/>
      </w:pPr>
      <w:r>
        <w:t>Configuration Management</w:t>
      </w:r>
    </w:p>
    <w:p>
      <w:pPr>
        <w:pStyle w:val="ListBullet"/>
        <w:spacing w:after="40"/>
        <w:widowControl/>
      </w:pPr>
      <w:r>
        <w:t>Separate development test staging and production configuration.</w:t>
      </w:r>
    </w:p>
    <w:p>
      <w:pPr>
        <w:pStyle w:val="ListBullet"/>
        <w:spacing w:after="40"/>
        <w:widowControl/>
      </w:pPr>
      <w:r>
        <w:t>Keep secrets out of source control images logs and ordinary backups.</w:t>
      </w:r>
    </w:p>
    <w:p>
      <w:pPr>
        <w:pStyle w:val="ListBullet"/>
        <w:spacing w:after="40"/>
        <w:widowControl/>
      </w:pPr>
      <w:r>
        <w:t>Validate required settings at startup and fail safely when a critical value is absent.</w:t>
      </w:r>
    </w:p>
    <w:p>
      <w:pPr>
        <w:pStyle w:val="ListBullet"/>
        <w:spacing w:after="40"/>
        <w:widowControl/>
      </w:pPr>
      <w:r>
        <w:t>Record nonsecret configuration revisions and responsible change events.</w:t>
      </w:r>
    </w:p>
    <w:p>
      <w:pPr>
        <w:pStyle w:val="ListBullet"/>
        <w:spacing w:after="40"/>
        <w:widowControl/>
      </w:pPr>
      <w:r>
        <w:t>Do not permit unrestricted editing of production environment files by ordinary pharmacy users.</w:t>
      </w:r>
    </w:p>
    <w:p>
      <w:pPr>
        <w:pStyle w:val="Heading1"/>
        <w:keepNext/>
        <w:widowControl/>
      </w:pPr>
      <w:r>
        <w:t>14 Future Branch Wholesale and AI Architecture</w:t>
      </w:r>
    </w:p>
    <w:p>
      <w:pPr>
        <w:pStyle w:val="Heading2"/>
        <w:keepNext/>
        <w:widowControl/>
      </w:pPr>
      <w:r>
        <w:t>Multiple Branch Evolution</w:t>
      </w:r>
    </w:p>
    <w:p>
      <w:pPr>
        <w:widowControl/>
      </w:pPr>
      <w:r>
        <w:t>The first schema includes branch ownership and branch-aware authorization. When multiple branches are enabled, stock remains branch-specific. Transfers become explicit aggregates with request approval dispatch in-transit receipt variance and completion states. Consolidated reports read authorized branch data but do not replace branch ledgers.</w:t>
      </w:r>
    </w:p>
    <w:p>
      <w:pPr>
        <w:pStyle w:val="Heading2"/>
        <w:keepNext/>
        <w:widowControl/>
      </w:pPr>
      <w:r>
        <w:t>Wholesale Evolution</w:t>
      </w:r>
    </w:p>
    <w:p>
      <w:pPr>
        <w:pStyle w:val="ListBullet"/>
        <w:spacing w:after="40"/>
        <w:widowControl/>
      </w:pPr>
      <w:r>
        <w:t>Add organization customers price lists quotations bulk orders fulfilment delivery notes collections and portals.</w:t>
      </w:r>
    </w:p>
    <w:p>
      <w:pPr>
        <w:pStyle w:val="ListBullet"/>
        <w:spacing w:after="40"/>
        <w:widowControl/>
      </w:pPr>
      <w:r>
        <w:t>Preserve the same product unit batch stock payment receivable and audit foundations.</w:t>
      </w:r>
    </w:p>
    <w:p>
      <w:pPr>
        <w:pStyle w:val="ListBullet"/>
        <w:spacing w:after="40"/>
        <w:widowControl/>
      </w:pPr>
      <w:r>
        <w:t>Introduce warehouse allocation picking packing and dispatch only when operational workflows are confirmed.</w:t>
      </w:r>
    </w:p>
    <w:p>
      <w:pPr>
        <w:pStyle w:val="ListBullet"/>
        <w:spacing w:after="40"/>
        <w:widowControl/>
      </w:pPr>
      <w:r>
        <w:t>Keep customer-specific prices and credit limits within authorized business rules.</w:t>
      </w:r>
    </w:p>
    <w:p>
      <w:pPr>
        <w:pStyle w:val="Heading2"/>
        <w:keepNext/>
        <w:widowControl/>
      </w:pPr>
      <w:r>
        <w:t>Offline Synchronization Boundary</w:t>
      </w:r>
    </w:p>
    <w:p>
      <w:pPr>
        <w:widowControl/>
      </w:pPr>
      <w:r>
        <w:t>The first release does not operate two independent writable databases. Future offline synchronization requires globally unique events device identity idempotency ordered processing conflict detection stock allocation rules and an authoritative resolution policy. PostgreSQL replication alone does not define those business rules.</w:t>
      </w:r>
    </w:p>
    <w:p>
      <w:pPr>
        <w:pStyle w:val="Heading2"/>
        <w:keepNext/>
        <w:widowControl/>
      </w:pPr>
      <w:r>
        <w:t>FastAPI AI Service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2376"/>
            <w:shd w:fill="0F5132"/>
            <w:tcMar>
              <w:top w:w="95" w:type="dxa"/>
              <w:start w:w="95" w:type="dxa"/>
              <w:bottom w:w="95" w:type="dxa"/>
              <w:end w:w="95" w:type="dxa"/>
            </w:tcMar>
            <w:vAlign w:val="center"/>
          </w:tcPr>
          <w:p>
            <w:pPr>
              <w:spacing w:after="0"/>
            </w:pPr>
            <w:r>
              <w:rPr>
                <w:b/>
                <w:color w:val="FFFFFF"/>
                <w:sz w:val="17"/>
              </w:rPr>
              <w:t>Capability</w:t>
            </w:r>
          </w:p>
        </w:tc>
        <w:tc>
          <w:tcPr>
            <w:tcW w:type="dxa" w:w="7416"/>
            <w:shd w:fill="0F5132"/>
            <w:tcMar>
              <w:top w:w="95" w:type="dxa"/>
              <w:start w:w="95" w:type="dxa"/>
              <w:bottom w:w="95" w:type="dxa"/>
              <w:end w:w="95" w:type="dxa"/>
            </w:tcMar>
            <w:vAlign w:val="center"/>
          </w:tcPr>
          <w:p>
            <w:pPr>
              <w:spacing w:after="0"/>
            </w:pPr>
            <w:r>
              <w:rPr>
                <w:b/>
                <w:color w:val="FFFFFF"/>
                <w:sz w:val="17"/>
              </w:rPr>
              <w:t>Architecture rule</w:t>
            </w:r>
          </w:p>
        </w:tc>
      </w:tr>
      <w:tr>
        <w:tc>
          <w:tcPr>
            <w:tcW w:type="dxa" w:w="2376"/>
            <w:tcMar>
              <w:top w:w="95" w:type="dxa"/>
              <w:start w:w="95" w:type="dxa"/>
              <w:bottom w:w="95" w:type="dxa"/>
              <w:end w:w="95" w:type="dxa"/>
            </w:tcMar>
            <w:vAlign w:val="center"/>
          </w:tcPr>
          <w:p>
            <w:pPr>
              <w:spacing w:after="0" w:line="245" w:lineRule="auto"/>
            </w:pPr>
            <w:r>
              <w:rPr>
                <w:sz w:val="17"/>
              </w:rPr>
              <w:t>Speech transcription</w:t>
            </w:r>
          </w:p>
        </w:tc>
        <w:tc>
          <w:tcPr>
            <w:tcW w:type="dxa" w:w="7416"/>
            <w:tcMar>
              <w:top w:w="95" w:type="dxa"/>
              <w:start w:w="95" w:type="dxa"/>
              <w:bottom w:w="95" w:type="dxa"/>
              <w:end w:w="95" w:type="dxa"/>
            </w:tcMar>
            <w:vAlign w:val="center"/>
          </w:tcPr>
          <w:p>
            <w:pPr>
              <w:spacing w:after="0" w:line="245" w:lineRule="auto"/>
            </w:pPr>
            <w:r>
              <w:rPr>
                <w:sz w:val="17"/>
              </w:rPr>
              <w:t>Receive an authorized audio reference or stream return text confidence language and trace metadata.</w:t>
            </w:r>
          </w:p>
        </w:tc>
      </w:tr>
      <w:tr>
        <w:tc>
          <w:tcPr>
            <w:tcW w:type="dxa" w:w="2376"/>
            <w:tcMar>
              <w:top w:w="95" w:type="dxa"/>
              <w:start w:w="95" w:type="dxa"/>
              <w:bottom w:w="95" w:type="dxa"/>
              <w:end w:w="95" w:type="dxa"/>
            </w:tcMar>
            <w:vAlign w:val="center"/>
            <w:shd w:fill="EAF4EE"/>
          </w:tcPr>
          <w:p>
            <w:pPr>
              <w:spacing w:after="0" w:line="245" w:lineRule="auto"/>
            </w:pPr>
            <w:r>
              <w:rPr>
                <w:sz w:val="17"/>
              </w:rPr>
              <w:t>Voice command interpretation</w:t>
            </w:r>
          </w:p>
        </w:tc>
        <w:tc>
          <w:tcPr>
            <w:tcW w:type="dxa" w:w="7416"/>
            <w:tcMar>
              <w:top w:w="95" w:type="dxa"/>
              <w:start w:w="95" w:type="dxa"/>
              <w:bottom w:w="95" w:type="dxa"/>
              <w:end w:w="95" w:type="dxa"/>
            </w:tcMar>
            <w:vAlign w:val="center"/>
            <w:shd w:fill="EAF4EE"/>
          </w:tcPr>
          <w:p>
            <w:pPr>
              <w:spacing w:after="0" w:line="245" w:lineRule="auto"/>
            </w:pPr>
            <w:r>
              <w:rPr>
                <w:sz w:val="17"/>
              </w:rPr>
              <w:t>Return an intent and proposed parameters. Django checks permission data and confirmation.</w:t>
            </w:r>
          </w:p>
        </w:tc>
      </w:tr>
      <w:tr>
        <w:tc>
          <w:tcPr>
            <w:tcW w:type="dxa" w:w="2376"/>
            <w:tcMar>
              <w:top w:w="95" w:type="dxa"/>
              <w:start w:w="95" w:type="dxa"/>
              <w:bottom w:w="95" w:type="dxa"/>
              <w:end w:w="95" w:type="dxa"/>
            </w:tcMar>
            <w:vAlign w:val="center"/>
          </w:tcPr>
          <w:p>
            <w:pPr>
              <w:spacing w:after="0" w:line="245" w:lineRule="auto"/>
            </w:pPr>
            <w:r>
              <w:rPr>
                <w:sz w:val="17"/>
              </w:rPr>
              <w:t>Document extraction</w:t>
            </w:r>
          </w:p>
        </w:tc>
        <w:tc>
          <w:tcPr>
            <w:tcW w:type="dxa" w:w="7416"/>
            <w:tcMar>
              <w:top w:w="95" w:type="dxa"/>
              <w:start w:w="95" w:type="dxa"/>
              <w:bottom w:w="95" w:type="dxa"/>
              <w:end w:w="95" w:type="dxa"/>
            </w:tcMar>
            <w:vAlign w:val="center"/>
          </w:tcPr>
          <w:p>
            <w:pPr>
              <w:spacing w:after="0" w:line="245" w:lineRule="auto"/>
            </w:pPr>
            <w:r>
              <w:rPr>
                <w:sz w:val="17"/>
              </w:rPr>
              <w:t>Return candidate invoice or prescription fields for human validation before record creation.</w:t>
            </w:r>
          </w:p>
        </w:tc>
      </w:tr>
      <w:tr>
        <w:tc>
          <w:tcPr>
            <w:tcW w:type="dxa" w:w="2376"/>
            <w:tcMar>
              <w:top w:w="95" w:type="dxa"/>
              <w:start w:w="95" w:type="dxa"/>
              <w:bottom w:w="95" w:type="dxa"/>
              <w:end w:w="95" w:type="dxa"/>
            </w:tcMar>
            <w:vAlign w:val="center"/>
            <w:shd w:fill="EAF4EE"/>
          </w:tcPr>
          <w:p>
            <w:pPr>
              <w:spacing w:after="0" w:line="245" w:lineRule="auto"/>
            </w:pPr>
            <w:r>
              <w:rPr>
                <w:sz w:val="17"/>
              </w:rPr>
              <w:t>Forecasting</w:t>
            </w:r>
          </w:p>
        </w:tc>
        <w:tc>
          <w:tcPr>
            <w:tcW w:type="dxa" w:w="7416"/>
            <w:tcMar>
              <w:top w:w="95" w:type="dxa"/>
              <w:start w:w="95" w:type="dxa"/>
              <w:bottom w:w="95" w:type="dxa"/>
              <w:end w:w="95" w:type="dxa"/>
            </w:tcMar>
            <w:vAlign w:val="center"/>
            <w:shd w:fill="EAF4EE"/>
          </w:tcPr>
          <w:p>
            <w:pPr>
              <w:spacing w:after="0" w:line="245" w:lineRule="auto"/>
            </w:pPr>
            <w:r>
              <w:rPr>
                <w:sz w:val="17"/>
              </w:rPr>
              <w:t>Read approved historical aggregates and return recommendations without posting purchases.</w:t>
            </w:r>
          </w:p>
        </w:tc>
      </w:tr>
      <w:tr>
        <w:tc>
          <w:tcPr>
            <w:tcW w:type="dxa" w:w="2376"/>
            <w:tcMar>
              <w:top w:w="95" w:type="dxa"/>
              <w:start w:w="95" w:type="dxa"/>
              <w:bottom w:w="95" w:type="dxa"/>
              <w:end w:w="95" w:type="dxa"/>
            </w:tcMar>
            <w:vAlign w:val="center"/>
          </w:tcPr>
          <w:p>
            <w:pPr>
              <w:spacing w:after="0" w:line="245" w:lineRule="auto"/>
            </w:pPr>
            <w:r>
              <w:rPr>
                <w:sz w:val="17"/>
              </w:rPr>
              <w:t>Expiry analysis</w:t>
            </w:r>
          </w:p>
        </w:tc>
        <w:tc>
          <w:tcPr>
            <w:tcW w:type="dxa" w:w="7416"/>
            <w:tcMar>
              <w:top w:w="95" w:type="dxa"/>
              <w:start w:w="95" w:type="dxa"/>
              <w:bottom w:w="95" w:type="dxa"/>
              <w:end w:w="95" w:type="dxa"/>
            </w:tcMar>
            <w:vAlign w:val="center"/>
          </w:tcPr>
          <w:p>
            <w:pPr>
              <w:spacing w:after="0" w:line="245" w:lineRule="auto"/>
            </w:pPr>
            <w:r>
              <w:rPr>
                <w:sz w:val="17"/>
              </w:rPr>
              <w:t>Return risk scores and explanations while inventory status remains controlled by Django.</w:t>
            </w:r>
          </w:p>
        </w:tc>
      </w:tr>
      <w:tr>
        <w:tc>
          <w:tcPr>
            <w:tcW w:type="dxa" w:w="2376"/>
            <w:tcMar>
              <w:top w:w="95" w:type="dxa"/>
              <w:start w:w="95" w:type="dxa"/>
              <w:bottom w:w="95" w:type="dxa"/>
              <w:end w:w="95" w:type="dxa"/>
            </w:tcMar>
            <w:vAlign w:val="center"/>
            <w:shd w:fill="EAF4EE"/>
          </w:tcPr>
          <w:p>
            <w:pPr>
              <w:spacing w:after="0" w:line="245" w:lineRule="auto"/>
            </w:pPr>
            <w:r>
              <w:rPr>
                <w:sz w:val="17"/>
              </w:rPr>
              <w:t>Natural language reports</w:t>
            </w:r>
          </w:p>
        </w:tc>
        <w:tc>
          <w:tcPr>
            <w:tcW w:type="dxa" w:w="7416"/>
            <w:tcMar>
              <w:top w:w="95" w:type="dxa"/>
              <w:start w:w="95" w:type="dxa"/>
              <w:bottom w:w="95" w:type="dxa"/>
              <w:end w:w="95" w:type="dxa"/>
            </w:tcMar>
            <w:vAlign w:val="center"/>
            <w:shd w:fill="EAF4EE"/>
          </w:tcPr>
          <w:p>
            <w:pPr>
              <w:spacing w:after="0" w:line="245" w:lineRule="auto"/>
            </w:pPr>
            <w:r>
              <w:rPr>
                <w:sz w:val="17"/>
              </w:rPr>
              <w:t>Translate authorized questions into bounded approved queries or report requests.</w:t>
            </w:r>
          </w:p>
        </w:tc>
      </w:tr>
    </w:tbl>
    <w:p>
      <w:pPr>
        <w:spacing w:after="0"/>
        <w:widowControl/>
      </w:pPr>
    </w:p>
    <w:p>
      <w:pPr>
        <w:pStyle w:val="Heading2"/>
        <w:keepNext/>
        <w:widowControl/>
      </w:pPr>
      <w:r>
        <w:t>AI Data and Safety</w:t>
      </w:r>
    </w:p>
    <w:p>
      <w:pPr>
        <w:pStyle w:val="ListBullet"/>
        <w:spacing w:after="40"/>
        <w:widowControl/>
      </w:pPr>
      <w:r>
        <w:t>Minimize the data sent to an AI provider or service and apply consent retention and access rules.</w:t>
      </w:r>
    </w:p>
    <w:p>
      <w:pPr>
        <w:pStyle w:val="ListBullet"/>
        <w:spacing w:after="40"/>
        <w:widowControl/>
      </w:pPr>
      <w:r>
        <w:t>Use service authentication network restriction timeouts quotas and audit correlation.</w:t>
      </w:r>
    </w:p>
    <w:p>
      <w:pPr>
        <w:pStyle w:val="ListBullet"/>
        <w:spacing w:after="40"/>
        <w:widowControl/>
      </w:pPr>
      <w:r>
        <w:t>Store model prompt or workflow version and relevant result metadata when needed for support or review.</w:t>
      </w:r>
    </w:p>
    <w:p>
      <w:pPr>
        <w:pStyle w:val="ListBullet"/>
        <w:spacing w:after="40"/>
        <w:widowControl/>
      </w:pPr>
      <w:r>
        <w:t>Do not let FastAPI or a model write directly to core transaction tables.</w:t>
      </w:r>
    </w:p>
    <w:p>
      <w:pPr>
        <w:pStyle w:val="ListBullet"/>
        <w:spacing w:after="40"/>
        <w:widowControl/>
      </w:pPr>
      <w:r>
        <w:t>Require Django authorization validation confirmation and audit before any proposed action is executed.</w:t>
      </w:r>
    </w:p>
    <w:p>
      <w:pPr>
        <w:pStyle w:val="ListBullet"/>
        <w:spacing w:after="40"/>
        <w:widowControl/>
      </w:pPr>
      <w:r>
        <w:t>Do not allow AI to diagnose prescribe or replace pharmacist judgment.</w:t>
      </w:r>
    </w:p>
    <w:p>
      <w:pPr>
        <w:pStyle w:val="Heading1"/>
        <w:keepNext/>
        <w:widowControl/>
      </w:pPr>
      <w:r>
        <w:t>15 Architecture Decisions and Implementation Checklist</w:t>
      </w:r>
    </w:p>
    <w:p>
      <w:pPr>
        <w:pStyle w:val="Heading2"/>
        <w:keepNext/>
        <w:widowControl/>
      </w:pPr>
      <w:r>
        <w:t>Architecture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val="true"/>
        </w:trPr>
        <w:tc>
          <w:tcPr>
            <w:tcW w:type="dxa" w:w="2088"/>
            <w:shd w:fill="0F5132"/>
            <w:tcMar>
              <w:top w:w="95" w:type="dxa"/>
              <w:start w:w="95" w:type="dxa"/>
              <w:bottom w:w="95" w:type="dxa"/>
              <w:end w:w="95" w:type="dxa"/>
            </w:tcMar>
            <w:vAlign w:val="center"/>
          </w:tcPr>
          <w:p>
            <w:pPr>
              <w:spacing w:after="0"/>
            </w:pPr>
            <w:r>
              <w:rPr>
                <w:b/>
                <w:color w:val="FFFFFF"/>
                <w:sz w:val="17"/>
              </w:rPr>
              <w:t>Decision</w:t>
            </w:r>
          </w:p>
        </w:tc>
        <w:tc>
          <w:tcPr>
            <w:tcW w:type="dxa" w:w="2880"/>
            <w:shd w:fill="0F5132"/>
            <w:tcMar>
              <w:top w:w="95" w:type="dxa"/>
              <w:start w:w="95" w:type="dxa"/>
              <w:bottom w:w="95" w:type="dxa"/>
              <w:end w:w="95" w:type="dxa"/>
            </w:tcMar>
            <w:vAlign w:val="center"/>
          </w:tcPr>
          <w:p>
            <w:pPr>
              <w:spacing w:after="0"/>
            </w:pPr>
            <w:r>
              <w:rPr>
                <w:b/>
                <w:color w:val="FFFFFF"/>
                <w:sz w:val="17"/>
              </w:rPr>
              <w:t>Selected option</w:t>
            </w:r>
          </w:p>
        </w:tc>
        <w:tc>
          <w:tcPr>
            <w:tcW w:type="dxa" w:w="4824"/>
            <w:shd w:fill="0F5132"/>
            <w:tcMar>
              <w:top w:w="95" w:type="dxa"/>
              <w:start w:w="95" w:type="dxa"/>
              <w:bottom w:w="95" w:type="dxa"/>
              <w:end w:w="95" w:type="dxa"/>
            </w:tcMar>
            <w:vAlign w:val="center"/>
          </w:tcPr>
          <w:p>
            <w:pPr>
              <w:spacing w:after="0"/>
            </w:pPr>
            <w:r>
              <w:rPr>
                <w:b/>
                <w:color w:val="FFFFFF"/>
                <w:sz w:val="17"/>
              </w:rPr>
              <w:t>Reason</w:t>
            </w:r>
          </w:p>
        </w:tc>
      </w:tr>
      <w:tr>
        <w:tc>
          <w:tcPr>
            <w:tcW w:type="dxa" w:w="2088"/>
            <w:tcMar>
              <w:top w:w="95" w:type="dxa"/>
              <w:start w:w="95" w:type="dxa"/>
              <w:bottom w:w="95" w:type="dxa"/>
              <w:end w:w="95" w:type="dxa"/>
            </w:tcMar>
            <w:vAlign w:val="center"/>
          </w:tcPr>
          <w:p>
            <w:pPr>
              <w:spacing w:after="0" w:line="245" w:lineRule="auto"/>
            </w:pPr>
            <w:r>
              <w:rPr>
                <w:sz w:val="17"/>
              </w:rPr>
              <w:t>Core architecture</w:t>
            </w:r>
          </w:p>
        </w:tc>
        <w:tc>
          <w:tcPr>
            <w:tcW w:type="dxa" w:w="2880"/>
            <w:tcMar>
              <w:top w:w="95" w:type="dxa"/>
              <w:start w:w="95" w:type="dxa"/>
              <w:bottom w:w="95" w:type="dxa"/>
              <w:end w:w="95" w:type="dxa"/>
            </w:tcMar>
            <w:vAlign w:val="center"/>
          </w:tcPr>
          <w:p>
            <w:pPr>
              <w:spacing w:after="0" w:line="245" w:lineRule="auto"/>
            </w:pPr>
            <w:r>
              <w:rPr>
                <w:sz w:val="17"/>
              </w:rPr>
              <w:t>Modular Django monolith</w:t>
            </w:r>
          </w:p>
        </w:tc>
        <w:tc>
          <w:tcPr>
            <w:tcW w:type="dxa" w:w="4824"/>
            <w:tcMar>
              <w:top w:w="95" w:type="dxa"/>
              <w:start w:w="95" w:type="dxa"/>
              <w:bottom w:w="95" w:type="dxa"/>
              <w:end w:w="95" w:type="dxa"/>
            </w:tcMar>
            <w:vAlign w:val="center"/>
          </w:tcPr>
          <w:p>
            <w:pPr>
              <w:spacing w:after="0" w:line="245" w:lineRule="auto"/>
            </w:pPr>
            <w:r>
              <w:rPr>
                <w:sz w:val="17"/>
              </w:rPr>
              <w:t>Keeps pharmacy transactions in one consistency boundary and simplifies local deployment.</w:t>
            </w:r>
          </w:p>
        </w:tc>
      </w:tr>
      <w:tr>
        <w:tc>
          <w:tcPr>
            <w:tcW w:type="dxa" w:w="2088"/>
            <w:tcMar>
              <w:top w:w="95" w:type="dxa"/>
              <w:start w:w="95" w:type="dxa"/>
              <w:bottom w:w="95" w:type="dxa"/>
              <w:end w:w="95" w:type="dxa"/>
            </w:tcMar>
            <w:vAlign w:val="center"/>
            <w:shd w:fill="EAF4EE"/>
          </w:tcPr>
          <w:p>
            <w:pPr>
              <w:spacing w:after="0" w:line="245" w:lineRule="auto"/>
            </w:pPr>
            <w:r>
              <w:rPr>
                <w:sz w:val="17"/>
              </w:rPr>
              <w:t>Frontend</w:t>
            </w:r>
          </w:p>
        </w:tc>
        <w:tc>
          <w:tcPr>
            <w:tcW w:type="dxa" w:w="2880"/>
            <w:tcMar>
              <w:top w:w="95" w:type="dxa"/>
              <w:start w:w="95" w:type="dxa"/>
              <w:bottom w:w="95" w:type="dxa"/>
              <w:end w:w="95" w:type="dxa"/>
            </w:tcMar>
            <w:vAlign w:val="center"/>
            <w:shd w:fill="EAF4EE"/>
          </w:tcPr>
          <w:p>
            <w:pPr>
              <w:spacing w:after="0" w:line="245" w:lineRule="auto"/>
            </w:pPr>
            <w:r>
              <w:rPr>
                <w:sz w:val="17"/>
              </w:rPr>
              <w:t>React TypeScript Tailwind CSS</w:t>
            </w:r>
          </w:p>
        </w:tc>
        <w:tc>
          <w:tcPr>
            <w:tcW w:type="dxa" w:w="4824"/>
            <w:tcMar>
              <w:top w:w="95" w:type="dxa"/>
              <w:start w:w="95" w:type="dxa"/>
              <w:bottom w:w="95" w:type="dxa"/>
              <w:end w:w="95" w:type="dxa"/>
            </w:tcMar>
            <w:vAlign w:val="center"/>
            <w:shd w:fill="EAF4EE"/>
          </w:tcPr>
          <w:p>
            <w:pPr>
              <w:spacing w:after="0" w:line="245" w:lineRule="auto"/>
            </w:pPr>
            <w:r>
              <w:rPr>
                <w:sz w:val="17"/>
              </w:rPr>
              <w:t>Supports a responsive maintainable browser interface and shared deployment.</w:t>
            </w:r>
          </w:p>
        </w:tc>
      </w:tr>
      <w:tr>
        <w:tc>
          <w:tcPr>
            <w:tcW w:type="dxa" w:w="2088"/>
            <w:tcMar>
              <w:top w:w="95" w:type="dxa"/>
              <w:start w:w="95" w:type="dxa"/>
              <w:bottom w:w="95" w:type="dxa"/>
              <w:end w:w="95" w:type="dxa"/>
            </w:tcMar>
            <w:vAlign w:val="center"/>
          </w:tcPr>
          <w:p>
            <w:pPr>
              <w:spacing w:after="0" w:line="245" w:lineRule="auto"/>
            </w:pPr>
            <w:r>
              <w:rPr>
                <w:sz w:val="17"/>
              </w:rPr>
              <w:t>Database</w:t>
            </w:r>
          </w:p>
        </w:tc>
        <w:tc>
          <w:tcPr>
            <w:tcW w:type="dxa" w:w="2880"/>
            <w:tcMar>
              <w:top w:w="95" w:type="dxa"/>
              <w:start w:w="95" w:type="dxa"/>
              <w:bottom w:w="95" w:type="dxa"/>
              <w:end w:w="95" w:type="dxa"/>
            </w:tcMar>
            <w:vAlign w:val="center"/>
          </w:tcPr>
          <w:p>
            <w:pPr>
              <w:spacing w:after="0" w:line="245" w:lineRule="auto"/>
            </w:pPr>
            <w:r>
              <w:rPr>
                <w:sz w:val="17"/>
              </w:rPr>
              <w:t>PostgreSQL</w:t>
            </w:r>
          </w:p>
        </w:tc>
        <w:tc>
          <w:tcPr>
            <w:tcW w:type="dxa" w:w="4824"/>
            <w:tcMar>
              <w:top w:w="95" w:type="dxa"/>
              <w:start w:w="95" w:type="dxa"/>
              <w:bottom w:w="95" w:type="dxa"/>
              <w:end w:w="95" w:type="dxa"/>
            </w:tcMar>
            <w:vAlign w:val="center"/>
          </w:tcPr>
          <w:p>
            <w:pPr>
              <w:spacing w:after="0" w:line="245" w:lineRule="auto"/>
            </w:pPr>
            <w:r>
              <w:rPr>
                <w:sz w:val="17"/>
              </w:rPr>
              <w:t>Provides transactions constraints indexing reporting backup and portability.</w:t>
            </w:r>
          </w:p>
        </w:tc>
      </w:tr>
      <w:tr>
        <w:tc>
          <w:tcPr>
            <w:tcW w:type="dxa" w:w="2088"/>
            <w:tcMar>
              <w:top w:w="95" w:type="dxa"/>
              <w:start w:w="95" w:type="dxa"/>
              <w:bottom w:w="95" w:type="dxa"/>
              <w:end w:w="95" w:type="dxa"/>
            </w:tcMar>
            <w:vAlign w:val="center"/>
            <w:shd w:fill="EAF4EE"/>
          </w:tcPr>
          <w:p>
            <w:pPr>
              <w:spacing w:after="0" w:line="245" w:lineRule="auto"/>
            </w:pPr>
            <w:r>
              <w:rPr>
                <w:sz w:val="17"/>
              </w:rPr>
              <w:t>Packaging</w:t>
            </w:r>
          </w:p>
        </w:tc>
        <w:tc>
          <w:tcPr>
            <w:tcW w:type="dxa" w:w="2880"/>
            <w:tcMar>
              <w:top w:w="95" w:type="dxa"/>
              <w:start w:w="95" w:type="dxa"/>
              <w:bottom w:w="95" w:type="dxa"/>
              <w:end w:w="95" w:type="dxa"/>
            </w:tcMar>
            <w:vAlign w:val="center"/>
            <w:shd w:fill="EAF4EE"/>
          </w:tcPr>
          <w:p>
            <w:pPr>
              <w:spacing w:after="0" w:line="245" w:lineRule="auto"/>
            </w:pPr>
            <w:r>
              <w:rPr>
                <w:sz w:val="17"/>
              </w:rPr>
              <w:t>Docker Compose</w:t>
            </w:r>
          </w:p>
        </w:tc>
        <w:tc>
          <w:tcPr>
            <w:tcW w:type="dxa" w:w="4824"/>
            <w:tcMar>
              <w:top w:w="95" w:type="dxa"/>
              <w:start w:w="95" w:type="dxa"/>
              <w:bottom w:w="95" w:type="dxa"/>
              <w:end w:w="95" w:type="dxa"/>
            </w:tcMar>
            <w:vAlign w:val="center"/>
            <w:shd w:fill="EAF4EE"/>
          </w:tcPr>
          <w:p>
            <w:pPr>
              <w:spacing w:after="0" w:line="245" w:lineRule="auto"/>
            </w:pPr>
            <w:r>
              <w:rPr>
                <w:sz w:val="17"/>
              </w:rPr>
              <w:t>Provides repeatable local VPS and cloud service definitions.</w:t>
            </w:r>
          </w:p>
        </w:tc>
      </w:tr>
      <w:tr>
        <w:tc>
          <w:tcPr>
            <w:tcW w:type="dxa" w:w="2088"/>
            <w:tcMar>
              <w:top w:w="95" w:type="dxa"/>
              <w:start w:w="95" w:type="dxa"/>
              <w:bottom w:w="95" w:type="dxa"/>
              <w:end w:w="95" w:type="dxa"/>
            </w:tcMar>
            <w:vAlign w:val="center"/>
          </w:tcPr>
          <w:p>
            <w:pPr>
              <w:spacing w:after="0" w:line="245" w:lineRule="auto"/>
            </w:pPr>
            <w:r>
              <w:rPr>
                <w:sz w:val="17"/>
              </w:rPr>
              <w:t>Local production</w:t>
            </w:r>
          </w:p>
        </w:tc>
        <w:tc>
          <w:tcPr>
            <w:tcW w:type="dxa" w:w="2880"/>
            <w:tcMar>
              <w:top w:w="95" w:type="dxa"/>
              <w:start w:w="95" w:type="dxa"/>
              <w:bottom w:w="95" w:type="dxa"/>
              <w:end w:w="95" w:type="dxa"/>
            </w:tcMar>
            <w:vAlign w:val="center"/>
          </w:tcPr>
          <w:p>
            <w:pPr>
              <w:spacing w:after="0" w:line="245" w:lineRule="auto"/>
            </w:pPr>
            <w:r>
              <w:rPr>
                <w:sz w:val="17"/>
              </w:rPr>
              <w:t>Windows Docker Desktop for pilot or dedicated Ubuntu server for mature operation</w:t>
            </w:r>
          </w:p>
        </w:tc>
        <w:tc>
          <w:tcPr>
            <w:tcW w:type="dxa" w:w="4824"/>
            <w:tcMar>
              <w:top w:w="95" w:type="dxa"/>
              <w:start w:w="95" w:type="dxa"/>
              <w:bottom w:w="95" w:type="dxa"/>
              <w:end w:w="95" w:type="dxa"/>
            </w:tcMar>
            <w:vAlign w:val="center"/>
          </w:tcPr>
          <w:p>
            <w:pPr>
              <w:spacing w:after="0" w:line="245" w:lineRule="auto"/>
            </w:pPr>
            <w:r>
              <w:rPr>
                <w:sz w:val="17"/>
              </w:rPr>
              <w:t>Supports the client environment while preserving a more reliable server path.</w:t>
            </w:r>
          </w:p>
        </w:tc>
      </w:tr>
      <w:tr>
        <w:tc>
          <w:tcPr>
            <w:tcW w:type="dxa" w:w="2088"/>
            <w:tcMar>
              <w:top w:w="95" w:type="dxa"/>
              <w:start w:w="95" w:type="dxa"/>
              <w:bottom w:w="95" w:type="dxa"/>
              <w:end w:w="95" w:type="dxa"/>
            </w:tcMar>
            <w:vAlign w:val="center"/>
            <w:shd w:fill="EAF4EE"/>
          </w:tcPr>
          <w:p>
            <w:pPr>
              <w:spacing w:after="0" w:line="245" w:lineRule="auto"/>
            </w:pPr>
            <w:r>
              <w:rPr>
                <w:sz w:val="17"/>
              </w:rPr>
              <w:t>Files</w:t>
            </w:r>
          </w:p>
        </w:tc>
        <w:tc>
          <w:tcPr>
            <w:tcW w:type="dxa" w:w="2880"/>
            <w:tcMar>
              <w:top w:w="95" w:type="dxa"/>
              <w:start w:w="95" w:type="dxa"/>
              <w:bottom w:w="95" w:type="dxa"/>
              <w:end w:w="95" w:type="dxa"/>
            </w:tcMar>
            <w:vAlign w:val="center"/>
            <w:shd w:fill="EAF4EE"/>
          </w:tcPr>
          <w:p>
            <w:pPr>
              <w:spacing w:after="0" w:line="245" w:lineRule="auto"/>
            </w:pPr>
            <w:r>
              <w:rPr>
                <w:sz w:val="17"/>
              </w:rPr>
              <w:t>Protected local media then S3-compatible online storage</w:t>
            </w:r>
          </w:p>
        </w:tc>
        <w:tc>
          <w:tcPr>
            <w:tcW w:type="dxa" w:w="4824"/>
            <w:tcMar>
              <w:top w:w="95" w:type="dxa"/>
              <w:start w:w="95" w:type="dxa"/>
              <w:bottom w:w="95" w:type="dxa"/>
              <w:end w:w="95" w:type="dxa"/>
            </w:tcMar>
            <w:vAlign w:val="center"/>
            <w:shd w:fill="EAF4EE"/>
          </w:tcPr>
          <w:p>
            <w:pPr>
              <w:spacing w:after="0" w:line="245" w:lineRule="auto"/>
            </w:pPr>
            <w:r>
              <w:rPr>
                <w:sz w:val="17"/>
              </w:rPr>
              <w:t>Separates large files from relational transactions.</w:t>
            </w:r>
          </w:p>
        </w:tc>
      </w:tr>
      <w:tr>
        <w:tc>
          <w:tcPr>
            <w:tcW w:type="dxa" w:w="2088"/>
            <w:tcMar>
              <w:top w:w="95" w:type="dxa"/>
              <w:start w:w="95" w:type="dxa"/>
              <w:bottom w:w="95" w:type="dxa"/>
              <w:end w:w="95" w:type="dxa"/>
            </w:tcMar>
            <w:vAlign w:val="center"/>
          </w:tcPr>
          <w:p>
            <w:pPr>
              <w:spacing w:after="0" w:line="245" w:lineRule="auto"/>
            </w:pPr>
            <w:r>
              <w:rPr>
                <w:sz w:val="17"/>
              </w:rPr>
              <w:t>Background work</w:t>
            </w:r>
          </w:p>
        </w:tc>
        <w:tc>
          <w:tcPr>
            <w:tcW w:type="dxa" w:w="2880"/>
            <w:tcMar>
              <w:top w:w="95" w:type="dxa"/>
              <w:start w:w="95" w:type="dxa"/>
              <w:bottom w:w="95" w:type="dxa"/>
              <w:end w:w="95" w:type="dxa"/>
            </w:tcMar>
            <w:vAlign w:val="center"/>
          </w:tcPr>
          <w:p>
            <w:pPr>
              <w:spacing w:after="0" w:line="245" w:lineRule="auto"/>
            </w:pPr>
            <w:r>
              <w:rPr>
                <w:sz w:val="17"/>
              </w:rPr>
              <w:t>Celery and Redis when needed</w:t>
            </w:r>
          </w:p>
        </w:tc>
        <w:tc>
          <w:tcPr>
            <w:tcW w:type="dxa" w:w="4824"/>
            <w:tcMar>
              <w:top w:w="95" w:type="dxa"/>
              <w:start w:w="95" w:type="dxa"/>
              <w:bottom w:w="95" w:type="dxa"/>
              <w:end w:w="95" w:type="dxa"/>
            </w:tcMar>
            <w:vAlign w:val="center"/>
          </w:tcPr>
          <w:p>
            <w:pPr>
              <w:spacing w:after="0" w:line="245" w:lineRule="auto"/>
            </w:pPr>
            <w:r>
              <w:rPr>
                <w:sz w:val="17"/>
              </w:rPr>
              <w:t>Moves long tasks away from interactive operations.</w:t>
            </w:r>
          </w:p>
        </w:tc>
      </w:tr>
      <w:tr>
        <w:tc>
          <w:tcPr>
            <w:tcW w:type="dxa" w:w="2088"/>
            <w:tcMar>
              <w:top w:w="95" w:type="dxa"/>
              <w:start w:w="95" w:type="dxa"/>
              <w:bottom w:w="95" w:type="dxa"/>
              <w:end w:w="95" w:type="dxa"/>
            </w:tcMar>
            <w:vAlign w:val="center"/>
            <w:shd w:fill="EAF4EE"/>
          </w:tcPr>
          <w:p>
            <w:pPr>
              <w:spacing w:after="0" w:line="245" w:lineRule="auto"/>
            </w:pPr>
            <w:r>
              <w:rPr>
                <w:sz w:val="17"/>
              </w:rPr>
              <w:t>AI</w:t>
            </w:r>
          </w:p>
        </w:tc>
        <w:tc>
          <w:tcPr>
            <w:tcW w:type="dxa" w:w="2880"/>
            <w:tcMar>
              <w:top w:w="95" w:type="dxa"/>
              <w:start w:w="95" w:type="dxa"/>
              <w:bottom w:w="95" w:type="dxa"/>
              <w:end w:w="95" w:type="dxa"/>
            </w:tcMar>
            <w:vAlign w:val="center"/>
            <w:shd w:fill="EAF4EE"/>
          </w:tcPr>
          <w:p>
            <w:pPr>
              <w:spacing w:after="0" w:line="245" w:lineRule="auto"/>
            </w:pPr>
            <w:r>
              <w:rPr>
                <w:sz w:val="17"/>
              </w:rPr>
              <w:t>Separate FastAPI service later</w:t>
            </w:r>
          </w:p>
        </w:tc>
        <w:tc>
          <w:tcPr>
            <w:tcW w:type="dxa" w:w="4824"/>
            <w:tcMar>
              <w:top w:w="95" w:type="dxa"/>
              <w:start w:w="95" w:type="dxa"/>
              <w:bottom w:w="95" w:type="dxa"/>
              <w:end w:w="95" w:type="dxa"/>
            </w:tcMar>
            <w:vAlign w:val="center"/>
            <w:shd w:fill="EAF4EE"/>
          </w:tcPr>
          <w:p>
            <w:pPr>
              <w:spacing w:after="0" w:line="245" w:lineRule="auto"/>
            </w:pPr>
            <w:r>
              <w:rPr>
                <w:sz w:val="17"/>
              </w:rPr>
              <w:t>Isolates specialized workloads while Django retains control.</w:t>
            </w:r>
          </w:p>
        </w:tc>
      </w:tr>
    </w:tbl>
    <w:p>
      <w:pPr>
        <w:spacing w:after="0"/>
        <w:widowControl/>
      </w:pPr>
    </w:p>
    <w:p>
      <w:pPr>
        <w:pStyle w:val="Heading2"/>
        <w:keepNext/>
        <w:widowControl/>
      </w:pPr>
      <w:r>
        <w:t>Implementation Checklist</w:t>
      </w:r>
    </w:p>
    <w:p>
      <w:pPr>
        <w:pStyle w:val="ListBullet"/>
        <w:spacing w:after="40"/>
        <w:widowControl/>
      </w:pPr>
      <w:r>
        <w:t>Create repositories coding standards environments Compose project and version strategy.</w:t>
      </w:r>
    </w:p>
    <w:p>
      <w:pPr>
        <w:pStyle w:val="ListBullet"/>
        <w:spacing w:after="40"/>
        <w:widowControl/>
      </w:pPr>
      <w:r>
        <w:t>Implement organization branch installation identity role permission and audit foundations.</w:t>
      </w:r>
    </w:p>
    <w:p>
      <w:pPr>
        <w:pStyle w:val="ListBullet"/>
        <w:spacing w:after="40"/>
        <w:widowControl/>
      </w:pPr>
      <w:r>
        <w:t>Define product unit batch stock movement transaction and financial constraints before screens.</w:t>
      </w:r>
    </w:p>
    <w:p>
      <w:pPr>
        <w:pStyle w:val="ListBullet"/>
        <w:spacing w:after="40"/>
        <w:widowControl/>
      </w:pPr>
      <w:r>
        <w:t>Implement purchase receiving sale return adjustment and payment commands with atomic tests.</w:t>
      </w:r>
    </w:p>
    <w:p>
      <w:pPr>
        <w:pStyle w:val="ListBullet"/>
        <w:spacing w:after="40"/>
        <w:widowControl/>
      </w:pPr>
      <w:r>
        <w:t>Implement permission-aware APIs and frontend modules with consistent errors and idempotency.</w:t>
      </w:r>
    </w:p>
    <w:p>
      <w:pPr>
        <w:pStyle w:val="ListBullet"/>
        <w:spacing w:after="40"/>
        <w:widowControl/>
      </w:pPr>
      <w:r>
        <w:t>Add reports imports exports alerts background jobs and file controls.</w:t>
      </w:r>
    </w:p>
    <w:p>
      <w:pPr>
        <w:pStyle w:val="ListBullet"/>
        <w:spacing w:after="40"/>
        <w:widowControl/>
      </w:pPr>
      <w:r>
        <w:t>Build installer launcher health checks backups restore tests and migration wizard.</w:t>
      </w:r>
    </w:p>
    <w:p>
      <w:pPr>
        <w:pStyle w:val="ListBullet"/>
        <w:spacing w:after="40"/>
        <w:widowControl/>
      </w:pPr>
      <w:r>
        <w:t>Perform security performance recovery and client user acceptance testing.</w:t>
      </w:r>
    </w:p>
    <w:p>
      <w:pPr>
        <w:pStyle w:val="ListBullet"/>
        <w:spacing w:after="40"/>
        <w:widowControl/>
      </w:pPr>
      <w:r>
        <w:t>Document production deployment maintenance update rollback and support procedures.</w:t>
      </w:r>
    </w:p>
    <w:p>
      <w:pPr>
        <w:pStyle w:val="Heading2"/>
        <w:keepNext/>
        <w:widowControl/>
      </w:pPr>
      <w:r>
        <w:t>Technical Acceptance Conditions</w:t>
      </w:r>
    </w:p>
    <w:p>
      <w:pPr>
        <w:pStyle w:val="ListBullet"/>
        <w:spacing w:after="40"/>
        <w:widowControl/>
      </w:pPr>
      <w:r>
        <w:t>The application starts from a clean supported host through the approved installer and survives a restart.</w:t>
      </w:r>
    </w:p>
    <w:p>
      <w:pPr>
        <w:pStyle w:val="ListBullet"/>
        <w:spacing w:after="40"/>
        <w:widowControl/>
      </w:pPr>
      <w:r>
        <w:t>All containers networks and volumes use the installation project identity and expected versioned images.</w:t>
      </w:r>
    </w:p>
    <w:p>
      <w:pPr>
        <w:pStyle w:val="ListBullet"/>
        <w:spacing w:after="40"/>
        <w:widowControl/>
      </w:pPr>
      <w:r>
        <w:t>Unauthorized frontend and direct API actions are rejected and recorded appropriately.</w:t>
      </w:r>
    </w:p>
    <w:p>
      <w:pPr>
        <w:pStyle w:val="ListBullet"/>
        <w:spacing w:after="40"/>
        <w:widowControl/>
      </w:pPr>
      <w:r>
        <w:t>Sales purchases payments and stock movements are atomic and reconcile to reports.</w:t>
      </w:r>
    </w:p>
    <w:p>
      <w:pPr>
        <w:pStyle w:val="ListBullet"/>
        <w:spacing w:after="40"/>
        <w:widowControl/>
      </w:pPr>
      <w:r>
        <w:t>Missing production storage blocks startup rather than creating empty data.</w:t>
      </w:r>
    </w:p>
    <w:p>
      <w:pPr>
        <w:pStyle w:val="ListBullet"/>
        <w:spacing w:after="40"/>
        <w:widowControl/>
      </w:pPr>
      <w:r>
        <w:t>Encrypted backups complete copy verify and restore successfully in an isolated test.</w:t>
      </w:r>
    </w:p>
    <w:p>
      <w:pPr>
        <w:pStyle w:val="ListBullet"/>
        <w:spacing w:after="40"/>
        <w:widowControl/>
      </w:pPr>
      <w:r>
        <w:t>The same application release can be deployed locally and on an approved VPS through configuration changes rather than a code fork.</w:t>
      </w:r>
    </w:p>
    <w:p>
      <w:pPr>
        <w:pStyle w:val="ListBullet"/>
        <w:spacing w:after="40"/>
        <w:widowControl/>
      </w:pPr>
      <w:r>
        <w:t>Future FastAPI integration can be added without granting direct write access to core pharmacy tables.</w:t>
      </w:r>
    </w:p>
    <w:p>
      <w:pPr>
        <w:pStyle w:val="Heading1"/>
        <w:keepNext/>
        <w:widowControl/>
      </w:pPr>
      <w:r>
        <w:t>Final Architecture Statement</w:t>
      </w:r>
    </w:p>
    <w:p>
      <w:pPr>
        <w:widowControl/>
      </w:pPr>
      <w:r>
        <w:t>GreenlifeAI will use a local-first modular architecture that treats Django and PostgreSQL as the authoritative transaction boundary. React provides the user interface, Docker Compose provides repeatable deployment, and the launcher makes local operation accessible to pharmacy staff. Security, audit, backup, recovery, and migration are part of the production design. Wholesale, multiple branches, online hosting, synchronization, and AI will extend this foundation through explicit interfaces and controlled business rules.</w:t>
      </w:r>
    </w:p>
    <w:sectPr w:rsidR="00FC693F" w:rsidRPr="0006063C" w:rsidSect="00034616">
      <w:footerReference w:type="default" r:id="rId11"/>
      <w:pgSz w:w="12240" w:h="15840"/>
      <w:pgMar w:top="1037"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GreenlifeAI Technical Architecture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Subtitle">
    <w:name w:val="TAS Subtitle"/>
    <w:rPr>
      <w:rFonts w:ascii="Aptos" w:hAnsi="Aptos"/>
      <w:b/>
      <w:color w:val="176B45"/>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GreenlifeAI Technical Architecture Specification</dc:title>
  <dc:subject>Technical architecture for the GreenlifeAI Pharmacy Management System</dc:subject>
  <dc:creator>GreenlifeAI</dc:creator>
  <cp:keywords/>
  <dc:description>generated by python-docx</dc:description>
  <cp:lastModifiedBy/>
  <cp:revision>1</cp:revision>
  <dcterms:created xsi:type="dcterms:W3CDTF">2013-12-23T23:15:00Z</dcterms:created>
  <dcterms:modified xsi:type="dcterms:W3CDTF">2013-12-23T23:15:00Z</dcterms:modified>
  <cp:category/>
</cp:coreProperties>
</file>