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t>Results-to-Thesis Monitoring Copilot</w:t>
      </w:r>
    </w:p>
    <w:p>
      <w:pPr>
        <w:pStyle w:val="Subtitle"/>
      </w:pPr>
      <w:r>
        <w:rPr/>
        <w:t>Phase 1 Pipeline Documentation</w:t>
      </w:r>
    </w:p>
    <w:p>
      <w:pPr>
        <w:pStyle w:val="Author"/>
      </w:pPr>
      <w:r>
        <w:rPr/>
        <w:t>IFSA IIT Kharagpur — prepared for Ambit Investment Advisors</w:t>
      </w:r>
    </w:p>
    <w:p>
      <w:pPr>
        <w:pStyle w:val="Date"/>
      </w:pPr>
      <w:r>
        <w:rPr/>
        <w:t>13 October 2026</w:t>
      </w:r>
    </w:p>
    <w:sdt>
      <w:sdtPr>
        <w:docPartObj>
          <w:docPartGallery w:val="Table of Contents"/>
          <w:docPartUnique/>
        </w:docPartObj>
      </w:sdtPr>
      <w:sdtContent>
        <w:p>
          <w:pPr>
            <w:pStyle w:val="TOCHeading"/>
          </w:pPr>
          <w:r>
            <w:t>Table of Contents</w:t>
          </w:r>
        </w:p>
        <w:p>
          <w:r>
            <w:fldChar w:fldCharType="begin" w:dirty="true"/>
            <w:instrText xml:space="preserve">TOC \o "1-1" \h \z \u</w:instrText>
            <w:fldChar w:fldCharType="separate"/>
            <w:fldChar w:fldCharType="end"/>
          </w:r>
        </w:p>
      </w:sdtContent>
    </w:sdt>
    <w:p>
      <w:pPr>
        <w:pStyle w:val="Heading1"/>
      </w:pPr>
      <w:r>
        <w:rPr>
          <w:color w:val="6B1A0E"/>
        </w:rPr>
        <w:t>1. Overview</w:t>
      </w:r>
    </w:p>
    <w:p>
      <w:pPr>
        <w:pStyle w:val="FirstParagraph"/>
      </w:pPr>
      <w:r>
        <w:rPr/>
        <w:t>The Phase 1 prototype is built and running: a local, rule-based pipeline that turns each company's quarterly filings into a fully sourced, analyst-approved Change Report, at no cost to Ambit.</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340"/>
        <w:gridCol w:w="7020"/>
      </w:tblGrid>
      <w:tr>
        <w:trPr>
          <w:tblHeader w:val="true"/>
        </w:trPr>
        <w:tc>
          <w:tcPr>
            <w:shd w:val="clear" w:color="auto" w:fill="6B1A0E"/>
          </w:tcPr>
          <w:p>
            <w:pPr>
              <w:pStyle w:val="Compact"/>
              <w:jc w:val="left"/>
            </w:pPr>
            <w:r>
              <w:rPr>
                <w:b/>
                <w:color w:val="FFFFFF"/>
                <w:sz w:val="19"/>
              </w:rPr>
              <w:t xml:space="preserve">Item</w:t>
            </w:r>
          </w:p>
        </w:tc>
        <w:tc>
          <w:tcPr>
            <w:shd w:val="clear" w:color="auto" w:fill="6B1A0E"/>
          </w:tcPr>
          <w:p>
            <w:pPr>
              <w:pStyle w:val="Compact"/>
              <w:jc w:val="left"/>
            </w:pPr>
            <w:r>
              <w:rPr>
                <w:b/>
                <w:color w:val="FFFFFF"/>
                <w:sz w:val="19"/>
              </w:rPr>
              <w:t xml:space="preserve">Detail</w:t>
            </w:r>
          </w:p>
        </w:tc>
      </w:tr>
      <w:tr>
        <w:tc>
          <w:tcPr/>
          <w:p>
            <w:pPr>
              <w:pStyle w:val="Compact"/>
              <w:jc w:val="left"/>
            </w:pPr>
            <w:r>
              <w:rPr>
                <w:sz w:val="19"/>
              </w:rPr>
              <w:t xml:space="preserve">Project</w:t>
            </w:r>
          </w:p>
        </w:tc>
        <w:tc>
          <w:tcPr/>
          <w:p>
            <w:pPr>
              <w:pStyle w:val="Compact"/>
              <w:jc w:val="left"/>
            </w:pPr>
            <w:r>
              <w:rPr>
                <w:sz w:val="19"/>
              </w:rPr>
              <w:t xml:space="preserve">Results-to-Thesis Monitoring Copilot</w:t>
            </w:r>
          </w:p>
        </w:tc>
      </w:tr>
      <w:tr>
        <w:tc>
          <w:tcPr/>
          <w:p>
            <w:pPr>
              <w:pStyle w:val="Compact"/>
              <w:jc w:val="left"/>
            </w:pPr>
            <w:r>
              <w:rPr>
                <w:sz w:val="19"/>
              </w:rPr>
              <w:t xml:space="preserve">Client</w:t>
            </w:r>
          </w:p>
        </w:tc>
        <w:tc>
          <w:tcPr/>
          <w:p>
            <w:pPr>
              <w:pStyle w:val="Compact"/>
              <w:jc w:val="left"/>
            </w:pPr>
            <w:r>
              <w:rPr>
                <w:sz w:val="19"/>
              </w:rPr>
              <w:t xml:space="preserve">Ambit Investment Advisors</w:t>
            </w:r>
          </w:p>
        </w:tc>
      </w:tr>
      <w:tr>
        <w:tc>
          <w:tcPr/>
          <w:p>
            <w:pPr>
              <w:pStyle w:val="Compact"/>
              <w:jc w:val="left"/>
            </w:pPr>
            <w:r>
              <w:rPr>
                <w:sz w:val="19"/>
              </w:rPr>
              <w:t xml:space="preserve">Team</w:t>
            </w:r>
          </w:p>
        </w:tc>
        <w:tc>
          <w:tcPr/>
          <w:p>
            <w:pPr>
              <w:pStyle w:val="Compact"/>
              <w:jc w:val="left"/>
            </w:pPr>
            <w:r>
              <w:rPr>
                <w:sz w:val="19"/>
              </w:rPr>
              <w:t xml:space="preserve">IFSA IIT Kharagpur</w:t>
            </w:r>
          </w:p>
        </w:tc>
      </w:tr>
      <w:tr>
        <w:tc>
          <w:tcPr/>
          <w:p>
            <w:pPr>
              <w:pStyle w:val="Compact"/>
              <w:jc w:val="left"/>
            </w:pPr>
            <w:r>
              <w:rPr>
                <w:sz w:val="19"/>
              </w:rPr>
              <w:t xml:space="preserve">Phase</w:t>
            </w:r>
          </w:p>
        </w:tc>
        <w:tc>
          <w:tcPr/>
          <w:p>
            <w:pPr>
              <w:pStyle w:val="Compact"/>
              <w:jc w:val="left"/>
            </w:pPr>
            <w:r>
              <w:rPr>
                <w:sz w:val="19"/>
              </w:rPr>
              <w:t xml:space="preserve">1 — Working prototype (built 6–20 October 2026)</w:t>
            </w:r>
          </w:p>
        </w:tc>
      </w:tr>
      <w:tr>
        <w:tc>
          <w:tcPr/>
          <w:p>
            <w:pPr>
              <w:pStyle w:val="Compact"/>
              <w:jc w:val="left"/>
            </w:pPr>
            <w:r>
              <w:rPr>
                <w:sz w:val="19"/>
              </w:rPr>
              <w:t xml:space="preserve">Coverage</w:t>
            </w:r>
          </w:p>
        </w:tc>
        <w:tc>
          <w:tcPr/>
          <w:p>
            <w:pPr>
              <w:pStyle w:val="Compact"/>
              <w:jc w:val="left"/>
            </w:pPr>
            <w:r>
              <w:rPr>
                <w:sz w:val="19"/>
              </w:rPr>
              <w:t xml:space="preserve">5 companies × 2 quarters (Q4 FY26, Q1 FY27) = 10 Change Reports</w:t>
            </w:r>
          </w:p>
        </w:tc>
      </w:tr>
      <w:tr>
        <w:tc>
          <w:tcPr/>
          <w:p>
            <w:pPr>
              <w:pStyle w:val="Compact"/>
              <w:jc w:val="left"/>
            </w:pPr>
            <w:r>
              <w:rPr>
                <w:sz w:val="19"/>
              </w:rPr>
              <w:t xml:space="preserve">Status</w:t>
            </w:r>
          </w:p>
        </w:tc>
        <w:tc>
          <w:tcPr/>
          <w:p>
            <w:pPr>
              <w:pStyle w:val="Compact"/>
              <w:jc w:val="left"/>
            </w:pPr>
            <w:r>
              <w:rPr>
                <w:sz w:val="19"/>
              </w:rPr>
              <w:t xml:space="preserve">10 of 10 reports approved; every figure re-checked against its source</w:t>
            </w:r>
          </w:p>
        </w:tc>
      </w:tr>
      <w:tr>
        <w:tc>
          <w:tcPr/>
          <w:p>
            <w:pPr>
              <w:pStyle w:val="Compact"/>
              <w:jc w:val="left"/>
            </w:pPr>
            <w:r>
              <w:rPr>
                <w:sz w:val="19"/>
              </w:rPr>
              <w:t xml:space="preserve">Extraction</w:t>
            </w:r>
          </w:p>
        </w:tc>
        <w:tc>
          <w:tcPr/>
          <w:p>
            <w:pPr>
              <w:pStyle w:val="Compact"/>
              <w:jc w:val="left"/>
            </w:pPr>
            <w:r>
              <w:rPr>
                <w:sz w:val="19"/>
              </w:rPr>
              <w:t xml:space="preserve">Rule-based only (no LLM, no paid API)</w:t>
            </w:r>
          </w:p>
        </w:tc>
      </w:tr>
      <w:tr>
        <w:tc>
          <w:tcPr/>
          <w:p>
            <w:pPr>
              <w:pStyle w:val="Compact"/>
              <w:jc w:val="left"/>
            </w:pPr>
            <w:r>
              <w:rPr>
                <w:sz w:val="19"/>
              </w:rPr>
              <w:t xml:space="preserve">Runs on</w:t>
            </w:r>
          </w:p>
        </w:tc>
        <w:tc>
          <w:tcPr/>
          <w:p>
            <w:pPr>
              <w:pStyle w:val="Compact"/>
              <w:jc w:val="left"/>
            </w:pPr>
            <w:r>
              <w:rPr>
                <w:sz w:val="19"/>
              </w:rPr>
              <w:t xml:space="preserve">One local machine (Python 3.11 + SQLite)</w:t>
            </w:r>
          </w:p>
        </w:tc>
      </w:tr>
      <w:tr>
        <w:tc>
          <w:tcPr/>
          <w:p>
            <w:pPr>
              <w:pStyle w:val="Compact"/>
              <w:jc w:val="left"/>
            </w:pPr>
            <w:r>
              <w:rPr>
                <w:sz w:val="19"/>
              </w:rPr>
              <w:t xml:space="preserve">Code</w:t>
            </w:r>
          </w:p>
        </w:tc>
        <w:tc>
          <w:tcPr/>
          <w:p>
            <w:pPr>
              <w:pStyle w:val="Compact"/>
              <w:jc w:val="left"/>
            </w:pPr>
            <w:r>
              <w:rPr>
                <w:sz w:val="19"/>
              </w:rPr>
              <w:t xml:space="preserve">https://github.com/Orion-69420/Ambit-Working-Prototype</w:t>
            </w:r>
          </w:p>
        </w:tc>
      </w:tr>
    </w:tbl>
    <w:p>
      <w:pPr>
        <w:pStyle w:val="BodyText"/>
      </w:pPr>
    </w:p>
    <w:p>
      <w:pPr>
        <w:pStyle w:val="Heading2"/>
      </w:pPr>
      <w:r>
        <w:rPr>
          <w:color w:val="6B1A0E"/>
        </w:rPr>
        <w:t>What the copilot does</w:t>
      </w:r>
    </w:p>
    <w:p>
      <w:pPr>
        <w:pStyle w:val="BodyText"/>
      </w:pPr>
      <w:r>
        <w:rPr/>
        <w:t>When a company announces quarterly results, an analyst reads the results release, investor presentation and call transcript, picks out the figures that matter, compares them with their model and with earlier quarters, and judges what has changed. The copilot does this first pass and produces one Change Report per company and quarter. For every tracked metric the report shows:</w:t>
      </w:r>
    </w:p>
    <w:p>
      <w:pPr>
        <w:numPr>
          <w:ilvl w:val="0"/>
          <w:numId w:val="1002"/>
        </w:numPr>
        <w:pStyle w:val="Compact"/>
      </w:pPr>
      <w:r>
        <w:rPr>
          <w:b/>
        </w:rPr>
        <w:t>The reported value</w:t>
      </w:r>
      <w:r>
        <w:rPr/>
        <w:t>, read from the company's own filing.</w:t>
      </w:r>
    </w:p>
    <w:p>
      <w:pPr>
        <w:numPr>
          <w:ilvl w:val="0"/>
          <w:numId w:val="1002"/>
        </w:numPr>
        <w:pStyle w:val="Compact"/>
      </w:pPr>
      <w:r>
        <w:rPr>
          <w:b/>
        </w:rPr>
        <w:t>The change</w:t>
      </w:r>
      <w:r>
        <w:rPr/>
        <w:t xml:space="preserve"> against the prior quarter, the year-ago quarter and the analyst's estimate, each graded Low, Medium or High by size.</w:t>
      </w:r>
    </w:p>
    <w:p>
      <w:pPr>
        <w:numPr>
          <w:ilvl w:val="0"/>
          <w:numId w:val="1002"/>
        </w:numPr>
        <w:pStyle w:val="Compact"/>
      </w:pPr>
      <w:r>
        <w:rPr>
          <w:b/>
        </w:rPr>
        <w:t>What management said about it</w:t>
      </w:r>
      <w:r>
        <w:rPr/>
        <w:t xml:space="preserve"> — an exact quote from the earnings call, with speaker and page.</w:t>
      </w:r>
    </w:p>
    <w:p>
      <w:pPr>
        <w:numPr>
          <w:ilvl w:val="0"/>
          <w:numId w:val="1002"/>
        </w:numPr>
        <w:pStyle w:val="Compact"/>
      </w:pPr>
      <w:r>
        <w:rPr>
          <w:b/>
        </w:rPr>
        <w:t>Exactly where the figure came from</w:t>
      </w:r>
      <w:r>
        <w:rPr/>
        <w:t xml:space="preserve"> — XBRL tag and context, or PDF page and table row — and whether it passed the automated checks.</w:t>
      </w:r>
    </w:p>
    <w:p>
      <w:pPr>
        <w:pStyle w:val="BodyText"/>
      </w:pPr>
      <w:r>
        <w:rPr/>
        <w:t>Each report opens with a headline summary of the largest moves against estimate, for example:</w:t>
      </w:r>
    </w:p>
    <w:p>
      <w:pPr>
        <w:pStyle w:val="BlockText"/>
      </w:pPr>
      <w:r>
        <w:rPr/>
        <w:t>PAT attributable to owners of ₹5,455 crore was 8.0% above the estimate of ₹5,051 crore (Medium).</w:t>
      </w:r>
    </w:p>
    <w:p>
      <w:pPr>
        <w:pStyle w:val="Heading2"/>
      </w:pPr>
      <w:r>
        <w:rPr>
          <w:color w:val="6B1A0E"/>
        </w:rPr>
        <w:t>Guiding principles</w:t>
      </w:r>
    </w:p>
    <w:p>
      <w:pPr>
        <w:numPr>
          <w:ilvl w:val="0"/>
          <w:numId w:val="1002"/>
        </w:numPr>
        <w:pStyle w:val="Compact"/>
      </w:pPr>
      <w:r>
        <w:rPr>
          <w:b/>
        </w:rPr>
        <w:t>Every figure is sourced.</w:t>
      </w:r>
      <w:r>
        <w:rPr/>
        <w:t xml:space="preserve"> Each number carries its document and page (or XBRL context), period and basis.</w:t>
      </w:r>
    </w:p>
    <w:p>
      <w:pPr>
        <w:numPr>
          <w:ilvl w:val="0"/>
          <w:numId w:val="1002"/>
        </w:numPr>
        <w:pStyle w:val="Compact"/>
      </w:pPr>
      <w:r>
        <w:rPr>
          <w:b/>
        </w:rPr>
        <w:t>The analyst model is read-only.</w:t>
      </w:r>
      <w:r>
        <w:rPr/>
        <w:t xml:space="preserve"> The copilot reads estimates and never writes to the file; its hash is checked before and after every read.</w:t>
      </w:r>
    </w:p>
    <w:p>
      <w:pPr>
        <w:numPr>
          <w:ilvl w:val="0"/>
          <w:numId w:val="1002"/>
        </w:numPr>
        <w:pStyle w:val="Compact"/>
      </w:pPr>
      <w:r>
        <w:rPr>
          <w:b/>
        </w:rPr>
        <w:t>The analyst stays in control.</w:t>
      </w:r>
      <w:r>
        <w:rPr/>
        <w:t xml:space="preserve"> Every item is reviewed and nothing is final without explicit approval; a later change returns the report to Draft.</w:t>
      </w:r>
    </w:p>
    <w:p>
      <w:pPr>
        <w:numPr>
          <w:ilvl w:val="0"/>
          <w:numId w:val="1002"/>
        </w:numPr>
        <w:pStyle w:val="Compact"/>
      </w:pPr>
      <w:r>
        <w:rPr>
          <w:b/>
        </w:rPr>
        <w:t>Missing means missing.</w:t>
      </w:r>
      <w:r>
        <w:rPr/>
        <w:t xml:space="preserve"> An undisclosed or unverified figure is shown in Gaps, never guessed, zero-filled or swapped for another period.</w:t>
      </w:r>
    </w:p>
    <w:p>
      <w:r>
        <w:br w:type="page"/>
      </w:r>
    </w:p>
    <w:p>
      <w:pPr>
        <w:pStyle w:val="Heading1"/>
      </w:pPr>
      <w:r>
        <w:rPr>
          <w:color w:val="6B1A0E"/>
        </w:rPr>
        <w:t>2. Accessing the Prototype</w:t>
      </w:r>
    </w:p>
    <w:p>
      <w:pPr>
        <w:pStyle w:val="FirstParagraph"/>
      </w:pPr>
      <w:r>
        <w:rPr/>
        <w:t>Everything needed to run the copilot is in one Git repository; source documents, the database and the reports are rebuilt locally with five commands.</w:t>
      </w:r>
    </w:p>
    <w:p>
      <w:pPr>
        <w:pStyle w:val="Heading2"/>
      </w:pPr>
      <w:r>
        <w:rPr>
          <w:color w:val="6B1A0E"/>
        </w:rPr>
        <w:t>Where things are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674"/>
        <w:gridCol w:w="3342"/>
        <w:gridCol w:w="3342"/>
      </w:tblGrid>
      <w:tr>
        <w:trPr>
          <w:tblHeader w:val="true"/>
        </w:trPr>
        <w:tc>
          <w:tcPr>
            <w:shd w:val="clear" w:color="auto" w:fill="6B1A0E"/>
          </w:tcPr>
          <w:p>
            <w:pPr>
              <w:pStyle w:val="Compact"/>
              <w:jc w:val="left"/>
            </w:pPr>
            <w:r>
              <w:rPr>
                <w:b/>
                <w:color w:val="FFFFFF"/>
                <w:sz w:val="19"/>
              </w:rPr>
              <w:t xml:space="preserve">What</w:t>
            </w:r>
          </w:p>
        </w:tc>
        <w:tc>
          <w:tcPr>
            <w:shd w:val="clear" w:color="auto" w:fill="6B1A0E"/>
          </w:tcPr>
          <w:p>
            <w:pPr>
              <w:pStyle w:val="Compact"/>
              <w:jc w:val="left"/>
            </w:pPr>
            <w:r>
              <w:rPr>
                <w:b/>
                <w:color w:val="FFFFFF"/>
                <w:sz w:val="19"/>
              </w:rPr>
              <w:t xml:space="preserve">Where</w:t>
            </w:r>
          </w:p>
        </w:tc>
        <w:tc>
          <w:tcPr>
            <w:shd w:val="clear" w:color="auto" w:fill="6B1A0E"/>
          </w:tcPr>
          <w:p>
            <w:pPr>
              <w:pStyle w:val="Compact"/>
              <w:jc w:val="left"/>
            </w:pPr>
            <w:r>
              <w:rPr>
                <w:b/>
                <w:color w:val="FFFFFF"/>
                <w:sz w:val="19"/>
              </w:rPr>
              <w:t xml:space="preserve">Notes</w:t>
            </w:r>
          </w:p>
        </w:tc>
      </w:tr>
      <w:tr>
        <w:tc>
          <w:tcPr/>
          <w:p>
            <w:pPr>
              <w:pStyle w:val="Compact"/>
              <w:jc w:val="left"/>
            </w:pPr>
            <w:r>
              <w:rPr>
                <w:sz w:val="19"/>
              </w:rPr>
              <w:t xml:space="preserve">Source code and configuration</w:t>
            </w:r>
          </w:p>
        </w:tc>
        <w:tc>
          <w:tcPr/>
          <w:p>
            <w:pPr>
              <w:pStyle w:val="Compact"/>
              <w:jc w:val="left"/>
            </w:pPr>
            <w:r>
              <w:rPr>
                <w:sz w:val="19"/>
              </w:rPr>
              <w:t xml:space="preserve">https://github.com/Orion-69420/Ambit-Working-Prototype</w:t>
            </w:r>
          </w:p>
        </w:tc>
        <w:tc>
          <w:tcPr/>
          <w:p>
            <w:pPr>
              <w:pStyle w:val="Compact"/>
              <w:jc w:val="left"/>
            </w:pPr>
            <w:r>
              <w:rPr>
                <w:sz w:val="19"/>
              </w:rPr>
              <w:t xml:space="preserve">Public repository, branch main</w:t>
            </w:r>
          </w:p>
        </w:tc>
      </w:tr>
      <w:tr>
        <w:tc>
          <w:tcPr/>
          <w:p>
            <w:pPr>
              <w:pStyle w:val="Compact"/>
              <w:jc w:val="left"/>
            </w:pPr>
            <w:r>
              <w:rPr>
                <w:sz w:val="19"/>
              </w:rPr>
              <w:t xml:space="preserve">Documentation</w:t>
            </w:r>
          </w:p>
        </w:tc>
        <w:tc>
          <w:tcPr/>
          <w:p>
            <w:pPr>
              <w:pStyle w:val="Compact"/>
              <w:jc w:val="left"/>
            </w:pPr>
            <w:r>
              <w:rPr>
                <w:sz w:val="19"/>
              </w:rPr>
              <w:t xml:space="preserve">README.md and docs/ in the repository</w:t>
            </w:r>
          </w:p>
        </w:tc>
        <w:tc>
          <w:tcPr/>
          <w:p>
            <w:pPr>
              <w:pStyle w:val="Compact"/>
              <w:jc w:val="left"/>
            </w:pPr>
            <w:r>
              <w:rPr>
                <w:sz w:val="19"/>
              </w:rPr>
              <w:t xml:space="preserve">This document is docs/Pipeline_Documentation.docx</w:t>
            </w:r>
          </w:p>
        </w:tc>
      </w:tr>
      <w:tr>
        <w:tc>
          <w:tcPr/>
          <w:p>
            <w:pPr>
              <w:pStyle w:val="Compact"/>
              <w:jc w:val="left"/>
            </w:pPr>
            <w:r>
              <w:rPr>
                <w:sz w:val="19"/>
              </w:rPr>
              <w:t xml:space="preserve">Change Reports (Excel and PDF)</w:t>
            </w:r>
          </w:p>
        </w:tc>
        <w:tc>
          <w:tcPr/>
          <w:p>
            <w:pPr>
              <w:pStyle w:val="Compact"/>
              <w:jc w:val="left"/>
            </w:pPr>
            <w:r>
              <w:rPr>
                <w:sz w:val="19"/>
              </w:rPr>
              <w:t xml:space="preserve">output/ on the machine that ran the pipeline</w:t>
            </w:r>
          </w:p>
        </w:tc>
        <w:tc>
          <w:tcPr/>
          <w:p>
            <w:pPr>
              <w:pStyle w:val="Compact"/>
              <w:jc w:val="left"/>
            </w:pPr>
            <w:r>
              <w:rPr>
                <w:sz w:val="19"/>
              </w:rPr>
              <w:t xml:space="preserve">Not in Git; regenerated with python run.py export</w:t>
            </w:r>
          </w:p>
        </w:tc>
      </w:tr>
      <w:tr>
        <w:tc>
          <w:tcPr/>
          <w:p>
            <w:pPr>
              <w:pStyle w:val="Compact"/>
              <w:jc w:val="left"/>
            </w:pPr>
            <w:r>
              <w:rPr>
                <w:sz w:val="19"/>
              </w:rPr>
              <w:t xml:space="preserve">Source documents and database</w:t>
            </w:r>
          </w:p>
        </w:tc>
        <w:tc>
          <w:tcPr/>
          <w:p>
            <w:pPr>
              <w:pStyle w:val="Compact"/>
              <w:jc w:val="left"/>
            </w:pPr>
            <w:r>
              <w:rPr>
                <w:sz w:val="19"/>
              </w:rPr>
              <w:t xml:space="preserve">data/ on the machine that ran the pipeline</w:t>
            </w:r>
          </w:p>
        </w:tc>
        <w:tc>
          <w:tcPr/>
          <w:p>
            <w:pPr>
              <w:pStyle w:val="Compact"/>
              <w:jc w:val="left"/>
            </w:pPr>
            <w:r>
              <w:rPr>
                <w:sz w:val="19"/>
              </w:rPr>
              <w:t xml:space="preserve">Not in Git; downloaded from NSE and rebuilt locally</w:t>
            </w:r>
          </w:p>
        </w:tc>
      </w:tr>
      <w:tr>
        <w:tc>
          <w:tcPr/>
          <w:p>
            <w:pPr>
              <w:pStyle w:val="Compact"/>
              <w:jc w:val="left"/>
            </w:pPr>
            <w:r>
              <w:rPr>
                <w:sz w:val="19"/>
              </w:rPr>
              <w:t xml:space="preserve">Review screen</w:t>
            </w:r>
          </w:p>
        </w:tc>
        <w:tc>
          <w:tcPr/>
          <w:p>
            <w:pPr>
              <w:pStyle w:val="Compact"/>
              <w:jc w:val="left"/>
            </w:pPr>
            <w:r>
              <w:rPr>
                <w:sz w:val="19"/>
              </w:rPr>
              <w:t xml:space="preserve">http://localhost:8501</w:t>
            </w:r>
          </w:p>
        </w:tc>
        <w:tc>
          <w:tcPr/>
          <w:p>
            <w:pPr>
              <w:pStyle w:val="Compact"/>
              <w:jc w:val="left"/>
            </w:pPr>
            <w:r>
              <w:rPr>
                <w:sz w:val="19"/>
              </w:rPr>
              <w:t xml:space="preserve">Runs locally while streamlit is running</w:t>
            </w:r>
          </w:p>
        </w:tc>
      </w:tr>
    </w:tbl>
    <w:p>
      <w:pPr>
        <w:pStyle w:val="BodyText"/>
      </w:pPr>
    </w:p>
    <w:p>
      <w:pPr>
        <w:pStyle w:val="Heading2"/>
      </w:pPr>
      <w:r>
        <w:rPr>
          <w:color w:val="6B1A0E"/>
        </w:rPr>
        <w:t>Prerequisites</w:t>
      </w:r>
    </w:p>
    <w:p>
      <w:pPr>
        <w:numPr>
          <w:ilvl w:val="0"/>
          <w:numId w:val="1002"/>
        </w:numPr>
        <w:pStyle w:val="Compact"/>
      </w:pPr>
      <w:r>
        <w:rPr/>
        <w:t>Python 3.11 (Windows, macOS or Linux).</w:t>
      </w:r>
    </w:p>
    <w:p>
      <w:pPr>
        <w:numPr>
          <w:ilvl w:val="0"/>
          <w:numId w:val="1002"/>
        </w:numPr>
        <w:pStyle w:val="Compact"/>
      </w:pPr>
      <w:r>
        <w:rPr/>
        <w:t>Git, to clone the repository.</w:t>
      </w:r>
    </w:p>
    <w:p>
      <w:pPr>
        <w:numPr>
          <w:ilvl w:val="0"/>
          <w:numId w:val="1002"/>
        </w:numPr>
        <w:pStyle w:val="Compact"/>
      </w:pPr>
      <w:r>
        <w:rPr/>
        <w:t>Internet access to nseindia.com, only for the one-off document download.</w:t>
      </w:r>
    </w:p>
    <w:p>
      <w:pPr>
        <w:numPr>
          <w:ilvl w:val="0"/>
          <w:numId w:val="1002"/>
        </w:numPr>
        <w:pStyle w:val="Compact"/>
      </w:pPr>
      <w:r>
        <w:rPr/>
        <w:t>About 400 MB of disk space for the source documents.</w:t>
      </w:r>
    </w:p>
    <w:p>
      <w:pPr>
        <w:pStyle w:val="Heading2"/>
      </w:pPr>
      <w:r>
        <w:rPr>
          <w:color w:val="6B1A0E"/>
        </w:rPr>
        <w:t>Install</w:t>
      </w:r>
    </w:p>
    <w:p>
      <w:pPr>
        <w:pStyle w:val="SourceCode"/>
      </w:pPr>
      <w:r>
        <w:rPr>
          <w:rStyle w:val="VerbatimChar"/>
        </w:rPr>
        <w:t>git clone https://github.com/Orion-69420/Ambit-Working-Prototype.git</w:t>
      </w:r>
      <w:r>
        <w:br/>
      </w:r>
      <w:r>
        <w:rPr>
          <w:rStyle w:val="VerbatimChar"/>
        </w:rPr>
        <w:t>cd Ambit-Working-Prototype</w:t>
      </w:r>
      <w:r>
        <w:br/>
      </w:r>
      <w:r>
        <w:rPr>
          <w:rStyle w:val="VerbatimChar"/>
        </w:rPr>
        <w:t>py -3.11 -m venv .venv</w:t>
      </w:r>
      <w:r>
        <w:br/>
      </w:r>
      <w:r>
        <w:rPr>
          <w:rStyle w:val="VerbatimChar"/>
        </w:rPr>
        <w:t>.venv\Scripts\activate</w:t>
      </w:r>
      <w:r>
        <w:br/>
      </w:r>
      <w:r>
        <w:rPr>
          <w:rStyle w:val="VerbatimChar"/>
        </w:rPr>
        <w:t>pip install -r requirements.txt</w:t>
      </w:r>
    </w:p>
    <w:p>
      <w:pPr>
        <w:pStyle w:val="BodyText"/>
      </w:pPr>
      <w:r>
        <w:rPr/>
        <w:t>On macOS or Linux, create the environment with python3.11 -m venv .venv and activate it with source .venv/bin/activate.</w:t>
      </w:r>
    </w:p>
    <w:p>
      <w:pPr>
        <w:pStyle w:val="Heading2"/>
      </w:pPr>
      <w:r>
        <w:rPr>
          <w:color w:val="6B1A0E"/>
        </w:rPr>
        <w:t>Build the data and the reports</w:t>
      </w:r>
    </w:p>
    <w:p>
      <w:pPr>
        <w:pStyle w:val="SourceCode"/>
      </w:pPr>
      <w:r>
        <w:rPr>
          <w:rStyle w:val="VerbatimChar"/>
        </w:rPr>
        <w:t>python scripts/collect_sources.py</w:t>
      </w:r>
      <w:r>
        <w:br/>
      </w:r>
      <w:r>
        <w:rPr>
          <w:rStyle w:val="VerbatimChar"/>
        </w:rPr>
        <w:t>python run.py init-db</w:t>
      </w:r>
      <w:r>
        <w:br/>
      </w:r>
      <w:r>
        <w:rPr>
          <w:rStyle w:val="VerbatimChar"/>
        </w:rPr>
        <w:t>python run.py ingest --company all --quarter all</w:t>
      </w:r>
      <w:r>
        <w:br/>
      </w:r>
      <w:r>
        <w:rPr>
          <w:rStyle w:val="VerbatimChar"/>
        </w:rPr>
        <w:t>python run.py run    --company all --quarter all</w:t>
      </w:r>
      <w:r>
        <w:br/>
      </w:r>
      <w:r>
        <w:rPr>
          <w:rStyle w:val="VerbatimChar"/>
        </w:rPr>
        <w:t>python run.py export --company all --quarter all</w:t>
      </w:r>
    </w:p>
    <w:p>
      <w:pPr>
        <w:numPr>
          <w:ilvl w:val="0"/>
          <w:numId w:val="3001"/>
        </w:numPr>
        <w:pStyle w:val="Compact"/>
      </w:pPr>
      <w:r>
        <w:rPr/>
        <w:t>Download the filings from NSE into data/ and record each file's URL, date and SHA-256.</w:t>
      </w:r>
    </w:p>
    <w:p>
      <w:pPr>
        <w:numPr>
          <w:ilvl w:val="0"/>
          <w:numId w:val="3001"/>
        </w:numPr>
        <w:pStyle w:val="Compact"/>
      </w:pPr>
      <w:r>
        <w:rPr/>
        <w:t>Create the SQLite database.</w:t>
      </w:r>
    </w:p>
    <w:p>
      <w:pPr>
        <w:numPr>
          <w:ilvl w:val="0"/>
          <w:numId w:val="3001"/>
        </w:numPr>
        <w:pStyle w:val="Compact"/>
      </w:pPr>
      <w:r>
        <w:rPr/>
        <w:t>Register every document (hash-checked) and store each PDF page's text.</w:t>
      </w:r>
    </w:p>
    <w:p>
      <w:pPr>
        <w:numPr>
          <w:ilvl w:val="0"/>
          <w:numId w:val="3001"/>
        </w:numPr>
        <w:pStyle w:val="Compact"/>
      </w:pPr>
      <w:r>
        <w:rPr/>
        <w:t>Extract figures, read estimates, run the checks, compare and grade, and extract transcript statements.</w:t>
      </w:r>
    </w:p>
    <w:p>
      <w:pPr>
        <w:numPr>
          <w:ilvl w:val="0"/>
          <w:numId w:val="3001"/>
        </w:numPr>
        <w:pStyle w:val="Compact"/>
      </w:pPr>
      <w:r>
        <w:rPr/>
        <w:t>Write every report to Excel and PDF in output/.</w:t>
      </w:r>
    </w:p>
    <w:p>
      <w:pPr>
        <w:pStyle w:val="BodyText"/>
      </w:pPr>
      <w:r>
        <w:rPr/>
        <w:t>The company option accepts TITAN, ASIANPAINT, MM, INFY, RELIANCE or all; the quarter option accepts Q4FY25, Q1FY26, Q3FY26, Q4FY26, Q1FY27 or all. A single report can be rebuilt on its own:</w:t>
      </w:r>
    </w:p>
    <w:p>
      <w:pPr>
        <w:pStyle w:val="SourceCode"/>
      </w:pPr>
      <w:r>
        <w:rPr>
          <w:rStyle w:val="VerbatimChar"/>
        </w:rPr>
        <w:t>python run.py run --company MM --quarter Q1FY27</w:t>
      </w:r>
    </w:p>
    <w:p>
      <w:pPr>
        <w:pStyle w:val="BodyText"/>
      </w:pPr>
      <w:r>
        <w:rPr/>
        <w:t>This also processes the report's comparator quarters.</w:t>
      </w:r>
    </w:p>
    <w:p>
      <w:pPr>
        <w:pStyle w:val="Heading2"/>
      </w:pPr>
      <w:r>
        <w:rPr>
          <w:color w:val="6B1A0E"/>
        </w:rPr>
        <w:t>Open the review screen</w:t>
      </w:r>
    </w:p>
    <w:p>
      <w:pPr>
        <w:pStyle w:val="SourceCode"/>
      </w:pPr>
      <w:r>
        <w:rPr>
          <w:rStyle w:val="VerbatimChar"/>
        </w:rPr>
        <w:t>streamlit run app.py --server.address localhost</w:t>
      </w:r>
    </w:p>
    <w:p>
      <w:pPr>
        <w:numPr>
          <w:ilvl w:val="0"/>
          <w:numId w:val="3002"/>
        </w:numPr>
        <w:pStyle w:val="Compact"/>
      </w:pPr>
      <w:r>
        <w:rPr/>
        <w:t>Open http://localhost:8501 in a browser.</w:t>
      </w:r>
    </w:p>
    <w:p>
      <w:pPr>
        <w:numPr>
          <w:ilvl w:val="0"/>
          <w:numId w:val="3002"/>
        </w:numPr>
        <w:pStyle w:val="Compact"/>
      </w:pPr>
      <w:r>
        <w:rPr/>
        <w:t>Enter the reviewer's name in the sidebar and pick a company and quarter.</w:t>
      </w:r>
    </w:p>
    <w:p>
      <w:pPr>
        <w:numPr>
          <w:ilvl w:val="0"/>
          <w:numId w:val="3002"/>
        </w:numPr>
        <w:pStyle w:val="Compact"/>
      </w:pPr>
      <w:r>
        <w:rPr/>
        <w:t>Open any row to see the source behind the figure: the PDF page image, the XBRL fact and context, or the analyst-model cell.</w:t>
      </w:r>
    </w:p>
    <w:p>
      <w:pPr>
        <w:numPr>
          <w:ilvl w:val="0"/>
          <w:numId w:val="3002"/>
        </w:numPr>
        <w:pStyle w:val="Compact"/>
      </w:pPr>
      <w:r>
        <w:rPr/>
        <w:t>Approve, reject, comment on or correct each item; then click Approve report and Export Excel + PDF.</w:t>
      </w:r>
    </w:p>
    <w:p>
      <w:pPr>
        <w:numPr>
          <w:ilvl w:val="0"/>
          <w:numId w:val="3002"/>
        </w:numPr>
        <w:pStyle w:val="Compact"/>
      </w:pPr>
      <w:r>
        <w:rPr/>
        <w:t>Downloads are offered on the screen; the files are also written to output/.</w:t>
      </w:r>
    </w:p>
    <w:p>
      <w:pPr>
        <w:pStyle w:val="Heading2"/>
      </w:pPr>
      <w:r>
        <w:rPr>
          <w:color w:val="6B1A0E"/>
        </w:rPr>
        <w:t>Command reference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120"/>
        <w:gridCol w:w="6240"/>
      </w:tblGrid>
      <w:tr>
        <w:trPr>
          <w:tblHeader w:val="true"/>
        </w:trPr>
        <w:tc>
          <w:tcPr>
            <w:shd w:val="clear" w:color="auto" w:fill="6B1A0E"/>
          </w:tcPr>
          <w:p>
            <w:pPr>
              <w:pStyle w:val="Compact"/>
              <w:jc w:val="left"/>
            </w:pPr>
            <w:r>
              <w:rPr>
                <w:b/>
                <w:color w:val="FFFFFF"/>
                <w:sz w:val="19"/>
              </w:rPr>
              <w:t xml:space="preserve">Command</w:t>
            </w:r>
          </w:p>
        </w:tc>
        <w:tc>
          <w:tcPr>
            <w:shd w:val="clear" w:color="auto" w:fill="6B1A0E"/>
          </w:tcPr>
          <w:p>
            <w:pPr>
              <w:pStyle w:val="Compact"/>
              <w:jc w:val="left"/>
            </w:pPr>
            <w:r>
              <w:rPr>
                <w:b/>
                <w:color w:val="FFFFFF"/>
                <w:sz w:val="19"/>
              </w:rPr>
              <w:t xml:space="preserve">Does</w:t>
            </w:r>
          </w:p>
        </w:tc>
      </w:tr>
      <w:tr>
        <w:tc>
          <w:tcPr/>
          <w:p>
            <w:pPr>
              <w:pStyle w:val="Compact"/>
              <w:jc w:val="left"/>
            </w:pPr>
            <w:r>
              <w:rPr>
                <w:sz w:val="19"/>
              </w:rPr>
              <w:t xml:space="preserve">python run.py check-config</w:t>
            </w:r>
          </w:p>
        </w:tc>
        <w:tc>
          <w:tcPr/>
          <w:p>
            <w:pPr>
              <w:pStyle w:val="Compact"/>
              <w:jc w:val="left"/>
            </w:pPr>
            <w:r>
              <w:rPr>
                <w:sz w:val="19"/>
              </w:rPr>
              <w:t xml:space="preserve">Validate every configuration file; stops with a clear error on unknown units, duplicate IDs or undefined inputs</w:t>
            </w:r>
          </w:p>
        </w:tc>
      </w:tr>
      <w:tr>
        <w:tc>
          <w:tcPr/>
          <w:p>
            <w:pPr>
              <w:pStyle w:val="Compact"/>
              <w:jc w:val="left"/>
            </w:pPr>
            <w:r>
              <w:rPr>
                <w:sz w:val="19"/>
              </w:rPr>
              <w:t xml:space="preserve">python run.py ingest …</w:t>
            </w:r>
          </w:p>
        </w:tc>
        <w:tc>
          <w:tcPr/>
          <w:p>
            <w:pPr>
              <w:pStyle w:val="Compact"/>
              <w:jc w:val="left"/>
            </w:pPr>
            <w:r>
              <w:rPr>
                <w:sz w:val="19"/>
              </w:rPr>
              <w:t xml:space="preserve">Register documents (hash-checked) and store each PDF page's text</w:t>
            </w:r>
          </w:p>
        </w:tc>
      </w:tr>
      <w:tr>
        <w:tc>
          <w:tcPr/>
          <w:p>
            <w:pPr>
              <w:pStyle w:val="Compact"/>
              <w:jc w:val="left"/>
            </w:pPr>
            <w:r>
              <w:rPr>
                <w:sz w:val="19"/>
              </w:rPr>
              <w:t xml:space="preserve">python run.py run …</w:t>
            </w:r>
          </w:p>
        </w:tc>
        <w:tc>
          <w:tcPr/>
          <w:p>
            <w:pPr>
              <w:pStyle w:val="Compact"/>
              <w:jc w:val="left"/>
            </w:pPr>
            <w:r>
              <w:rPr>
                <w:sz w:val="19"/>
              </w:rPr>
              <w:t xml:space="preserve">Extract XBRL and PDF figures, read estimates, run checks, compare and grade, extract transcript statements</w:t>
            </w:r>
          </w:p>
        </w:tc>
      </w:tr>
      <w:tr>
        <w:tc>
          <w:tcPr/>
          <w:p>
            <w:pPr>
              <w:pStyle w:val="Compact"/>
              <w:jc w:val="left"/>
            </w:pPr>
            <w:r>
              <w:rPr>
                <w:sz w:val="19"/>
              </w:rPr>
              <w:t xml:space="preserve">python run.py export …</w:t>
            </w:r>
          </w:p>
        </w:tc>
        <w:tc>
          <w:tcPr/>
          <w:p>
            <w:pPr>
              <w:pStyle w:val="Compact"/>
              <w:jc w:val="left"/>
            </w:pPr>
            <w:r>
              <w:rPr>
                <w:sz w:val="19"/>
              </w:rPr>
              <w:t xml:space="preserve">Write each report to Excel and PDF (APPROVED from the saved snapshot, otherwise DRAFT)</w:t>
            </w:r>
          </w:p>
        </w:tc>
      </w:tr>
      <w:tr>
        <w:tc>
          <w:tcPr/>
          <w:p>
            <w:pPr>
              <w:pStyle w:val="Compact"/>
              <w:jc w:val="left"/>
            </w:pPr>
            <w:r>
              <w:rPr>
                <w:sz w:val="19"/>
              </w:rPr>
              <w:t xml:space="preserve">python scripts/verify_register.py</w:t>
            </w:r>
          </w:p>
        </w:tc>
        <w:tc>
          <w:tcPr/>
          <w:p>
            <w:pPr>
              <w:pStyle w:val="Compact"/>
              <w:jc w:val="left"/>
            </w:pPr>
            <w:r>
              <w:rPr>
                <w:sz w:val="19"/>
              </w:rPr>
              <w:t xml:space="preserve">Re-read every displayed figure from its source into docs/manual_verification.csv</w:t>
            </w:r>
          </w:p>
        </w:tc>
      </w:tr>
      <w:tr>
        <w:tc>
          <w:tcPr/>
          <w:p>
            <w:pPr>
              <w:pStyle w:val="Compact"/>
              <w:jc w:val="left"/>
            </w:pPr>
            <w:r>
              <w:rPr>
                <w:sz w:val="19"/>
              </w:rPr>
              <w:t xml:space="preserve">python scripts/check_procedure.py</w:t>
            </w:r>
          </w:p>
        </w:tc>
        <w:tc>
          <w:tcPr/>
          <w:p>
            <w:pPr>
              <w:pStyle w:val="Compact"/>
              <w:jc w:val="left"/>
            </w:pPr>
            <w:r>
              <w:rPr>
                <w:sz w:val="19"/>
              </w:rPr>
              <w:t xml:space="preserve">Cross-check the build against every requirement of the Phase 1 procedure</w:t>
            </w:r>
          </w:p>
        </w:tc>
      </w:tr>
      <w:tr>
        <w:tc>
          <w:tcPr/>
          <w:p>
            <w:pPr>
              <w:pStyle w:val="Compact"/>
              <w:jc w:val="left"/>
            </w:pPr>
            <w:r>
              <w:rPr>
                <w:sz w:val="19"/>
              </w:rPr>
              <w:t xml:space="preserve">pytest</w:t>
            </w:r>
          </w:p>
        </w:tc>
        <w:tc>
          <w:tcPr/>
          <w:p>
            <w:pPr>
              <w:pStyle w:val="Compact"/>
              <w:jc w:val="left"/>
            </w:pPr>
            <w:r>
              <w:rPr>
                <w:sz w:val="19"/>
              </w:rPr>
              <w:t xml:space="preserve">Run the automated test suite</w:t>
            </w:r>
          </w:p>
        </w:tc>
      </w:tr>
    </w:tbl>
    <w:p>
      <w:pPr>
        <w:pStyle w:val="BodyText"/>
      </w:pPr>
    </w:p>
    <w:p>
      <w:r>
        <w:br w:type="page"/>
      </w:r>
    </w:p>
    <w:p>
      <w:pPr>
        <w:pStyle w:val="Heading1"/>
      </w:pPr>
      <w:r>
        <w:rPr>
          <w:color w:val="6B1A0E"/>
        </w:rPr>
        <w:t>3. Pipeline at a Glance</w:t>
      </w:r>
    </w:p>
    <w:p>
      <w:pPr>
        <w:pStyle w:val="FirstParagraph"/>
      </w:pPr>
      <w:r>
        <w:rPr/>
        <w:t>The prototype is a single Python application with one SQLite database: a straight pipeline from source documents to an analyst-approved report, with every step written to an append-only audit log.</w:t>
      </w:r>
    </w:p>
    <w:p>
      <w:pPr>
        <w:pStyle w:val="Heading2"/>
      </w:pPr>
      <w:r>
        <w:rPr>
          <w:color w:val="6B1A0E"/>
        </w:rPr>
        <w:t>Pipeline</w:t>
      </w:r>
    </w:p>
    <w:p>
      <w:pPr>
        <w:numPr>
          <w:ilvl w:val="0"/>
          <w:numId w:val="3003"/>
        </w:numPr>
        <w:pStyle w:val="Compact"/>
      </w:pPr>
      <w:r>
        <w:rPr>
          <w:b/>
        </w:rPr>
        <w:t>Collect</w:t>
      </w:r>
      <w:r>
        <w:rPr/>
        <w:t xml:space="preserve"> — download each company's XBRL filing, results release, investor presentation and call transcript from NSE and record each file with its URL, date and SHA-256.</w:t>
      </w:r>
    </w:p>
    <w:p>
      <w:pPr>
        <w:numPr>
          <w:ilvl w:val="0"/>
          <w:numId w:val="3003"/>
        </w:numPr>
        <w:pStyle w:val="Compact"/>
      </w:pPr>
      <w:r>
        <w:rPr>
          <w:b/>
        </w:rPr>
        <w:t>Ingest</w:t>
      </w:r>
      <w:r>
        <w:rPr/>
        <w:t xml:space="preserve"> — register each document after checking its hash; store the text of every PDF page.</w:t>
      </w:r>
    </w:p>
    <w:p>
      <w:pPr>
        <w:numPr>
          <w:ilvl w:val="0"/>
          <w:numId w:val="3003"/>
        </w:numPr>
        <w:pStyle w:val="Compact"/>
      </w:pPr>
      <w:r>
        <w:rPr>
          <w:b/>
        </w:rPr>
        <w:t>Extract</w:t>
      </w:r>
      <w:r>
        <w:rPr/>
        <w:t xml:space="preserve"> — core financials and segments from XBRL; operating KPIs from PDFs with per-company rules; guidance, explanations and flags from transcripts; estimates from the analyst model (read-only).</w:t>
      </w:r>
    </w:p>
    <w:p>
      <w:pPr>
        <w:numPr>
          <w:ilvl w:val="0"/>
          <w:numId w:val="3003"/>
        </w:numPr>
        <w:pStyle w:val="Compact"/>
      </w:pPr>
      <w:r>
        <w:rPr>
          <w:b/>
        </w:rPr>
        <w:t>Verify</w:t>
      </w:r>
      <w:r>
        <w:rPr/>
        <w:t xml:space="preserve"> — automated checks on source, period, basis, unit and reconciliations; failures marked Low confidence.</w:t>
      </w:r>
    </w:p>
    <w:p>
      <w:pPr>
        <w:numPr>
          <w:ilvl w:val="0"/>
          <w:numId w:val="3003"/>
        </w:numPr>
        <w:pStyle w:val="Compact"/>
      </w:pPr>
      <w:r>
        <w:rPr>
          <w:b/>
        </w:rPr>
        <w:t>Compare</w:t>
      </w:r>
      <w:r>
        <w:rPr/>
        <w:t xml:space="preserve"> — change vs prior quarter, year-ago quarter and estimate; grade against thresholds.</w:t>
      </w:r>
    </w:p>
    <w:p>
      <w:pPr>
        <w:numPr>
          <w:ilvl w:val="0"/>
          <w:numId w:val="3003"/>
        </w:numPr>
        <w:pStyle w:val="Compact"/>
      </w:pPr>
      <w:r>
        <w:rPr>
          <w:b/>
        </w:rPr>
        <w:t>Report</w:t>
      </w:r>
      <w:r>
        <w:rPr/>
        <w:t xml:space="preserve"> — assemble the Change Report for each company and quarter.</w:t>
      </w:r>
    </w:p>
    <w:p>
      <w:pPr>
        <w:numPr>
          <w:ilvl w:val="0"/>
          <w:numId w:val="3003"/>
        </w:numPr>
        <w:pStyle w:val="Compact"/>
      </w:pPr>
      <w:r>
        <w:rPr>
          <w:b/>
        </w:rPr>
        <w:t>Review</w:t>
      </w:r>
      <w:r>
        <w:rPr/>
        <w:t xml:space="preserve"> — the analyst checks each item on the review screen and approves the report.</w:t>
      </w:r>
    </w:p>
    <w:p>
      <w:pPr>
        <w:numPr>
          <w:ilvl w:val="0"/>
          <w:numId w:val="3003"/>
        </w:numPr>
        <w:pStyle w:val="Compact"/>
      </w:pPr>
      <w:r>
        <w:rPr>
          <w:b/>
        </w:rPr>
        <w:t>Export</w:t>
      </w:r>
      <w:r>
        <w:rPr/>
        <w:t xml:space="preserve"> — the approved report to Excel and PDF from the same saved snapshot.</w:t>
      </w:r>
    </w:p>
    <w:p>
      <w:pPr>
        <w:pStyle w:val="Heading2"/>
      </w:pPr>
      <w:r>
        <w:rPr>
          <w:color w:val="6B1A0E"/>
        </w:rPr>
        <w:t>Modules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120"/>
        <w:gridCol w:w="6240"/>
      </w:tblGrid>
      <w:tr>
        <w:trPr>
          <w:tblHeader w:val="true"/>
        </w:trPr>
        <w:tc>
          <w:tcPr>
            <w:shd w:val="clear" w:color="auto" w:fill="6B1A0E"/>
          </w:tcPr>
          <w:p>
            <w:pPr>
              <w:pStyle w:val="Compact"/>
              <w:jc w:val="left"/>
            </w:pPr>
            <w:r>
              <w:rPr>
                <w:b/>
                <w:color w:val="FFFFFF"/>
                <w:sz w:val="19"/>
              </w:rPr>
              <w:t xml:space="preserve">Module</w:t>
            </w:r>
          </w:p>
        </w:tc>
        <w:tc>
          <w:tcPr>
            <w:shd w:val="clear" w:color="auto" w:fill="6B1A0E"/>
          </w:tcPr>
          <w:p>
            <w:pPr>
              <w:pStyle w:val="Compact"/>
              <w:jc w:val="left"/>
            </w:pPr>
            <w:r>
              <w:rPr>
                <w:b/>
                <w:color w:val="FFFFFF"/>
                <w:sz w:val="19"/>
              </w:rPr>
              <w:t xml:space="preserve">Responsibility</w:t>
            </w:r>
          </w:p>
        </w:tc>
      </w:tr>
      <w:tr>
        <w:tc>
          <w:tcPr/>
          <w:p>
            <w:pPr>
              <w:pStyle w:val="Compact"/>
              <w:jc w:val="left"/>
            </w:pPr>
            <w:r>
              <w:rPr>
                <w:sz w:val="19"/>
              </w:rPr>
              <w:t xml:space="preserve">scripts/collect_sources.py</w:t>
            </w:r>
          </w:p>
        </w:tc>
        <w:tc>
          <w:tcPr/>
          <w:p>
            <w:pPr>
              <w:pStyle w:val="Compact"/>
              <w:jc w:val="left"/>
            </w:pPr>
            <w:r>
              <w:rPr>
                <w:sz w:val="19"/>
              </w:rPr>
              <w:t xml:space="preserve">Find and download each document from NSE; record it in config/sources.yaml</w:t>
            </w:r>
          </w:p>
        </w:tc>
      </w:tr>
      <w:tr>
        <w:tc>
          <w:tcPr/>
          <w:p>
            <w:pPr>
              <w:pStyle w:val="Compact"/>
              <w:jc w:val="left"/>
            </w:pPr>
            <w:r>
              <w:rPr>
                <w:sz w:val="19"/>
              </w:rPr>
              <w:t xml:space="preserve">copilot/ingest.py</w:t>
            </w:r>
          </w:p>
        </w:tc>
        <w:tc>
          <w:tcPr/>
          <w:p>
            <w:pPr>
              <w:pStyle w:val="Compact"/>
              <w:jc w:val="left"/>
            </w:pPr>
            <w:r>
              <w:rPr>
                <w:sz w:val="19"/>
              </w:rPr>
              <w:t xml:space="preserve">Register files, check SHA-256 hashes, store page text, flag scanned pages</w:t>
            </w:r>
          </w:p>
        </w:tc>
      </w:tr>
      <w:tr>
        <w:tc>
          <w:tcPr/>
          <w:p>
            <w:pPr>
              <w:pStyle w:val="Compact"/>
              <w:jc w:val="left"/>
            </w:pPr>
            <w:r>
              <w:rPr>
                <w:sz w:val="19"/>
              </w:rPr>
              <w:t xml:space="preserve">copilot/xbrl_extract.py</w:t>
            </w:r>
          </w:p>
        </w:tc>
        <w:tc>
          <w:tcPr/>
          <w:p>
            <w:pPr>
              <w:pStyle w:val="Compact"/>
              <w:jc w:val="left"/>
            </w:pPr>
            <w:r>
              <w:rPr>
                <w:sz w:val="19"/>
              </w:rPr>
              <w:t xml:space="preserve">Parse XBRL contexts, units and facts; map them to metrics and segments</w:t>
            </w:r>
          </w:p>
        </w:tc>
      </w:tr>
      <w:tr>
        <w:tc>
          <w:tcPr/>
          <w:p>
            <w:pPr>
              <w:pStyle w:val="Compact"/>
              <w:jc w:val="left"/>
            </w:pPr>
            <w:r>
              <w:rPr>
                <w:sz w:val="19"/>
              </w:rPr>
              <w:t xml:space="preserve">copilot/pdf_extract.py</w:t>
            </w:r>
          </w:p>
        </w:tc>
        <w:tc>
          <w:tcPr/>
          <w:p>
            <w:pPr>
              <w:pStyle w:val="Compact"/>
              <w:jc w:val="left"/>
            </w:pPr>
            <w:r>
              <w:rPr>
                <w:sz w:val="19"/>
              </w:rPr>
              <w:t xml:space="preserve">Apply per-company rules to presentations and fact sheets</w:t>
            </w:r>
          </w:p>
        </w:tc>
      </w:tr>
      <w:tr>
        <w:tc>
          <w:tcPr/>
          <w:p>
            <w:pPr>
              <w:pStyle w:val="Compact"/>
              <w:jc w:val="left"/>
            </w:pPr>
            <w:r>
              <w:rPr>
                <w:sz w:val="19"/>
              </w:rPr>
              <w:t xml:space="preserve">copilot/estimates.py</w:t>
            </w:r>
          </w:p>
        </w:tc>
        <w:tc>
          <w:tcPr/>
          <w:p>
            <w:pPr>
              <w:pStyle w:val="Compact"/>
              <w:jc w:val="left"/>
            </w:pPr>
            <w:r>
              <w:rPr>
                <w:sz w:val="19"/>
              </w:rPr>
              <w:t xml:space="preserve">Read mapped cells from the analyst model, read-only</w:t>
            </w:r>
          </w:p>
        </w:tc>
      </w:tr>
      <w:tr>
        <w:tc>
          <w:tcPr/>
          <w:p>
            <w:pPr>
              <w:pStyle w:val="Compact"/>
              <w:jc w:val="left"/>
            </w:pPr>
            <w:r>
              <w:rPr>
                <w:sz w:val="19"/>
              </w:rPr>
              <w:t xml:space="preserve">copilot/commentary.py</w:t>
            </w:r>
          </w:p>
        </w:tc>
        <w:tc>
          <w:tcPr/>
          <w:p>
            <w:pPr>
              <w:pStyle w:val="Compact"/>
              <w:jc w:val="left"/>
            </w:pPr>
            <w:r>
              <w:rPr>
                <w:sz w:val="19"/>
              </w:rPr>
              <w:t xml:space="preserve">Speaker turns, guidance, explanations, flags, prior-quarter comparison</w:t>
            </w:r>
          </w:p>
        </w:tc>
      </w:tr>
      <w:tr>
        <w:tc>
          <w:tcPr/>
          <w:p>
            <w:pPr>
              <w:pStyle w:val="Compact"/>
              <w:jc w:val="left"/>
            </w:pPr>
            <w:r>
              <w:rPr>
                <w:sz w:val="19"/>
              </w:rPr>
              <w:t xml:space="preserve">copilot/verify.py</w:t>
            </w:r>
          </w:p>
        </w:tc>
        <w:tc>
          <w:tcPr/>
          <w:p>
            <w:pPr>
              <w:pStyle w:val="Compact"/>
              <w:jc w:val="left"/>
            </w:pPr>
            <w:r>
              <w:rPr>
                <w:sz w:val="19"/>
              </w:rPr>
              <w:t xml:space="preserve">Automated checks and confidence status</w:t>
            </w:r>
          </w:p>
        </w:tc>
      </w:tr>
      <w:tr>
        <w:tc>
          <w:tcPr/>
          <w:p>
            <w:pPr>
              <w:pStyle w:val="Compact"/>
              <w:jc w:val="left"/>
            </w:pPr>
            <w:r>
              <w:rPr>
                <w:sz w:val="19"/>
              </w:rPr>
              <w:t xml:space="preserve">copilot/compare.py</w:t>
            </w:r>
          </w:p>
        </w:tc>
        <w:tc>
          <w:tcPr/>
          <w:p>
            <w:pPr>
              <w:pStyle w:val="Compact"/>
              <w:jc w:val="left"/>
            </w:pPr>
            <w:r>
              <w:rPr>
                <w:sz w:val="19"/>
              </w:rPr>
              <w:t xml:space="preserve">QoQ, YoY and vs-estimate changes; severity grades</w:t>
            </w:r>
          </w:p>
        </w:tc>
      </w:tr>
      <w:tr>
        <w:tc>
          <w:tcPr/>
          <w:p>
            <w:pPr>
              <w:pStyle w:val="Compact"/>
              <w:jc w:val="left"/>
            </w:pPr>
            <w:r>
              <w:rPr>
                <w:sz w:val="19"/>
              </w:rPr>
              <w:t xml:space="preserve">copilot/report.py</w:t>
            </w:r>
          </w:p>
        </w:tc>
        <w:tc>
          <w:tcPr/>
          <w:p>
            <w:pPr>
              <w:pStyle w:val="Compact"/>
              <w:jc w:val="left"/>
            </w:pPr>
            <w:r>
              <w:rPr>
                <w:sz w:val="19"/>
              </w:rPr>
              <w:t xml:space="preserve">Build the report; review state, approval rule, fingerprint</w:t>
            </w:r>
          </w:p>
        </w:tc>
      </w:tr>
      <w:tr>
        <w:tc>
          <w:tcPr/>
          <w:p>
            <w:pPr>
              <w:pStyle w:val="Compact"/>
              <w:jc w:val="left"/>
            </w:pPr>
            <w:r>
              <w:rPr>
                <w:sz w:val="19"/>
              </w:rPr>
              <w:t xml:space="preserve">copilot/review.py</w:t>
            </w:r>
          </w:p>
        </w:tc>
        <w:tc>
          <w:tcPr/>
          <w:p>
            <w:pPr>
              <w:pStyle w:val="Compact"/>
              <w:jc w:val="left"/>
            </w:pPr>
            <w:r>
              <w:rPr>
                <w:sz w:val="19"/>
              </w:rPr>
              <w:t xml:space="preserve">Analyst actions: approve, reject, comment, correct</w:t>
            </w:r>
          </w:p>
        </w:tc>
      </w:tr>
      <w:tr>
        <w:tc>
          <w:tcPr/>
          <w:p>
            <w:pPr>
              <w:pStyle w:val="Compact"/>
              <w:jc w:val="left"/>
            </w:pPr>
            <w:r>
              <w:rPr>
                <w:sz w:val="19"/>
              </w:rPr>
              <w:t xml:space="preserve">copilot/export.py</w:t>
            </w:r>
          </w:p>
        </w:tc>
        <w:tc>
          <w:tcPr/>
          <w:p>
            <w:pPr>
              <w:pStyle w:val="Compact"/>
              <w:jc w:val="left"/>
            </w:pPr>
            <w:r>
              <w:rPr>
                <w:sz w:val="19"/>
              </w:rPr>
              <w:t xml:space="preserve">Write Excel and PDF from one snapshot</w:t>
            </w:r>
          </w:p>
        </w:tc>
      </w:tr>
      <w:tr>
        <w:tc>
          <w:tcPr/>
          <w:p>
            <w:pPr>
              <w:pStyle w:val="Compact"/>
              <w:jc w:val="left"/>
            </w:pPr>
            <w:r>
              <w:rPr>
                <w:sz w:val="19"/>
              </w:rPr>
              <w:t xml:space="preserve">app.py / run.py</w:t>
            </w:r>
          </w:p>
        </w:tc>
        <w:tc>
          <w:tcPr/>
          <w:p>
            <w:pPr>
              <w:pStyle w:val="Compact"/>
              <w:jc w:val="left"/>
            </w:pPr>
            <w:r>
              <w:rPr>
                <w:sz w:val="19"/>
              </w:rPr>
              <w:t xml:space="preserve">Streamlit review screen / command line</w:t>
            </w:r>
          </w:p>
        </w:tc>
      </w:tr>
    </w:tbl>
    <w:p>
      <w:pPr>
        <w:pStyle w:val="BodyText"/>
      </w:pPr>
    </w:p>
    <w:p>
      <w:pPr>
        <w:pStyle w:val="Heading2"/>
      </w:pPr>
      <w:r>
        <w:rPr>
          <w:color w:val="6B1A0E"/>
        </w:rPr>
        <w:t>Tech stack</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340"/>
        <w:gridCol w:w="7020"/>
      </w:tblGrid>
      <w:tr>
        <w:trPr>
          <w:tblHeader w:val="true"/>
        </w:trPr>
        <w:tc>
          <w:tcPr>
            <w:shd w:val="clear" w:color="auto" w:fill="6B1A0E"/>
          </w:tcPr>
          <w:p>
            <w:pPr>
              <w:pStyle w:val="Compact"/>
              <w:jc w:val="left"/>
            </w:pPr>
            <w:r>
              <w:rPr>
                <w:b/>
                <w:color w:val="FFFFFF"/>
                <w:sz w:val="19"/>
              </w:rPr>
              <w:t xml:space="preserve">Tool</w:t>
            </w:r>
          </w:p>
        </w:tc>
        <w:tc>
          <w:tcPr>
            <w:shd w:val="clear" w:color="auto" w:fill="6B1A0E"/>
          </w:tcPr>
          <w:p>
            <w:pPr>
              <w:pStyle w:val="Compact"/>
              <w:jc w:val="left"/>
            </w:pPr>
            <w:r>
              <w:rPr>
                <w:b/>
                <w:color w:val="FFFFFF"/>
                <w:sz w:val="19"/>
              </w:rPr>
              <w:t xml:space="preserve">Used for</w:t>
            </w:r>
          </w:p>
        </w:tc>
      </w:tr>
      <w:tr>
        <w:tc>
          <w:tcPr/>
          <w:p>
            <w:pPr>
              <w:pStyle w:val="Compact"/>
              <w:jc w:val="left"/>
            </w:pPr>
            <w:r>
              <w:rPr>
                <w:sz w:val="19"/>
              </w:rPr>
              <w:t xml:space="preserve">Python 3.11</w:t>
            </w:r>
          </w:p>
        </w:tc>
        <w:tc>
          <w:tcPr/>
          <w:p>
            <w:pPr>
              <w:pStyle w:val="Compact"/>
              <w:jc w:val="left"/>
            </w:pPr>
            <w:r>
              <w:rPr>
                <w:sz w:val="19"/>
              </w:rPr>
              <w:t xml:space="preserve">Application</w:t>
            </w:r>
          </w:p>
        </w:tc>
      </w:tr>
      <w:tr>
        <w:tc>
          <w:tcPr/>
          <w:p>
            <w:pPr>
              <w:pStyle w:val="Compact"/>
              <w:jc w:val="left"/>
            </w:pPr>
            <w:r>
              <w:rPr>
                <w:sz w:val="19"/>
              </w:rPr>
              <w:t xml:space="preserve">lxml</w:t>
            </w:r>
          </w:p>
        </w:tc>
        <w:tc>
          <w:tcPr/>
          <w:p>
            <w:pPr>
              <w:pStyle w:val="Compact"/>
              <w:jc w:val="left"/>
            </w:pPr>
            <w:r>
              <w:rPr>
                <w:sz w:val="19"/>
              </w:rPr>
              <w:t xml:space="preserve">XBRL parsing</w:t>
            </w:r>
          </w:p>
        </w:tc>
      </w:tr>
      <w:tr>
        <w:tc>
          <w:tcPr/>
          <w:p>
            <w:pPr>
              <w:pStyle w:val="Compact"/>
              <w:jc w:val="left"/>
            </w:pPr>
            <w:r>
              <w:rPr>
                <w:sz w:val="19"/>
              </w:rPr>
              <w:t xml:space="preserve">PyMuPDF</w:t>
            </w:r>
          </w:p>
        </w:tc>
        <w:tc>
          <w:tcPr/>
          <w:p>
            <w:pPr>
              <w:pStyle w:val="Compact"/>
              <w:jc w:val="left"/>
            </w:pPr>
            <w:r>
              <w:rPr>
                <w:sz w:val="19"/>
              </w:rPr>
              <w:t xml:space="preserve">PDF page text and word positions</w:t>
            </w:r>
          </w:p>
        </w:tc>
      </w:tr>
      <w:tr>
        <w:tc>
          <w:tcPr/>
          <w:p>
            <w:pPr>
              <w:pStyle w:val="Compact"/>
              <w:jc w:val="left"/>
            </w:pPr>
            <w:r>
              <w:rPr>
                <w:sz w:val="19"/>
              </w:rPr>
              <w:t xml:space="preserve">SQLite</w:t>
            </w:r>
          </w:p>
        </w:tc>
        <w:tc>
          <w:tcPr/>
          <w:p>
            <w:pPr>
              <w:pStyle w:val="Compact"/>
              <w:jc w:val="left"/>
            </w:pPr>
            <w:r>
              <w:rPr>
                <w:sz w:val="19"/>
              </w:rPr>
              <w:t xml:space="preserve">Storage and audit log</w:t>
            </w:r>
          </w:p>
        </w:tc>
      </w:tr>
      <w:tr>
        <w:tc>
          <w:tcPr/>
          <w:p>
            <w:pPr>
              <w:pStyle w:val="Compact"/>
              <w:jc w:val="left"/>
            </w:pPr>
            <w:r>
              <w:rPr>
                <w:sz w:val="19"/>
              </w:rPr>
              <w:t xml:space="preserve">openpyxl</w:t>
            </w:r>
          </w:p>
        </w:tc>
        <w:tc>
          <w:tcPr/>
          <w:p>
            <w:pPr>
              <w:pStyle w:val="Compact"/>
              <w:jc w:val="left"/>
            </w:pPr>
            <w:r>
              <w:rPr>
                <w:sz w:val="19"/>
              </w:rPr>
              <w:t xml:space="preserve">Read the analyst model; write the Excel report</w:t>
            </w:r>
          </w:p>
        </w:tc>
      </w:tr>
      <w:tr>
        <w:tc>
          <w:tcPr/>
          <w:p>
            <w:pPr>
              <w:pStyle w:val="Compact"/>
              <w:jc w:val="left"/>
            </w:pPr>
            <w:r>
              <w:rPr>
                <w:sz w:val="19"/>
              </w:rPr>
              <w:t xml:space="preserve">Streamlit</w:t>
            </w:r>
          </w:p>
        </w:tc>
        <w:tc>
          <w:tcPr/>
          <w:p>
            <w:pPr>
              <w:pStyle w:val="Compact"/>
              <w:jc w:val="left"/>
            </w:pPr>
            <w:r>
              <w:rPr>
                <w:sz w:val="19"/>
              </w:rPr>
              <w:t xml:space="preserve">Review screen</w:t>
            </w:r>
          </w:p>
        </w:tc>
      </w:tr>
      <w:tr>
        <w:tc>
          <w:tcPr/>
          <w:p>
            <w:pPr>
              <w:pStyle w:val="Compact"/>
              <w:jc w:val="left"/>
            </w:pPr>
            <w:r>
              <w:rPr>
                <w:sz w:val="19"/>
              </w:rPr>
              <w:t xml:space="preserve">ReportLab</w:t>
            </w:r>
          </w:p>
        </w:tc>
        <w:tc>
          <w:tcPr/>
          <w:p>
            <w:pPr>
              <w:pStyle w:val="Compact"/>
              <w:jc w:val="left"/>
            </w:pPr>
            <w:r>
              <w:rPr>
                <w:sz w:val="19"/>
              </w:rPr>
              <w:t xml:space="preserve">PDF report</w:t>
            </w:r>
          </w:p>
        </w:tc>
      </w:tr>
      <w:tr>
        <w:tc>
          <w:tcPr/>
          <w:p>
            <w:pPr>
              <w:pStyle w:val="Compact"/>
              <w:jc w:val="left"/>
            </w:pPr>
            <w:r>
              <w:rPr>
                <w:sz w:val="19"/>
              </w:rPr>
              <w:t xml:space="preserve">PyYAML</w:t>
            </w:r>
          </w:p>
        </w:tc>
        <w:tc>
          <w:tcPr/>
          <w:p>
            <w:pPr>
              <w:pStyle w:val="Compact"/>
              <w:jc w:val="left"/>
            </w:pPr>
            <w:r>
              <w:rPr>
                <w:sz w:val="19"/>
              </w:rPr>
              <w:t xml:space="preserve">Configuration and metric dictionary</w:t>
            </w:r>
          </w:p>
        </w:tc>
      </w:tr>
      <w:tr>
        <w:tc>
          <w:tcPr/>
          <w:p>
            <w:pPr>
              <w:pStyle w:val="Compact"/>
              <w:jc w:val="left"/>
            </w:pPr>
            <w:r>
              <w:rPr>
                <w:sz w:val="19"/>
              </w:rPr>
              <w:t xml:space="preserve">pytest</w:t>
            </w:r>
          </w:p>
        </w:tc>
        <w:tc>
          <w:tcPr/>
          <w:p>
            <w:pPr>
              <w:pStyle w:val="Compact"/>
              <w:jc w:val="left"/>
            </w:pPr>
            <w:r>
              <w:rPr>
                <w:sz w:val="19"/>
              </w:rPr>
              <w:t xml:space="preserve">Tests</w:t>
            </w:r>
          </w:p>
        </w:tc>
      </w:tr>
    </w:tbl>
    <w:p>
      <w:pPr>
        <w:pStyle w:val="BodyText"/>
      </w:pPr>
    </w:p>
    <w:p>
      <w:pPr>
        <w:pStyle w:val="BodyText"/>
      </w:pPr>
      <w:r>
        <w:rPr/>
        <w:t>All libraries are free and open source; no API key is needed.</w:t>
      </w:r>
    </w:p>
    <w:p>
      <w:r>
        <w:br w:type="page"/>
      </w:r>
    </w:p>
    <w:p>
      <w:pPr>
        <w:pStyle w:val="Heading1"/>
      </w:pPr>
      <w:r>
        <w:rPr>
          <w:color w:val="6B1A0E"/>
        </w:rPr>
        <w:t>4. Scope &amp; Coverage</w:t>
      </w:r>
    </w:p>
    <w:p>
      <w:pPr>
        <w:pStyle w:val="FirstParagraph"/>
      </w:pPr>
      <w:r>
        <w:rPr/>
        <w:t>Phase 1 covers five listed companies across five sectors, two report quarters and three comparator quarters, on a consolidated basis.</w:t>
      </w:r>
    </w:p>
    <w:p>
      <w:pPr>
        <w:pStyle w:val="Heading2"/>
      </w:pPr>
      <w:r>
        <w:rPr>
          <w:color w:val="6B1A0E"/>
        </w:rPr>
        <w:t>Companies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202"/>
        <w:gridCol w:w="1431"/>
        <w:gridCol w:w="2752"/>
        <w:gridCol w:w="2973"/>
      </w:tblGrid>
      <w:tr>
        <w:trPr>
          <w:tblHeader w:val="true"/>
        </w:trPr>
        <w:tc>
          <w:tcPr>
            <w:shd w:val="clear" w:color="auto" w:fill="6B1A0E"/>
          </w:tcPr>
          <w:p>
            <w:pPr>
              <w:pStyle w:val="Compact"/>
              <w:jc w:val="left"/>
            </w:pPr>
            <w:r>
              <w:rPr>
                <w:b/>
                <w:color w:val="FFFFFF"/>
                <w:sz w:val="19"/>
              </w:rPr>
              <w:t xml:space="preserve">Company</w:t>
            </w:r>
          </w:p>
        </w:tc>
        <w:tc>
          <w:tcPr>
            <w:shd w:val="clear" w:color="auto" w:fill="6B1A0E"/>
          </w:tcPr>
          <w:p>
            <w:pPr>
              <w:pStyle w:val="Compact"/>
              <w:jc w:val="left"/>
            </w:pPr>
            <w:r>
              <w:rPr>
                <w:b/>
                <w:color w:val="FFFFFF"/>
                <w:sz w:val="19"/>
              </w:rPr>
              <w:t xml:space="preserve">Sector</w:t>
            </w:r>
          </w:p>
        </w:tc>
        <w:tc>
          <w:tcPr>
            <w:shd w:val="clear" w:color="auto" w:fill="6B1A0E"/>
          </w:tcPr>
          <w:p>
            <w:pPr>
              <w:pStyle w:val="Compact"/>
              <w:jc w:val="left"/>
            </w:pPr>
            <w:r>
              <w:rPr>
                <w:b/>
                <w:color w:val="FFFFFF"/>
                <w:sz w:val="19"/>
              </w:rPr>
              <w:t xml:space="preserve">What it tests</w:t>
            </w:r>
          </w:p>
        </w:tc>
        <w:tc>
          <w:tcPr>
            <w:shd w:val="clear" w:color="auto" w:fill="6B1A0E"/>
          </w:tcPr>
          <w:p>
            <w:pPr>
              <w:pStyle w:val="Compact"/>
              <w:jc w:val="left"/>
            </w:pPr>
            <w:r>
              <w:rPr>
                <w:b/>
                <w:color w:val="FFFFFF"/>
                <w:sz w:val="19"/>
              </w:rPr>
              <w:t xml:space="preserve">Segments</w:t>
            </w:r>
          </w:p>
        </w:tc>
      </w:tr>
      <w:tr>
        <w:tc>
          <w:tcPr/>
          <w:p>
            <w:pPr>
              <w:pStyle w:val="Compact"/>
              <w:jc w:val="left"/>
            </w:pPr>
            <w:r>
              <w:rPr>
                <w:sz w:val="19"/>
              </w:rPr>
              <w:t xml:space="preserve">Titan Company Ltd</w:t>
            </w:r>
          </w:p>
        </w:tc>
        <w:tc>
          <w:tcPr/>
          <w:p>
            <w:pPr>
              <w:pStyle w:val="Compact"/>
              <w:jc w:val="left"/>
            </w:pPr>
            <w:r>
              <w:rPr>
                <w:sz w:val="19"/>
              </w:rPr>
              <w:t xml:space="preserve">Retail</w:t>
            </w:r>
          </w:p>
        </w:tc>
        <w:tc>
          <w:tcPr/>
          <w:p>
            <w:pPr>
              <w:pStyle w:val="Compact"/>
              <w:jc w:val="left"/>
            </w:pPr>
            <w:r>
              <w:rPr>
                <w:sz w:val="19"/>
              </w:rPr>
              <w:t xml:space="preserve">Segment reporting + operating KPIs</w:t>
            </w:r>
          </w:p>
        </w:tc>
        <w:tc>
          <w:tcPr/>
          <w:p>
            <w:pPr>
              <w:pStyle w:val="Compact"/>
              <w:jc w:val="left"/>
            </w:pPr>
            <w:r>
              <w:rPr>
                <w:sz w:val="19"/>
              </w:rPr>
              <w:t xml:space="preserve">Jewellery, Watches, Eyecare, Others, Corporate (unallocated)</w:t>
            </w:r>
          </w:p>
        </w:tc>
      </w:tr>
      <w:tr>
        <w:tc>
          <w:tcPr/>
          <w:p>
            <w:pPr>
              <w:pStyle w:val="Compact"/>
              <w:jc w:val="left"/>
            </w:pPr>
            <w:r>
              <w:rPr>
                <w:sz w:val="19"/>
              </w:rPr>
              <w:t xml:space="preserve">Asian Paints Ltd</w:t>
            </w:r>
          </w:p>
        </w:tc>
        <w:tc>
          <w:tcPr/>
          <w:p>
            <w:pPr>
              <w:pStyle w:val="Compact"/>
              <w:jc w:val="left"/>
            </w:pPr>
            <w:r>
              <w:rPr>
                <w:sz w:val="19"/>
              </w:rPr>
              <w:t xml:space="preserve">Consumer / manufacturing</w:t>
            </w:r>
          </w:p>
        </w:tc>
        <w:tc>
          <w:tcPr/>
          <w:p>
            <w:pPr>
              <w:pStyle w:val="Compact"/>
              <w:jc w:val="left"/>
            </w:pPr>
            <w:r>
              <w:rPr>
                <w:sz w:val="19"/>
              </w:rPr>
              <w:t xml:space="preserve">Segment + operational metrics</w:t>
            </w:r>
          </w:p>
        </w:tc>
        <w:tc>
          <w:tcPr/>
          <w:p>
            <w:pPr>
              <w:pStyle w:val="Compact"/>
              <w:jc w:val="left"/>
            </w:pPr>
            <w:r>
              <w:rPr>
                <w:sz w:val="19"/>
              </w:rPr>
              <w:t xml:space="preserve">single segment</w:t>
            </w:r>
          </w:p>
        </w:tc>
      </w:tr>
      <w:tr>
        <w:tc>
          <w:tcPr/>
          <w:p>
            <w:pPr>
              <w:pStyle w:val="Compact"/>
              <w:jc w:val="left"/>
            </w:pPr>
            <w:r>
              <w:rPr>
                <w:sz w:val="19"/>
              </w:rPr>
              <w:t xml:space="preserve">Mahindra &amp; Mahindra Ltd</w:t>
            </w:r>
          </w:p>
        </w:tc>
        <w:tc>
          <w:tcPr/>
          <w:p>
            <w:pPr>
              <w:pStyle w:val="Compact"/>
              <w:jc w:val="left"/>
            </w:pPr>
            <w:r>
              <w:rPr>
                <w:sz w:val="19"/>
              </w:rPr>
              <w:t xml:space="preserve">Auto</w:t>
            </w:r>
          </w:p>
        </w:tc>
        <w:tc>
          <w:tcPr/>
          <w:p>
            <w:pPr>
              <w:pStyle w:val="Compact"/>
              <w:jc w:val="left"/>
            </w:pPr>
            <w:r>
              <w:rPr>
                <w:sz w:val="19"/>
              </w:rPr>
              <w:t xml:space="preserve">Multiple businesses/segments + complex financial reporting</w:t>
            </w:r>
          </w:p>
        </w:tc>
        <w:tc>
          <w:tcPr/>
          <w:p>
            <w:pPr>
              <w:pStyle w:val="Compact"/>
              <w:jc w:val="left"/>
            </w:pPr>
            <w:r>
              <w:rPr>
                <w:sz w:val="19"/>
              </w:rPr>
              <w:t xml:space="preserve">Automotive, Farm Equipment, Financial Services, Industrial Businesses and Consumer Services</w:t>
            </w:r>
          </w:p>
        </w:tc>
      </w:tr>
      <w:tr>
        <w:tc>
          <w:tcPr/>
          <w:p>
            <w:pPr>
              <w:pStyle w:val="Compact"/>
              <w:jc w:val="left"/>
            </w:pPr>
            <w:r>
              <w:rPr>
                <w:sz w:val="19"/>
              </w:rPr>
              <w:t xml:space="preserve">Infosys Ltd</w:t>
            </w:r>
          </w:p>
        </w:tc>
        <w:tc>
          <w:tcPr/>
          <w:p>
            <w:pPr>
              <w:pStyle w:val="Compact"/>
              <w:jc w:val="left"/>
            </w:pPr>
            <w:r>
              <w:rPr>
                <w:sz w:val="19"/>
              </w:rPr>
              <w:t xml:space="preserve">IT services</w:t>
            </w:r>
          </w:p>
        </w:tc>
        <w:tc>
          <w:tcPr/>
          <w:p>
            <w:pPr>
              <w:pStyle w:val="Compact"/>
              <w:jc w:val="left"/>
            </w:pPr>
            <w:r>
              <w:rPr>
                <w:sz w:val="19"/>
              </w:rPr>
              <w:t xml:space="preserve">IT KPIs - constant-currency growth, utilisation, attrition, deal wins</w:t>
            </w:r>
          </w:p>
        </w:tc>
        <w:tc>
          <w:tcPr/>
          <w:p>
            <w:pPr>
              <w:pStyle w:val="Compact"/>
              <w:jc w:val="left"/>
            </w:pPr>
            <w:r>
              <w:rPr>
                <w:sz w:val="19"/>
              </w:rPr>
              <w:t xml:space="preserve">Financial Services, Retail, Communication, Energy, Utilities, Resources and Services, Manufacturing, Hi-Tech, Life Sciences, All other segments</w:t>
            </w:r>
          </w:p>
        </w:tc>
      </w:tr>
      <w:tr>
        <w:tc>
          <w:tcPr/>
          <w:p>
            <w:pPr>
              <w:pStyle w:val="Compact"/>
              <w:jc w:val="left"/>
            </w:pPr>
            <w:r>
              <w:rPr>
                <w:sz w:val="19"/>
              </w:rPr>
              <w:t xml:space="preserve">Reliance Industries Ltd</w:t>
            </w:r>
          </w:p>
        </w:tc>
        <w:tc>
          <w:tcPr/>
          <w:p>
            <w:pPr>
              <w:pStyle w:val="Compact"/>
              <w:jc w:val="left"/>
            </w:pPr>
            <w:r>
              <w:rPr>
                <w:sz w:val="19"/>
              </w:rPr>
              <w:t xml:space="preserve">Conglomerate</w:t>
            </w:r>
          </w:p>
        </w:tc>
        <w:tc>
          <w:tcPr/>
          <w:p>
            <w:pPr>
              <w:pStyle w:val="Compact"/>
              <w:jc w:val="left"/>
            </w:pPr>
            <w:r>
              <w:rPr>
                <w:sz w:val="19"/>
              </w:rPr>
              <w:t xml:space="preserve">Multiple segments + very different disclosure structure</w:t>
            </w:r>
          </w:p>
        </w:tc>
        <w:tc>
          <w:tcPr/>
          <w:p>
            <w:pPr>
              <w:pStyle w:val="Compact"/>
              <w:jc w:val="left"/>
            </w:pPr>
            <w:r>
              <w:rPr>
                <w:sz w:val="19"/>
              </w:rPr>
              <w:t xml:space="preserve">O2C, Oil and Gas, Retail, Digital Services, Others</w:t>
            </w:r>
          </w:p>
        </w:tc>
      </w:tr>
    </w:tbl>
    <w:p>
      <w:pPr>
        <w:pStyle w:val="BodyText"/>
      </w:pPr>
    </w:p>
    <w:p>
      <w:pPr>
        <w:pStyle w:val="Heading2"/>
      </w:pPr>
      <w:r>
        <w:rPr>
          <w:color w:val="6B1A0E"/>
        </w:rPr>
        <w:t>Quarters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340"/>
        <w:gridCol w:w="2340"/>
        <w:gridCol w:w="2340"/>
        <w:gridCol w:w="2340"/>
      </w:tblGrid>
      <w:tr>
        <w:trPr>
          <w:tblHeader w:val="true"/>
        </w:trPr>
        <w:tc>
          <w:tcPr>
            <w:shd w:val="clear" w:color="auto" w:fill="6B1A0E"/>
          </w:tcPr>
          <w:p>
            <w:pPr>
              <w:pStyle w:val="Compact"/>
              <w:jc w:val="left"/>
            </w:pPr>
            <w:r>
              <w:rPr>
                <w:b/>
                <w:color w:val="FFFFFF"/>
                <w:sz w:val="19"/>
              </w:rPr>
              <w:t xml:space="preserve">Report quarter</w:t>
            </w:r>
          </w:p>
        </w:tc>
        <w:tc>
          <w:tcPr>
            <w:shd w:val="clear" w:color="auto" w:fill="6B1A0E"/>
          </w:tcPr>
          <w:p>
            <w:pPr>
              <w:pStyle w:val="Compact"/>
              <w:jc w:val="left"/>
            </w:pPr>
            <w:r>
              <w:rPr>
                <w:b/>
                <w:color w:val="FFFFFF"/>
                <w:sz w:val="19"/>
              </w:rPr>
              <w:t xml:space="preserve">Prior quarter</w:t>
            </w:r>
          </w:p>
        </w:tc>
        <w:tc>
          <w:tcPr>
            <w:shd w:val="clear" w:color="auto" w:fill="6B1A0E"/>
          </w:tcPr>
          <w:p>
            <w:pPr>
              <w:pStyle w:val="Compact"/>
              <w:jc w:val="left"/>
            </w:pPr>
            <w:r>
              <w:rPr>
                <w:b/>
                <w:color w:val="FFFFFF"/>
                <w:sz w:val="19"/>
              </w:rPr>
              <w:t xml:space="preserve">Year-ago quarter</w:t>
            </w:r>
          </w:p>
        </w:tc>
        <w:tc>
          <w:tcPr>
            <w:shd w:val="clear" w:color="auto" w:fill="6B1A0E"/>
          </w:tcPr>
          <w:p>
            <w:pPr>
              <w:pStyle w:val="Compact"/>
              <w:jc w:val="left"/>
            </w:pPr>
            <w:r>
              <w:rPr>
                <w:b/>
                <w:color w:val="FFFFFF"/>
                <w:sz w:val="19"/>
              </w:rPr>
              <w:t xml:space="preserve">Estimate</w:t>
            </w:r>
          </w:p>
        </w:tc>
      </w:tr>
      <w:tr>
        <w:tc>
          <w:tcPr/>
          <w:p>
            <w:pPr>
              <w:pStyle w:val="Compact"/>
              <w:jc w:val="left"/>
            </w:pPr>
            <w:r>
              <w:rPr>
                <w:sz w:val="19"/>
              </w:rPr>
              <w:t xml:space="preserve">Q4 FY26 (Jan–Mar 2026)</w:t>
            </w:r>
          </w:p>
        </w:tc>
        <w:tc>
          <w:tcPr/>
          <w:p>
            <w:pPr>
              <w:pStyle w:val="Compact"/>
              <w:jc w:val="left"/>
            </w:pPr>
            <w:r>
              <w:rPr>
                <w:sz w:val="19"/>
              </w:rPr>
              <w:t xml:space="preserve">Q3 FY26 (Oct–Dec 2025)</w:t>
            </w:r>
          </w:p>
        </w:tc>
        <w:tc>
          <w:tcPr/>
          <w:p>
            <w:pPr>
              <w:pStyle w:val="Compact"/>
              <w:jc w:val="left"/>
            </w:pPr>
            <w:r>
              <w:rPr>
                <w:sz w:val="19"/>
              </w:rPr>
              <w:t xml:space="preserve">Q4 FY25 (Jan–Mar 2025)</w:t>
            </w:r>
          </w:p>
        </w:tc>
        <w:tc>
          <w:tcPr/>
          <w:p>
            <w:pPr>
              <w:pStyle w:val="Compact"/>
              <w:jc w:val="left"/>
            </w:pPr>
            <w:r>
              <w:rPr>
                <w:sz w:val="19"/>
              </w:rPr>
              <w:t xml:space="preserve">Analyst model, Q4 FY26</w:t>
            </w:r>
          </w:p>
        </w:tc>
      </w:tr>
      <w:tr>
        <w:tc>
          <w:tcPr/>
          <w:p>
            <w:pPr>
              <w:pStyle w:val="Compact"/>
              <w:jc w:val="left"/>
            </w:pPr>
            <w:r>
              <w:rPr>
                <w:sz w:val="19"/>
              </w:rPr>
              <w:t xml:space="preserve">Q1 FY27 (Apr–Jun 2026)</w:t>
            </w:r>
          </w:p>
        </w:tc>
        <w:tc>
          <w:tcPr/>
          <w:p>
            <w:pPr>
              <w:pStyle w:val="Compact"/>
              <w:jc w:val="left"/>
            </w:pPr>
            <w:r>
              <w:rPr>
                <w:sz w:val="19"/>
              </w:rPr>
              <w:t xml:space="preserve">Q4 FY26 (Jan–Mar 2026)</w:t>
            </w:r>
          </w:p>
        </w:tc>
        <w:tc>
          <w:tcPr/>
          <w:p>
            <w:pPr>
              <w:pStyle w:val="Compact"/>
              <w:jc w:val="left"/>
            </w:pPr>
            <w:r>
              <w:rPr>
                <w:sz w:val="19"/>
              </w:rPr>
              <w:t xml:space="preserve">Q1 FY26 (Apr–Jun 2025)</w:t>
            </w:r>
          </w:p>
        </w:tc>
        <w:tc>
          <w:tcPr/>
          <w:p>
            <w:pPr>
              <w:pStyle w:val="Compact"/>
              <w:jc w:val="left"/>
            </w:pPr>
            <w:r>
              <w:rPr>
                <w:sz w:val="19"/>
              </w:rPr>
              <w:t xml:space="preserve">Analyst model, Q1 FY27</w:t>
            </w:r>
          </w:p>
        </w:tc>
      </w:tr>
    </w:tbl>
    <w:p>
      <w:pPr>
        <w:pStyle w:val="BodyText"/>
      </w:pPr>
    </w:p>
    <w:p>
      <w:pPr>
        <w:pStyle w:val="Heading2"/>
      </w:pPr>
      <w:r>
        <w:rPr>
          <w:color w:val="6B1A0E"/>
        </w:rPr>
        <w:t>Source documents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600"/>
        <w:gridCol w:w="2880"/>
        <w:gridCol w:w="2880"/>
      </w:tblGrid>
      <w:tr>
        <w:trPr>
          <w:tblHeader w:val="true"/>
        </w:trPr>
        <w:tc>
          <w:tcPr>
            <w:shd w:val="clear" w:color="auto" w:fill="6B1A0E"/>
          </w:tcPr>
          <w:p>
            <w:pPr>
              <w:pStyle w:val="Compact"/>
              <w:jc w:val="left"/>
            </w:pPr>
            <w:r>
              <w:rPr>
                <w:b/>
                <w:color w:val="FFFFFF"/>
                <w:sz w:val="19"/>
              </w:rPr>
              <w:t xml:space="preserve">Document</w:t>
            </w:r>
          </w:p>
        </w:tc>
        <w:tc>
          <w:tcPr>
            <w:shd w:val="clear" w:color="auto" w:fill="6B1A0E"/>
          </w:tcPr>
          <w:p>
            <w:pPr>
              <w:pStyle w:val="Compact"/>
              <w:jc w:val="left"/>
            </w:pPr>
            <w:r>
              <w:rPr>
                <w:b/>
                <w:color w:val="FFFFFF"/>
                <w:sz w:val="19"/>
              </w:rPr>
              <w:t xml:space="preserve">Quarters</w:t>
            </w:r>
          </w:p>
        </w:tc>
        <w:tc>
          <w:tcPr>
            <w:shd w:val="clear" w:color="auto" w:fill="6B1A0E"/>
          </w:tcPr>
          <w:p>
            <w:pPr>
              <w:pStyle w:val="Compact"/>
              <w:jc w:val="left"/>
            </w:pPr>
            <w:r>
              <w:rPr>
                <w:b/>
                <w:color w:val="FFFFFF"/>
                <w:sz w:val="19"/>
              </w:rPr>
              <w:t xml:space="preserve">Used for</w:t>
            </w:r>
          </w:p>
        </w:tc>
      </w:tr>
      <w:tr>
        <w:tc>
          <w:tcPr/>
          <w:p>
            <w:pPr>
              <w:pStyle w:val="Compact"/>
              <w:jc w:val="left"/>
            </w:pPr>
            <w:r>
              <w:rPr>
                <w:sz w:val="19"/>
              </w:rPr>
              <w:t xml:space="preserve">XBRL results filing (SEBI integrated filing)</w:t>
            </w:r>
          </w:p>
        </w:tc>
        <w:tc>
          <w:tcPr/>
          <w:p>
            <w:pPr>
              <w:pStyle w:val="Compact"/>
              <w:jc w:val="left"/>
            </w:pPr>
            <w:r>
              <w:rPr>
                <w:sz w:val="19"/>
              </w:rPr>
              <w:t xml:space="preserve">All 5</w:t>
            </w:r>
          </w:p>
        </w:tc>
        <w:tc>
          <w:tcPr/>
          <w:p>
            <w:pPr>
              <w:pStyle w:val="Compact"/>
              <w:jc w:val="left"/>
            </w:pPr>
            <w:r>
              <w:rPr>
                <w:sz w:val="19"/>
              </w:rPr>
              <w:t xml:space="preserve">Core financials, segments, net debt</w:t>
            </w:r>
          </w:p>
        </w:tc>
      </w:tr>
      <w:tr>
        <w:tc>
          <w:tcPr/>
          <w:p>
            <w:pPr>
              <w:pStyle w:val="Compact"/>
              <w:jc w:val="left"/>
            </w:pPr>
            <w:r>
              <w:rPr>
                <w:sz w:val="19"/>
              </w:rPr>
              <w:t xml:space="preserve">Results release (board outcome PDF)</w:t>
            </w:r>
          </w:p>
        </w:tc>
        <w:tc>
          <w:tcPr/>
          <w:p>
            <w:pPr>
              <w:pStyle w:val="Compact"/>
              <w:jc w:val="left"/>
            </w:pPr>
            <w:r>
              <w:rPr>
                <w:sz w:val="19"/>
              </w:rPr>
              <w:t xml:space="preserve">All 5</w:t>
            </w:r>
          </w:p>
        </w:tc>
        <w:tc>
          <w:tcPr/>
          <w:p>
            <w:pPr>
              <w:pStyle w:val="Compact"/>
              <w:jc w:val="left"/>
            </w:pPr>
            <w:r>
              <w:rPr>
                <w:sz w:val="19"/>
              </w:rPr>
              <w:t xml:space="preserve">Cross-check of revenue and PAT</w:t>
            </w:r>
          </w:p>
        </w:tc>
      </w:tr>
      <w:tr>
        <w:tc>
          <w:tcPr/>
          <w:p>
            <w:pPr>
              <w:pStyle w:val="Compact"/>
              <w:jc w:val="left"/>
            </w:pPr>
            <w:r>
              <w:rPr>
                <w:sz w:val="19"/>
              </w:rPr>
              <w:t xml:space="preserve">Investor presentation</w:t>
            </w:r>
          </w:p>
        </w:tc>
        <w:tc>
          <w:tcPr/>
          <w:p>
            <w:pPr>
              <w:pStyle w:val="Compact"/>
              <w:jc w:val="left"/>
            </w:pPr>
            <w:r>
              <w:rPr>
                <w:sz w:val="19"/>
              </w:rPr>
              <w:t xml:space="preserve">Report quarters (Titan: all 5)</w:t>
            </w:r>
          </w:p>
        </w:tc>
        <w:tc>
          <w:tcPr/>
          <w:p>
            <w:pPr>
              <w:pStyle w:val="Compact"/>
              <w:jc w:val="left"/>
            </w:pPr>
            <w:r>
              <w:rPr>
                <w:sz w:val="19"/>
              </w:rPr>
              <w:t xml:space="preserve">Operating KPIs</w:t>
            </w:r>
          </w:p>
        </w:tc>
      </w:tr>
      <w:tr>
        <w:tc>
          <w:tcPr/>
          <w:p>
            <w:pPr>
              <w:pStyle w:val="Compact"/>
              <w:jc w:val="left"/>
            </w:pPr>
            <w:r>
              <w:rPr>
                <w:sz w:val="19"/>
              </w:rPr>
              <w:t xml:space="preserve">Earnings-call transcript</w:t>
            </w:r>
          </w:p>
        </w:tc>
        <w:tc>
          <w:tcPr/>
          <w:p>
            <w:pPr>
              <w:pStyle w:val="Compact"/>
              <w:jc w:val="left"/>
            </w:pPr>
            <w:r>
              <w:rPr>
                <w:sz w:val="19"/>
              </w:rPr>
              <w:t xml:space="preserve">Q3 FY26, Q4 FY26, Q1 FY27</w:t>
            </w:r>
          </w:p>
        </w:tc>
        <w:tc>
          <w:tcPr/>
          <w:p>
            <w:pPr>
              <w:pStyle w:val="Compact"/>
              <w:jc w:val="left"/>
            </w:pPr>
            <w:r>
              <w:rPr>
                <w:sz w:val="19"/>
              </w:rPr>
              <w:t xml:space="preserve">Guidance, explanations, flags</w:t>
            </w:r>
          </w:p>
        </w:tc>
      </w:tr>
      <w:tr>
        <w:tc>
          <w:tcPr/>
          <w:p>
            <w:pPr>
              <w:pStyle w:val="Compact"/>
              <w:jc w:val="left"/>
            </w:pPr>
            <w:r>
              <w:rPr>
                <w:sz w:val="19"/>
              </w:rPr>
              <w:t xml:space="preserve">Results press release (Reliance)</w:t>
            </w:r>
          </w:p>
        </w:tc>
        <w:tc>
          <w:tcPr/>
          <w:p>
            <w:pPr>
              <w:pStyle w:val="Compact"/>
              <w:jc w:val="left"/>
            </w:pPr>
            <w:r>
              <w:rPr>
                <w:sz w:val="19"/>
              </w:rPr>
              <w:t xml:space="preserve">All 5</w:t>
            </w:r>
          </w:p>
        </w:tc>
        <w:tc>
          <w:tcPr/>
          <w:p>
            <w:pPr>
              <w:pStyle w:val="Compact"/>
              <w:jc w:val="left"/>
            </w:pPr>
            <w:r>
              <w:rPr>
                <w:sz w:val="19"/>
              </w:rPr>
              <w:t xml:space="preserve">Second cross-check source</w:t>
            </w:r>
          </w:p>
        </w:tc>
      </w:tr>
      <w:tr>
        <w:tc>
          <w:tcPr/>
          <w:p>
            <w:pPr>
              <w:pStyle w:val="Compact"/>
              <w:jc w:val="left"/>
            </w:pPr>
            <w:r>
              <w:rPr>
                <w:sz w:val="19"/>
              </w:rPr>
              <w:t xml:space="preserve">Analyst model (sample)</w:t>
            </w:r>
          </w:p>
        </w:tc>
        <w:tc>
          <w:tcPr/>
          <w:p>
            <w:pPr>
              <w:pStyle w:val="Compact"/>
              <w:jc w:val="left"/>
            </w:pPr>
            <w:r>
              <w:rPr>
                <w:sz w:val="19"/>
              </w:rPr>
              <w:t xml:space="preserve">Q4 FY26E, Q1 FY27E</w:t>
            </w:r>
          </w:p>
        </w:tc>
        <w:tc>
          <w:tcPr/>
          <w:p>
            <w:pPr>
              <w:pStyle w:val="Compact"/>
              <w:jc w:val="left"/>
            </w:pPr>
            <w:r>
              <w:rPr>
                <w:sz w:val="19"/>
              </w:rPr>
              <w:t xml:space="preserve">Estimates</w:t>
            </w:r>
          </w:p>
        </w:tc>
      </w:tr>
    </w:tbl>
    <w:p>
      <w:pPr>
        <w:pStyle w:val="BodyText"/>
      </w:pPr>
    </w:p>
    <w:p>
      <w:pPr>
        <w:pStyle w:val="BodyText"/>
      </w:pPr>
      <w:r>
        <w:rPr/>
        <w:t>81 source documents are registered with their SHA-256 hashes (3,052 PDF pages stored; 215 pages in 14 documents flagged as scanned). Documents that do not exist — Infosys files no investor presentation on NSE; Titan files no results press release — are recorded as missing with the reason.</w:t>
      </w:r>
    </w:p>
    <w:p>
      <w:r>
        <w:br w:type="page"/>
      </w:r>
    </w:p>
    <w:p>
      <w:pPr>
        <w:pStyle w:val="Heading1"/>
      </w:pPr>
      <w:r>
        <w:rPr>
          <w:color w:val="6B1A0E"/>
        </w:rPr>
        <w:t>5. Data Collection &amp; Extraction</w:t>
      </w:r>
    </w:p>
    <w:p>
      <w:pPr>
        <w:pStyle w:val="FirstParagraph"/>
      </w:pPr>
      <w:r>
        <w:rPr/>
        <w:t>Figures come from three kinds of source, each read by its own rule-based extractor, and every figure is stored with exactly where it was found.</w:t>
      </w:r>
    </w:p>
    <w:p>
      <w:pPr>
        <w:pStyle w:val="Heading2"/>
      </w:pPr>
      <w:r>
        <w:rPr>
          <w:color w:val="6B1A0E"/>
        </w:rPr>
        <w:t>Core financials from XBRL</w:t>
      </w:r>
    </w:p>
    <w:p>
      <w:pPr>
        <w:numPr>
          <w:ilvl w:val="0"/>
          <w:numId w:val="1002"/>
        </w:numPr>
        <w:pStyle w:val="Compact"/>
      </w:pPr>
      <w:r>
        <w:rPr/>
        <w:t>Each SEBI integrated filing covers only its own quarter, so every quarter's figures come from that quarter's own filing (all five quarters are downloaded).</w:t>
      </w:r>
    </w:p>
    <w:p>
      <w:pPr>
        <w:numPr>
          <w:ilvl w:val="0"/>
          <w:numId w:val="1002"/>
        </w:numPr>
        <w:pStyle w:val="Compact"/>
      </w:pPr>
      <w:r>
        <w:rPr/>
        <w:t>A fact is used only if its context covers exactly that quarter's three months (or the quarter-end date for balance-sheet items) and the filing's basis matches the configured basis.</w:t>
      </w:r>
    </w:p>
    <w:p>
      <w:pPr>
        <w:numPr>
          <w:ilvl w:val="0"/>
          <w:numId w:val="1002"/>
        </w:numPr>
        <w:pStyle w:val="Compact"/>
      </w:pPr>
      <w:r>
        <w:rPr/>
        <w:t>Values are converted from rupees to exact ₹ crore decimals; the original value and unit are kept.</w:t>
      </w:r>
    </w:p>
    <w:p>
      <w:pPr>
        <w:numPr>
          <w:ilvl w:val="0"/>
          <w:numId w:val="1002"/>
        </w:numPr>
        <w:pStyle w:val="Compact"/>
      </w:pPr>
      <w:r>
        <w:rPr/>
        <w:t>Segments are matched by the label the company gives them, because their position changes between filings; an unknown label stops the run.</w:t>
      </w:r>
    </w:p>
    <w:p>
      <w:pPr>
        <w:numPr>
          <w:ilvl w:val="0"/>
          <w:numId w:val="1002"/>
        </w:numPr>
        <w:pStyle w:val="Compact"/>
      </w:pPr>
      <w:r>
        <w:rPr/>
        <w:t>EBITDA and EBITDA margin are derived, with the formula and input figures recorded.</w:t>
      </w:r>
    </w:p>
    <w:p>
      <w:pPr>
        <w:pStyle w:val="Heading2"/>
      </w:pPr>
      <w:r>
        <w:rPr>
          <w:color w:val="6B1A0E"/>
        </w:rPr>
        <w:t>Operating KPIs from PDFs</w:t>
      </w:r>
    </w:p>
    <w:p>
      <w:pPr>
        <w:pStyle w:val="BodyText"/>
      </w:pPr>
      <w:r>
        <w:rPr/>
        <w:t>Each KPI is located by word position on the page, never as a number found anywhere on the page. Rules live in config/pdf_rules/&lt;company&gt;.yaml:</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1560"/>
        <w:gridCol w:w="4680"/>
        <w:gridCol w:w="3120"/>
      </w:tblGrid>
      <w:tr>
        <w:trPr>
          <w:tblHeader w:val="true"/>
        </w:trPr>
        <w:tc>
          <w:tcPr>
            <w:shd w:val="clear" w:color="auto" w:fill="6B1A0E"/>
          </w:tcPr>
          <w:p>
            <w:pPr>
              <w:pStyle w:val="Compact"/>
              <w:jc w:val="left"/>
            </w:pPr>
            <w:r>
              <w:rPr>
                <w:b/>
                <w:color w:val="FFFFFF"/>
                <w:sz w:val="19"/>
              </w:rPr>
              <w:t xml:space="preserve">Rule kind</w:t>
            </w:r>
          </w:p>
        </w:tc>
        <w:tc>
          <w:tcPr>
            <w:shd w:val="clear" w:color="auto" w:fill="6B1A0E"/>
          </w:tcPr>
          <w:p>
            <w:pPr>
              <w:pStyle w:val="Compact"/>
              <w:jc w:val="left"/>
            </w:pPr>
            <w:r>
              <w:rPr>
                <w:b/>
                <w:color w:val="FFFFFF"/>
                <w:sz w:val="19"/>
              </w:rPr>
              <w:t xml:space="preserve">Finds</w:t>
            </w:r>
          </w:p>
        </w:tc>
        <w:tc>
          <w:tcPr>
            <w:shd w:val="clear" w:color="auto" w:fill="6B1A0E"/>
          </w:tcPr>
          <w:p>
            <w:pPr>
              <w:pStyle w:val="Compact"/>
              <w:jc w:val="left"/>
            </w:pPr>
            <w:r>
              <w:rPr>
                <w:b/>
                <w:color w:val="FFFFFF"/>
                <w:sz w:val="19"/>
              </w:rPr>
              <w:t xml:space="preserve">Used for</w:t>
            </w:r>
          </w:p>
        </w:tc>
      </w:tr>
      <w:tr>
        <w:tc>
          <w:tcPr/>
          <w:p>
            <w:pPr>
              <w:pStyle w:val="Compact"/>
              <w:jc w:val="left"/>
            </w:pPr>
            <w:r>
              <w:rPr>
                <w:sz w:val="19"/>
              </w:rPr>
              <w:t xml:space="preserve">grid</w:t>
            </w:r>
          </w:p>
        </w:tc>
        <w:tc>
          <w:tcPr/>
          <w:p>
            <w:pPr>
              <w:pStyle w:val="Compact"/>
              <w:jc w:val="left"/>
            </w:pPr>
            <w:r>
              <w:rPr>
                <w:sz w:val="19"/>
              </w:rPr>
              <w:t xml:space="preserve">The value where a row label meets a column header (quarter labels or dates)</w:t>
            </w:r>
          </w:p>
        </w:tc>
        <w:tc>
          <w:tcPr/>
          <w:p>
            <w:pPr>
              <w:pStyle w:val="Compact"/>
              <w:jc w:val="left"/>
            </w:pPr>
            <w:r>
              <w:rPr>
                <w:sz w:val="19"/>
              </w:rPr>
              <w:t xml:space="preserve">Infosys fact sheet, Jio KPI table</w:t>
            </w:r>
          </w:p>
        </w:tc>
      </w:tr>
      <w:tr>
        <w:tc>
          <w:tcPr/>
          <w:p>
            <w:pPr>
              <w:pStyle w:val="Compact"/>
              <w:jc w:val="left"/>
            </w:pPr>
            <w:r>
              <w:rPr>
                <w:sz w:val="19"/>
              </w:rPr>
              <w:t xml:space="preserve">chart</w:t>
            </w:r>
          </w:p>
        </w:tc>
        <w:tc>
          <w:tcPr/>
          <w:p>
            <w:pPr>
              <w:pStyle w:val="Compact"/>
              <w:jc w:val="left"/>
            </w:pPr>
            <w:r>
              <w:rPr>
                <w:sz w:val="19"/>
              </w:rPr>
              <w:t xml:space="preserve">The value directly above each quarter label on a chart axis</w:t>
            </w:r>
          </w:p>
        </w:tc>
        <w:tc>
          <w:tcPr/>
          <w:p>
            <w:pPr>
              <w:pStyle w:val="Compact"/>
              <w:jc w:val="left"/>
            </w:pPr>
            <w:r>
              <w:rPr>
                <w:sz w:val="19"/>
              </w:rPr>
              <w:t xml:space="preserve">Asian Paints, M&amp;M</w:t>
            </w:r>
          </w:p>
        </w:tc>
      </w:tr>
      <w:tr>
        <w:tc>
          <w:tcPr/>
          <w:p>
            <w:pPr>
              <w:pStyle w:val="Compact"/>
              <w:jc w:val="left"/>
            </w:pPr>
            <w:r>
              <w:rPr>
                <w:sz w:val="19"/>
              </w:rPr>
              <w:t xml:space="preserve">labelled</w:t>
            </w:r>
          </w:p>
        </w:tc>
        <w:tc>
          <w:tcPr/>
          <w:p>
            <w:pPr>
              <w:pStyle w:val="Compact"/>
              <w:jc w:val="left"/>
            </w:pPr>
            <w:r>
              <w:rPr>
                <w:sz w:val="19"/>
              </w:rPr>
              <w:t xml:space="preserve">The value directly above a caption</w:t>
            </w:r>
          </w:p>
        </w:tc>
        <w:tc>
          <w:tcPr/>
          <w:p>
            <w:pPr>
              <w:pStyle w:val="Compact"/>
              <w:jc w:val="left"/>
            </w:pPr>
            <w:r>
              <w:rPr>
                <w:sz w:val="19"/>
              </w:rPr>
              <w:t xml:space="preserve">Titan secondary-growth table</w:t>
            </w:r>
          </w:p>
        </w:tc>
      </w:tr>
      <w:tr>
        <w:tc>
          <w:tcPr/>
          <w:p>
            <w:pPr>
              <w:pStyle w:val="Compact"/>
              <w:jc w:val="left"/>
            </w:pPr>
            <w:r>
              <w:rPr>
                <w:sz w:val="19"/>
              </w:rPr>
              <w:t xml:space="preserve">text</w:t>
            </w:r>
          </w:p>
        </w:tc>
        <w:tc>
          <w:tcPr/>
          <w:p>
            <w:pPr>
              <w:pStyle w:val="Compact"/>
              <w:jc w:val="left"/>
            </w:pPr>
            <w:r>
              <w:rPr>
                <w:sz w:val="19"/>
              </w:rPr>
              <w:t xml:space="preserve">A sentence pattern for the document's own quarter</w:t>
            </w:r>
          </w:p>
        </w:tc>
        <w:tc>
          <w:tcPr/>
          <w:p>
            <w:pPr>
              <w:pStyle w:val="Compact"/>
              <w:jc w:val="left"/>
            </w:pPr>
            <w:r>
              <w:rPr>
                <w:sz w:val="19"/>
              </w:rPr>
              <w:t xml:space="preserve">Infosys constant-currency growth</w:t>
            </w:r>
          </w:p>
        </w:tc>
      </w:tr>
    </w:tbl>
    <w:p>
      <w:pPr>
        <w:pStyle w:val="BodyText"/>
      </w:pPr>
    </w:p>
    <w:p>
      <w:pPr>
        <w:pStyle w:val="Heading2"/>
      </w:pPr>
      <w:r>
        <w:rPr>
          <w:color w:val="6B1A0E"/>
        </w:rPr>
        <w:t>Transcripts</w:t>
      </w:r>
    </w:p>
    <w:p>
      <w:pPr>
        <w:numPr>
          <w:ilvl w:val="0"/>
          <w:numId w:val="1002"/>
        </w:numPr>
        <w:pStyle w:val="Compact"/>
      </w:pPr>
      <w:r>
        <w:rPr/>
        <w:t>Each call is split into speaker turns using per-company speaker formats; management is identified from each transcript's own management list.</w:t>
      </w:r>
    </w:p>
    <w:p>
      <w:pPr>
        <w:numPr>
          <w:ilvl w:val="0"/>
          <w:numId w:val="1002"/>
        </w:numPr>
        <w:pStyle w:val="Compact"/>
      </w:pPr>
      <w:r>
        <w:rPr>
          <w:b/>
        </w:rPr>
        <w:t>Guidance:</w:t>
      </w:r>
      <w:r>
        <w:rPr/>
        <w:t xml:space="preserve"> a management sentence with a forward-looking phrase and a tracked topic.</w:t>
      </w:r>
    </w:p>
    <w:p>
      <w:pPr>
        <w:numPr>
          <w:ilvl w:val="0"/>
          <w:numId w:val="1002"/>
        </w:numPr>
        <w:pStyle w:val="Compact"/>
      </w:pPr>
      <w:r>
        <w:rPr>
          <w:b/>
        </w:rPr>
        <w:t>Explanations:</w:t>
      </w:r>
      <w:r>
        <w:rPr/>
        <w:t xml:space="preserve"> a management sentence linking a topic to a cause ("due to", "driven by").</w:t>
      </w:r>
    </w:p>
    <w:p>
      <w:pPr>
        <w:numPr>
          <w:ilvl w:val="0"/>
          <w:numId w:val="1002"/>
        </w:numPr>
        <w:pStyle w:val="Compact"/>
      </w:pPr>
      <w:r>
        <w:rPr>
          <w:b/>
        </w:rPr>
        <w:t>Flags:</w:t>
      </w:r>
      <w:r>
        <w:rPr/>
        <w:t xml:space="preserve"> auditor, restatement, related-party, regulatory or accounting-policy phrases, skipped when negated ("no qualified opinion"); always marked for analyst review.</w:t>
      </w:r>
    </w:p>
    <w:p>
      <w:pPr>
        <w:numPr>
          <w:ilvl w:val="0"/>
          <w:numId w:val="1002"/>
        </w:numPr>
        <w:pStyle w:val="Compact"/>
      </w:pPr>
      <w:r>
        <w:rPr/>
        <w:t>Each topic's guidance is placed beside the prior quarter's: repeated / updated, new, or not repeated (never "withdrawn").</w:t>
      </w:r>
    </w:p>
    <w:p>
      <w:pPr>
        <w:pStyle w:val="Heading2"/>
      </w:pPr>
      <w:r>
        <w:rPr>
          <w:color w:val="6B1A0E"/>
        </w:rPr>
        <w:t>Estimates</w:t>
      </w:r>
    </w:p>
    <w:p>
      <w:pPr>
        <w:pStyle w:val="BodyText"/>
      </w:pPr>
      <w:r>
        <w:rPr/>
        <w:t>Estimates are read from the analyst model through config/model_map.yaml, with openpyxl in read-only mode and cached values only; the file is never saved and its hash must be unchanged after the read. No real model was available, so a sample model (models/sample_analyst_model.xlsx) holds synthetic estimates; every report labels them SAMPLE.</w:t>
      </w:r>
    </w:p>
    <w:p>
      <w:r>
        <w:br w:type="page"/>
      </w:r>
    </w:p>
    <w:p>
      <w:pPr>
        <w:pStyle w:val="Heading1"/>
      </w:pPr>
      <w:r>
        <w:rPr>
          <w:color w:val="6B1A0E"/>
        </w:rPr>
        <w:t>6. Verification, Comparison &amp; Grading</w:t>
      </w:r>
    </w:p>
    <w:p>
      <w:pPr>
        <w:pStyle w:val="FirstParagraph"/>
      </w:pPr>
      <w:r>
        <w:rPr/>
        <w:t>Accuracy rests on three layers: automated checks on every figure, an independent re-read of every figure against its source, and analyst approval of every report.</w:t>
      </w:r>
    </w:p>
    <w:p>
      <w:pPr>
        <w:pStyle w:val="Heading2"/>
      </w:pPr>
      <w:r>
        <w:rPr>
          <w:color w:val="6B1A0E"/>
        </w:rPr>
        <w:t>Automated checks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160"/>
        <w:gridCol w:w="5040"/>
        <w:gridCol w:w="2160"/>
      </w:tblGrid>
      <w:tr>
        <w:trPr>
          <w:tblHeader w:val="true"/>
        </w:trPr>
        <w:tc>
          <w:tcPr>
            <w:shd w:val="clear" w:color="auto" w:fill="6B1A0E"/>
          </w:tcPr>
          <w:p>
            <w:pPr>
              <w:pStyle w:val="Compact"/>
              <w:jc w:val="left"/>
            </w:pPr>
            <w:r>
              <w:rPr>
                <w:b/>
                <w:color w:val="FFFFFF"/>
                <w:sz w:val="19"/>
              </w:rPr>
              <w:t xml:space="preserve">Check</w:t>
            </w:r>
          </w:p>
        </w:tc>
        <w:tc>
          <w:tcPr>
            <w:shd w:val="clear" w:color="auto" w:fill="6B1A0E"/>
          </w:tcPr>
          <w:p>
            <w:pPr>
              <w:pStyle w:val="Compact"/>
              <w:jc w:val="left"/>
            </w:pPr>
            <w:r>
              <w:rPr>
                <w:b/>
                <w:color w:val="FFFFFF"/>
                <w:sz w:val="19"/>
              </w:rPr>
              <w:t xml:space="preserve">How</w:t>
            </w:r>
          </w:p>
        </w:tc>
        <w:tc>
          <w:tcPr>
            <w:shd w:val="clear" w:color="auto" w:fill="6B1A0E"/>
          </w:tcPr>
          <w:p>
            <w:pPr>
              <w:pStyle w:val="Compact"/>
              <w:jc w:val="left"/>
            </w:pPr>
            <w:r>
              <w:rPr>
                <w:b/>
                <w:color w:val="FFFFFF"/>
                <w:sz w:val="19"/>
              </w:rPr>
              <w:t xml:space="preserve">On failure</w:t>
            </w:r>
          </w:p>
        </w:tc>
      </w:tr>
      <w:tr>
        <w:tc>
          <w:tcPr/>
          <w:p>
            <w:pPr>
              <w:pStyle w:val="Compact"/>
              <w:jc w:val="left"/>
            </w:pPr>
            <w:r>
              <w:rPr>
                <w:sz w:val="19"/>
              </w:rPr>
              <w:t xml:space="preserve">Source recorded</w:t>
            </w:r>
          </w:p>
        </w:tc>
        <w:tc>
          <w:tcPr/>
          <w:p>
            <w:pPr>
              <w:pStyle w:val="Compact"/>
              <w:jc w:val="left"/>
            </w:pPr>
            <w:r>
              <w:rPr>
                <w:sz w:val="19"/>
              </w:rPr>
              <w:t xml:space="preserve">Document and page, or XBRL element and context</w:t>
            </w:r>
          </w:p>
        </w:tc>
        <w:tc>
          <w:tcPr/>
          <w:p>
            <w:pPr>
              <w:pStyle w:val="Compact"/>
              <w:jc w:val="left"/>
            </w:pPr>
            <w:r>
              <w:rPr>
                <w:sz w:val="19"/>
              </w:rPr>
              <w:t xml:space="preserve">Missing (listed in Gaps)</w:t>
            </w:r>
          </w:p>
        </w:tc>
      </w:tr>
      <w:tr>
        <w:tc>
          <w:tcPr/>
          <w:p>
            <w:pPr>
              <w:pStyle w:val="Compact"/>
              <w:jc w:val="left"/>
            </w:pPr>
            <w:r>
              <w:rPr>
                <w:sz w:val="19"/>
              </w:rPr>
              <w:t xml:space="preserve">Value on cited page</w:t>
            </w:r>
          </w:p>
        </w:tc>
        <w:tc>
          <w:tcPr/>
          <w:p>
            <w:pPr>
              <w:pStyle w:val="Compact"/>
              <w:jc w:val="left"/>
            </w:pPr>
            <w:r>
              <w:rPr>
                <w:sz w:val="19"/>
              </w:rPr>
              <w:t xml:space="preserve">PDF figure: the printed value is on the cited page</w:t>
            </w:r>
          </w:p>
        </w:tc>
        <w:tc>
          <w:tcPr/>
          <w:p>
            <w:pPr>
              <w:pStyle w:val="Compact"/>
              <w:jc w:val="left"/>
            </w:pPr>
            <w:r>
              <w:rPr>
                <w:sz w:val="19"/>
              </w:rPr>
              <w:t xml:space="preserve">Low confidence</w:t>
            </w:r>
          </w:p>
        </w:tc>
      </w:tr>
      <w:tr>
        <w:tc>
          <w:tcPr/>
          <w:p>
            <w:pPr>
              <w:pStyle w:val="Compact"/>
              <w:jc w:val="left"/>
            </w:pPr>
            <w:r>
              <w:rPr>
                <w:sz w:val="19"/>
              </w:rPr>
              <w:t xml:space="preserve">Period and basis</w:t>
            </w:r>
          </w:p>
        </w:tc>
        <w:tc>
          <w:tcPr/>
          <w:p>
            <w:pPr>
              <w:pStyle w:val="Compact"/>
              <w:jc w:val="left"/>
            </w:pPr>
            <w:r>
              <w:rPr>
                <w:sz w:val="19"/>
              </w:rPr>
              <w:t xml:space="preserve">Exact three-month context; basis matches the configuration</w:t>
            </w:r>
          </w:p>
        </w:tc>
        <w:tc>
          <w:tcPr/>
          <w:p>
            <w:pPr>
              <w:pStyle w:val="Compact"/>
              <w:jc w:val="left"/>
            </w:pPr>
            <w:r>
              <w:rPr>
                <w:sz w:val="19"/>
              </w:rPr>
              <w:t xml:space="preserve">Low confidence</w:t>
            </w:r>
          </w:p>
        </w:tc>
      </w:tr>
      <w:tr>
        <w:tc>
          <w:tcPr/>
          <w:p>
            <w:pPr>
              <w:pStyle w:val="Compact"/>
              <w:jc w:val="left"/>
            </w:pPr>
            <w:r>
              <w:rPr>
                <w:sz w:val="19"/>
              </w:rPr>
              <w:t xml:space="preserve">Unit</w:t>
            </w:r>
          </w:p>
        </w:tc>
        <w:tc>
          <w:tcPr/>
          <w:p>
            <w:pPr>
              <w:pStyle w:val="Compact"/>
              <w:jc w:val="left"/>
            </w:pPr>
            <w:r>
              <w:rPr>
                <w:sz w:val="19"/>
              </w:rPr>
              <w:t xml:space="preserve">XBRL unit is INR (money) or INR per share (EPS)</w:t>
            </w:r>
          </w:p>
        </w:tc>
        <w:tc>
          <w:tcPr/>
          <w:p>
            <w:pPr>
              <w:pStyle w:val="Compact"/>
              <w:jc w:val="left"/>
            </w:pPr>
            <w:r>
              <w:rPr>
                <w:sz w:val="19"/>
              </w:rPr>
              <w:t xml:space="preserve">Low confidence</w:t>
            </w:r>
          </w:p>
        </w:tc>
      </w:tr>
      <w:tr>
        <w:tc>
          <w:tcPr/>
          <w:p>
            <w:pPr>
              <w:pStyle w:val="Compact"/>
              <w:jc w:val="left"/>
            </w:pPr>
            <w:r>
              <w:rPr>
                <w:sz w:val="19"/>
              </w:rPr>
              <w:t xml:space="preserve">Cross-source</w:t>
            </w:r>
          </w:p>
        </w:tc>
        <w:tc>
          <w:tcPr/>
          <w:p>
            <w:pPr>
              <w:pStyle w:val="Compact"/>
              <w:jc w:val="left"/>
            </w:pPr>
            <w:r>
              <w:rPr>
                <w:sz w:val="19"/>
              </w:rPr>
              <w:t xml:space="preserve">XBRL revenue and PAT appear in that quarter's results release or press release, or a later release's comparator column</w:t>
            </w:r>
          </w:p>
        </w:tc>
        <w:tc>
          <w:tcPr/>
          <w:p>
            <w:pPr>
              <w:pStyle w:val="Compact"/>
              <w:jc w:val="left"/>
            </w:pPr>
            <w:r>
              <w:rPr>
                <w:sz w:val="19"/>
              </w:rPr>
              <w:t xml:space="preserve">Low confidence</w:t>
            </w:r>
          </w:p>
        </w:tc>
      </w:tr>
      <w:tr>
        <w:tc>
          <w:tcPr/>
          <w:p>
            <w:pPr>
              <w:pStyle w:val="Compact"/>
              <w:jc w:val="left"/>
            </w:pPr>
            <w:r>
              <w:rPr>
                <w:sz w:val="19"/>
              </w:rPr>
              <w:t xml:space="preserve">Segment sum</w:t>
            </w:r>
          </w:p>
        </w:tc>
        <w:tc>
          <w:tcPr/>
          <w:p>
            <w:pPr>
              <w:pStyle w:val="Compact"/>
              <w:jc w:val="left"/>
            </w:pPr>
            <w:r>
              <w:rPr>
                <w:sz w:val="19"/>
              </w:rPr>
              <w:t xml:space="preserve">Segment revenues − inter-segment = segment total = revenue</w:t>
            </w:r>
          </w:p>
        </w:tc>
        <w:tc>
          <w:tcPr/>
          <w:p>
            <w:pPr>
              <w:pStyle w:val="Compact"/>
              <w:jc w:val="left"/>
            </w:pPr>
            <w:r>
              <w:rPr>
                <w:sz w:val="19"/>
              </w:rPr>
              <w:t xml:space="preserve">Low confidence</w:t>
            </w:r>
          </w:p>
        </w:tc>
      </w:tr>
      <w:tr>
        <w:tc>
          <w:tcPr/>
          <w:p>
            <w:pPr>
              <w:pStyle w:val="Compact"/>
              <w:jc w:val="left"/>
            </w:pPr>
            <w:r>
              <w:rPr>
                <w:sz w:val="19"/>
              </w:rPr>
              <w:t xml:space="preserve">Derived inputs</w:t>
            </w:r>
          </w:p>
        </w:tc>
        <w:tc>
          <w:tcPr/>
          <w:p>
            <w:pPr>
              <w:pStyle w:val="Compact"/>
              <w:jc w:val="left"/>
            </w:pPr>
            <w:r>
              <w:rPr>
                <w:sz w:val="19"/>
              </w:rPr>
              <w:t xml:space="preserve">Every input of a derived figure is verified</w:t>
            </w:r>
          </w:p>
        </w:tc>
        <w:tc>
          <w:tcPr/>
          <w:p>
            <w:pPr>
              <w:pStyle w:val="Compact"/>
              <w:jc w:val="left"/>
            </w:pPr>
            <w:r>
              <w:rPr>
                <w:sz w:val="19"/>
              </w:rPr>
              <w:t xml:space="preserve">Low confidence</w:t>
            </w:r>
          </w:p>
        </w:tc>
      </w:tr>
    </w:tbl>
    <w:p>
      <w:pPr>
        <w:pStyle w:val="BodyText"/>
      </w:pPr>
    </w:p>
    <w:p>
      <w:pPr>
        <w:pStyle w:val="BodyText"/>
      </w:pPr>
      <w:r>
        <w:rPr/>
        <w:t>A Low-confidence figure stays in the metric table, clearly marked, and is excluded from the headline summary until the analyst resolves it by checking it against the source.</w:t>
      </w:r>
    </w:p>
    <w:p>
      <w:pPr>
        <w:pStyle w:val="Heading2"/>
      </w:pPr>
      <w:r>
        <w:rPr>
          <w:color w:val="6B1A0E"/>
        </w:rPr>
        <w:t>Comparisons</w:t>
      </w:r>
    </w:p>
    <w:p>
      <w:pPr>
        <w:numPr>
          <w:ilvl w:val="0"/>
          <w:numId w:val="1002"/>
        </w:numPr>
        <w:pStyle w:val="Compact"/>
      </w:pPr>
      <w:r>
        <w:rPr/>
        <w:t>Amounts: % change. Margins and other % levels: basis points. Growth rates disclosed by the company: percentage points.</w:t>
      </w:r>
    </w:p>
    <w:p>
      <w:pPr>
        <w:numPr>
          <w:ilvl w:val="0"/>
          <w:numId w:val="1002"/>
        </w:numPr>
        <w:pStyle w:val="Compact"/>
      </w:pPr>
      <w:r>
        <w:rPr/>
        <w:t>Zero or negative base: the absolute change only, labelled n.m. (not meaningful).</w:t>
      </w:r>
    </w:p>
    <w:p>
      <w:pPr>
        <w:numPr>
          <w:ilvl w:val="0"/>
          <w:numId w:val="1002"/>
        </w:numPr>
        <w:pStyle w:val="Compact"/>
      </w:pPr>
      <w:r>
        <w:rPr/>
        <w:t>Comparator copy: the value read from the report quarter's own document first, then the comparator quarter's own document.</w:t>
      </w:r>
    </w:p>
    <w:p>
      <w:pPr>
        <w:numPr>
          <w:ilvl w:val="0"/>
          <w:numId w:val="1002"/>
        </w:numPr>
        <w:pStyle w:val="Compact"/>
      </w:pPr>
      <w:r>
        <w:rPr/>
        <w:t>A missing comparator or estimate is recorded as a gap with its reason.</w:t>
      </w:r>
    </w:p>
    <w:p>
      <w:pPr>
        <w:pStyle w:val="Heading2"/>
      </w:pPr>
      <w:r>
        <w:rPr>
          <w:color w:val="6B1A0E"/>
        </w:rPr>
        <w:t>Severity bands</w:t>
      </w:r>
    </w:p>
    <w:p>
      <w:pPr>
        <w:pStyle w:val="BodyText"/>
      </w:pPr>
      <w:r>
        <w:rPr/>
        <w:t>Severity grades the size of a move, not whether it is good or bad. Moves against the estimate use the main bands; moves against the prior and year-ago quarters use looser bands so that ordinary growth does not grade High.</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600"/>
        <w:gridCol w:w="2880"/>
        <w:gridCol w:w="2880"/>
      </w:tblGrid>
      <w:tr>
        <w:trPr>
          <w:tblHeader w:val="true"/>
        </w:trPr>
        <w:tc>
          <w:tcPr>
            <w:shd w:val="clear" w:color="auto" w:fill="6B1A0E"/>
          </w:tcPr>
          <w:p>
            <w:pPr>
              <w:pStyle w:val="Compact"/>
              <w:jc w:val="left"/>
            </w:pPr>
            <w:r>
              <w:rPr>
                <w:b/>
                <w:color w:val="FFFFFF"/>
                <w:sz w:val="19"/>
              </w:rPr>
              <w:t xml:space="preserve">Group</w:t>
            </w:r>
          </w:p>
        </w:tc>
        <w:tc>
          <w:tcPr>
            <w:shd w:val="clear" w:color="auto" w:fill="6B1A0E"/>
          </w:tcPr>
          <w:p>
            <w:pPr>
              <w:pStyle w:val="Compact"/>
              <w:jc w:val="left"/>
            </w:pPr>
            <w:r>
              <w:rPr>
                <w:b/>
                <w:color w:val="FFFFFF"/>
                <w:sz w:val="19"/>
              </w:rPr>
              <w:t xml:space="preserve">vs estimate: Low / Medium / High</w:t>
            </w:r>
          </w:p>
        </w:tc>
        <w:tc>
          <w:tcPr>
            <w:shd w:val="clear" w:color="auto" w:fill="6B1A0E"/>
          </w:tcPr>
          <w:p>
            <w:pPr>
              <w:pStyle w:val="Compact"/>
              <w:jc w:val="left"/>
            </w:pPr>
            <w:r>
              <w:rPr>
                <w:b/>
                <w:color w:val="FFFFFF"/>
                <w:sz w:val="19"/>
              </w:rPr>
              <w:t xml:space="preserve">vs prior and year-ago</w:t>
            </w:r>
          </w:p>
        </w:tc>
      </w:tr>
      <w:tr>
        <w:tc>
          <w:tcPr/>
          <w:p>
            <w:pPr>
              <w:pStyle w:val="Compact"/>
              <w:jc w:val="left"/>
            </w:pPr>
            <w:r>
              <w:rPr>
                <w:sz w:val="19"/>
              </w:rPr>
              <w:t xml:space="preserve">Revenue, segment revenue</w:t>
            </w:r>
          </w:p>
        </w:tc>
        <w:tc>
          <w:tcPr/>
          <w:p>
            <w:pPr>
              <w:pStyle w:val="Compact"/>
              <w:jc w:val="left"/>
            </w:pPr>
            <w:r>
              <w:rPr>
                <w:sz w:val="19"/>
              </w:rPr>
              <w:t xml:space="preserve">&lt; 2% / 2–5% / &gt; 5%</w:t>
            </w:r>
          </w:p>
        </w:tc>
        <w:tc>
          <w:tcPr/>
          <w:p>
            <w:pPr>
              <w:pStyle w:val="Compact"/>
              <w:jc w:val="left"/>
            </w:pPr>
            <w:r>
              <w:rPr>
                <w:sz w:val="19"/>
              </w:rPr>
              <w:t xml:space="preserve">&lt; 5% / 5–15% / &gt; 15%</w:t>
            </w:r>
          </w:p>
        </w:tc>
      </w:tr>
      <w:tr>
        <w:tc>
          <w:tcPr/>
          <w:p>
            <w:pPr>
              <w:pStyle w:val="Compact"/>
              <w:jc w:val="left"/>
            </w:pPr>
            <w:r>
              <w:rPr>
                <w:sz w:val="19"/>
              </w:rPr>
              <w:t xml:space="preserve">EBITDA, segment result, PAT, EPS, net debt</w:t>
            </w:r>
          </w:p>
        </w:tc>
        <w:tc>
          <w:tcPr/>
          <w:p>
            <w:pPr>
              <w:pStyle w:val="Compact"/>
              <w:jc w:val="left"/>
            </w:pPr>
            <w:r>
              <w:rPr>
                <w:sz w:val="19"/>
              </w:rPr>
              <w:t xml:space="preserve">&lt; 5% / 5–10% / &gt; 10%</w:t>
            </w:r>
          </w:p>
        </w:tc>
        <w:tc>
          <w:tcPr/>
          <w:p>
            <w:pPr>
              <w:pStyle w:val="Compact"/>
              <w:jc w:val="left"/>
            </w:pPr>
            <w:r>
              <w:rPr>
                <w:sz w:val="19"/>
              </w:rPr>
              <w:t xml:space="preserve">&lt; 10% / 10–25% / &gt; 25%</w:t>
            </w:r>
          </w:p>
        </w:tc>
      </w:tr>
      <w:tr>
        <w:tc>
          <w:tcPr/>
          <w:p>
            <w:pPr>
              <w:pStyle w:val="Compact"/>
              <w:jc w:val="left"/>
            </w:pPr>
            <w:r>
              <w:rPr>
                <w:sz w:val="19"/>
              </w:rPr>
              <w:t xml:space="preserve">Margins and % levels</w:t>
            </w:r>
          </w:p>
        </w:tc>
        <w:tc>
          <w:tcPr/>
          <w:p>
            <w:pPr>
              <w:pStyle w:val="Compact"/>
              <w:jc w:val="left"/>
            </w:pPr>
            <w:r>
              <w:rPr>
                <w:sz w:val="19"/>
              </w:rPr>
              <w:t xml:space="preserve">&lt; 50 / 50–150 / &gt; 150 bps</w:t>
            </w:r>
          </w:p>
        </w:tc>
        <w:tc>
          <w:tcPr/>
          <w:p>
            <w:pPr>
              <w:pStyle w:val="Compact"/>
              <w:jc w:val="left"/>
            </w:pPr>
            <w:r>
              <w:rPr>
                <w:sz w:val="19"/>
              </w:rPr>
              <w:t xml:space="preserve">&lt; 100 / 100–300 / &gt; 300 bps</w:t>
            </w:r>
          </w:p>
        </w:tc>
      </w:tr>
      <w:tr>
        <w:tc>
          <w:tcPr/>
          <w:p>
            <w:pPr>
              <w:pStyle w:val="Compact"/>
              <w:jc w:val="left"/>
            </w:pPr>
            <w:r>
              <w:rPr>
                <w:sz w:val="19"/>
              </w:rPr>
              <w:t xml:space="preserve">Volume and count KPIs</w:t>
            </w:r>
          </w:p>
        </w:tc>
        <w:tc>
          <w:tcPr/>
          <w:p>
            <w:pPr>
              <w:pStyle w:val="Compact"/>
              <w:jc w:val="left"/>
            </w:pPr>
            <w:r>
              <w:rPr>
                <w:sz w:val="19"/>
              </w:rPr>
              <w:t xml:space="preserve">&lt; 5% / 5–10% / &gt; 10%</w:t>
            </w:r>
          </w:p>
        </w:tc>
        <w:tc>
          <w:tcPr/>
          <w:p>
            <w:pPr>
              <w:pStyle w:val="Compact"/>
              <w:jc w:val="left"/>
            </w:pPr>
            <w:r>
              <w:rPr>
                <w:sz w:val="19"/>
              </w:rPr>
              <w:t xml:space="preserve">&lt; 10% / 10–20% / &gt; 20%</w:t>
            </w:r>
          </w:p>
        </w:tc>
      </w:tr>
      <w:tr>
        <w:tc>
          <w:tcPr/>
          <w:p>
            <w:pPr>
              <w:pStyle w:val="Compact"/>
              <w:jc w:val="left"/>
            </w:pPr>
            <w:r>
              <w:rPr>
                <w:sz w:val="19"/>
              </w:rPr>
              <w:t xml:space="preserve">Growth-rate KPIs</w:t>
            </w:r>
          </w:p>
        </w:tc>
        <w:tc>
          <w:tcPr/>
          <w:p>
            <w:pPr>
              <w:pStyle w:val="Compact"/>
              <w:jc w:val="left"/>
            </w:pPr>
            <w:r>
              <w:rPr>
                <w:sz w:val="19"/>
              </w:rPr>
              <w:t xml:space="preserve">&lt; 2 / 2–5 / &gt; 5 pp</w:t>
            </w:r>
          </w:p>
        </w:tc>
        <w:tc>
          <w:tcPr/>
          <w:p>
            <w:pPr>
              <w:pStyle w:val="Compact"/>
              <w:jc w:val="left"/>
            </w:pPr>
            <w:r>
              <w:rPr>
                <w:sz w:val="19"/>
              </w:rPr>
              <w:t xml:space="preserve">&lt; 5 / 5–10 / &gt; 10 pp</w:t>
            </w:r>
          </w:p>
        </w:tc>
      </w:tr>
    </w:tbl>
    <w:p>
      <w:pPr>
        <w:pStyle w:val="BodyText"/>
      </w:pPr>
    </w:p>
    <w:p>
      <w:r>
        <w:br w:type="page"/>
      </w:r>
    </w:p>
    <w:p>
      <w:pPr>
        <w:pStyle w:val="Heading1"/>
      </w:pPr>
      <w:r>
        <w:rPr>
          <w:color w:val="6B1A0E"/>
        </w:rPr>
        <w:t>7. Change Report, Review &amp; Export</w:t>
      </w:r>
    </w:p>
    <w:p>
      <w:pPr>
        <w:pStyle w:val="FirstParagraph"/>
      </w:pPr>
      <w:r>
        <w:rPr/>
        <w:t>One report per company per quarter, built from the database, reviewed on screen and exported to Excel and PDF from the same approved snapshot.</w:t>
      </w:r>
    </w:p>
    <w:p>
      <w:pPr>
        <w:pStyle w:val="Heading2"/>
      </w:pPr>
      <w:r>
        <w:rPr>
          <w:color w:val="6B1A0E"/>
        </w:rPr>
        <w:t>Report sections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340"/>
        <w:gridCol w:w="7020"/>
      </w:tblGrid>
      <w:tr>
        <w:trPr>
          <w:tblHeader w:val="true"/>
        </w:trPr>
        <w:tc>
          <w:tcPr>
            <w:shd w:val="clear" w:color="auto" w:fill="6B1A0E"/>
          </w:tcPr>
          <w:p>
            <w:pPr>
              <w:pStyle w:val="Compact"/>
              <w:jc w:val="left"/>
            </w:pPr>
            <w:r>
              <w:rPr>
                <w:b/>
                <w:color w:val="FFFFFF"/>
                <w:sz w:val="19"/>
              </w:rPr>
              <w:t xml:space="preserve">Section</w:t>
            </w:r>
          </w:p>
        </w:tc>
        <w:tc>
          <w:tcPr>
            <w:shd w:val="clear" w:color="auto" w:fill="6B1A0E"/>
          </w:tcPr>
          <w:p>
            <w:pPr>
              <w:pStyle w:val="Compact"/>
              <w:jc w:val="left"/>
            </w:pPr>
            <w:r>
              <w:rPr>
                <w:b/>
                <w:color w:val="FFFFFF"/>
                <w:sz w:val="19"/>
              </w:rPr>
              <w:t xml:space="preserve">Contents</w:t>
            </w:r>
          </w:p>
        </w:tc>
      </w:tr>
      <w:tr>
        <w:tc>
          <w:tcPr/>
          <w:p>
            <w:pPr>
              <w:pStyle w:val="Compact"/>
              <w:jc w:val="left"/>
            </w:pPr>
            <w:r>
              <w:rPr>
                <w:sz w:val="19"/>
              </w:rPr>
              <w:t xml:space="preserve">Header</w:t>
            </w:r>
          </w:p>
        </w:tc>
        <w:tc>
          <w:tcPr/>
          <w:p>
            <w:pPr>
              <w:pStyle w:val="Compact"/>
              <w:jc w:val="left"/>
            </w:pPr>
            <w:r>
              <w:rPr>
                <w:sz w:val="19"/>
              </w:rPr>
              <w:t xml:space="preserve">Company, quarter, basis, status (Draft / Approved), approver and time, documents used, company notes</w:t>
            </w:r>
          </w:p>
        </w:tc>
      </w:tr>
      <w:tr>
        <w:tc>
          <w:tcPr/>
          <w:p>
            <w:pPr>
              <w:pStyle w:val="Compact"/>
              <w:jc w:val="left"/>
            </w:pPr>
            <w:r>
              <w:rPr>
                <w:sz w:val="19"/>
              </w:rPr>
              <w:t xml:space="preserve">Headline summary</w:t>
            </w:r>
          </w:p>
        </w:tc>
        <w:tc>
          <w:tcPr/>
          <w:p>
            <w:pPr>
              <w:pStyle w:val="Compact"/>
              <w:jc w:val="left"/>
            </w:pPr>
            <w:r>
              <w:rPr>
                <w:sz w:val="19"/>
              </w:rPr>
              <w:t xml:space="preserve">The 3–5 largest moves against estimate, from verified figures only, as plain sentences</w:t>
            </w:r>
          </w:p>
        </w:tc>
      </w:tr>
      <w:tr>
        <w:tc>
          <w:tcPr/>
          <w:p>
            <w:pPr>
              <w:pStyle w:val="Compact"/>
              <w:jc w:val="left"/>
            </w:pPr>
            <w:r>
              <w:rPr>
                <w:sz w:val="19"/>
              </w:rPr>
              <w:t xml:space="preserve">Metric table</w:t>
            </w:r>
          </w:p>
        </w:tc>
        <w:tc>
          <w:tcPr/>
          <w:p>
            <w:pPr>
              <w:pStyle w:val="Compact"/>
              <w:jc w:val="left"/>
            </w:pPr>
            <w:r>
              <w:rPr>
                <w:sz w:val="19"/>
              </w:rPr>
              <w:t xml:space="preserve">Reported value; prior quarter, year-ago and estimate with change; severity; management explanation; source; verification status</w:t>
            </w:r>
          </w:p>
        </w:tc>
      </w:tr>
      <w:tr>
        <w:tc>
          <w:tcPr/>
          <w:p>
            <w:pPr>
              <w:pStyle w:val="Compact"/>
              <w:jc w:val="left"/>
            </w:pPr>
            <w:r>
              <w:rPr>
                <w:sz w:val="19"/>
              </w:rPr>
              <w:t xml:space="preserve">Guidance changes</w:t>
            </w:r>
          </w:p>
        </w:tc>
        <w:tc>
          <w:tcPr/>
          <w:p>
            <w:pPr>
              <w:pStyle w:val="Compact"/>
              <w:jc w:val="left"/>
            </w:pPr>
            <w:r>
              <w:rPr>
                <w:sz w:val="19"/>
              </w:rPr>
              <w:t xml:space="preserve">Per topic, up to two current and two prior-quarter quotes with page references</w:t>
            </w:r>
          </w:p>
        </w:tc>
      </w:tr>
      <w:tr>
        <w:tc>
          <w:tcPr/>
          <w:p>
            <w:pPr>
              <w:pStyle w:val="Compact"/>
              <w:jc w:val="left"/>
            </w:pPr>
            <w:r>
              <w:rPr>
                <w:sz w:val="19"/>
              </w:rPr>
              <w:t xml:space="preserve">Governance / accounting flags</w:t>
            </w:r>
          </w:p>
        </w:tc>
        <w:tc>
          <w:tcPr/>
          <w:p>
            <w:pPr>
              <w:pStyle w:val="Compact"/>
              <w:jc w:val="left"/>
            </w:pPr>
            <w:r>
              <w:rPr>
                <w:sz w:val="19"/>
              </w:rPr>
              <w:t xml:space="preserve">Each flag quote with speaker, page and "for analyst review"</w:t>
            </w:r>
          </w:p>
        </w:tc>
      </w:tr>
      <w:tr>
        <w:tc>
          <w:tcPr/>
          <w:p>
            <w:pPr>
              <w:pStyle w:val="Compact"/>
              <w:jc w:val="left"/>
            </w:pPr>
            <w:r>
              <w:rPr>
                <w:sz w:val="19"/>
              </w:rPr>
              <w:t xml:space="preserve">Gaps</w:t>
            </w:r>
          </w:p>
        </w:tc>
        <w:tc>
          <w:tcPr/>
          <w:p>
            <w:pPr>
              <w:pStyle w:val="Compact"/>
              <w:jc w:val="left"/>
            </w:pPr>
            <w:r>
              <w:rPr>
                <w:sz w:val="19"/>
              </w:rPr>
              <w:t xml:space="preserve">Figures not disclosed, comparisons without a comparator, and unverified figures, with the reason</w:t>
            </w:r>
          </w:p>
        </w:tc>
      </w:tr>
      <w:tr>
        <w:tc>
          <w:tcPr/>
          <w:p>
            <w:pPr>
              <w:pStyle w:val="Compact"/>
              <w:jc w:val="left"/>
            </w:pPr>
            <w:r>
              <w:rPr>
                <w:sz w:val="19"/>
              </w:rPr>
              <w:t xml:space="preserve">Sources</w:t>
            </w:r>
          </w:p>
        </w:tc>
        <w:tc>
          <w:tcPr/>
          <w:p>
            <w:pPr>
              <w:pStyle w:val="Compact"/>
              <w:jc w:val="left"/>
            </w:pPr>
            <w:r>
              <w:rPr>
                <w:sz w:val="19"/>
              </w:rPr>
              <w:t xml:space="preserve">Every document used, with its publication date and SHA-256</w:t>
            </w:r>
          </w:p>
        </w:tc>
      </w:tr>
    </w:tbl>
    <w:p>
      <w:pPr>
        <w:pStyle w:val="BodyText"/>
      </w:pPr>
    </w:p>
    <w:p>
      <w:pPr>
        <w:pStyle w:val="Heading2"/>
      </w:pPr>
      <w:r>
        <w:rPr>
          <w:color w:val="6B1A0E"/>
        </w:rPr>
        <w:t>Approval rule</w:t>
      </w:r>
    </w:p>
    <w:p>
      <w:pPr>
        <w:numPr>
          <w:ilvl w:val="0"/>
          <w:numId w:val="1002"/>
        </w:numPr>
        <w:pStyle w:val="Compact"/>
      </w:pPr>
      <w:r>
        <w:rPr/>
        <w:t>Every item — each metric row, guidance candidate and flag — must be approved, rejected or corrected.</w:t>
      </w:r>
    </w:p>
    <w:p>
      <w:pPr>
        <w:numPr>
          <w:ilvl w:val="0"/>
          <w:numId w:val="1002"/>
        </w:numPr>
        <w:pStyle w:val="Compact"/>
      </w:pPr>
      <w:r>
        <w:rPr/>
        <w:t>A Low-confidence figure can be approved only with a note saying what was checked against the source; it then becomes Manually verified, and the check survives re-runs while the value is unchanged.</w:t>
      </w:r>
    </w:p>
    <w:p>
      <w:pPr>
        <w:numPr>
          <w:ilvl w:val="0"/>
          <w:numId w:val="1002"/>
        </w:numPr>
        <w:pStyle w:val="Compact"/>
      </w:pPr>
      <w:r>
        <w:rPr/>
        <w:t>A correction needs a reason; the original extraction is kept and the comparisons are recomputed.</w:t>
      </w:r>
    </w:p>
    <w:p>
      <w:pPr>
        <w:numPr>
          <w:ilvl w:val="0"/>
          <w:numId w:val="1002"/>
        </w:numPr>
        <w:pStyle w:val="Compact"/>
      </w:pPr>
      <w:r>
        <w:rPr/>
        <w:t>Approval records the reviewer and time and saves a snapshot with a fingerprint of its content. If any input changes later, the report returns to Draft. Exporting never counts as approving.</w:t>
      </w:r>
    </w:p>
    <w:p>
      <w:pPr>
        <w:pStyle w:val="Heading2"/>
      </w:pPr>
      <w:r>
        <w:rPr>
          <w:color w:val="6B1A0E"/>
        </w:rPr>
        <w:t>Exports</w:t>
      </w:r>
    </w:p>
    <w:p>
      <w:pPr>
        <w:pStyle w:val="BodyText"/>
      </w:pPr>
      <w:r>
        <w:rPr/>
        <w:t>Excel (sheets: Report, Guidance, Flags, Gaps, Sources, Audit log) and PDF (landscape A4) are written from the same display rows, so they always match. Unapproved reports carry DRAFT on every sheet and a watermark on every page; files are named &lt;COMPANY&gt;_&lt;QUARTER&gt;_&lt;DRAFT|APPROVED&gt;.</w:t>
      </w:r>
    </w:p>
    <w:p>
      <w:r>
        <w:br w:type="page"/>
      </w:r>
    </w:p>
    <w:p>
      <w:pPr>
        <w:pStyle w:val="Heading1"/>
      </w:pPr>
      <w:r>
        <w:rPr>
          <w:color w:val="6B1A0E"/>
        </w:rPr>
        <w:t>8. Configuration &amp; Data Model</w:t>
      </w:r>
    </w:p>
    <w:p>
      <w:pPr>
        <w:pStyle w:val="FirstParagraph"/>
      </w:pPr>
      <w:r>
        <w:rPr/>
        <w:t>All business rules live in YAML files that an analyst can read, and all results live in one SQLite database; the code holds no company-specific numbers.</w:t>
      </w:r>
    </w:p>
    <w:p>
      <w:pPr>
        <w:pStyle w:val="Heading2"/>
      </w:pPr>
      <w:r>
        <w:rPr>
          <w:color w:val="6B1A0E"/>
        </w:rPr>
        <w:t>Configuration files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120"/>
        <w:gridCol w:w="6240"/>
      </w:tblGrid>
      <w:tr>
        <w:trPr>
          <w:tblHeader w:val="true"/>
        </w:trPr>
        <w:tc>
          <w:tcPr>
            <w:shd w:val="clear" w:color="auto" w:fill="6B1A0E"/>
          </w:tcPr>
          <w:p>
            <w:pPr>
              <w:pStyle w:val="Compact"/>
              <w:jc w:val="left"/>
            </w:pPr>
            <w:r>
              <w:rPr>
                <w:b/>
                <w:color w:val="FFFFFF"/>
                <w:sz w:val="19"/>
              </w:rPr>
              <w:t xml:space="preserve">File</w:t>
            </w:r>
          </w:p>
        </w:tc>
        <w:tc>
          <w:tcPr>
            <w:shd w:val="clear" w:color="auto" w:fill="6B1A0E"/>
          </w:tcPr>
          <w:p>
            <w:pPr>
              <w:pStyle w:val="Compact"/>
              <w:jc w:val="left"/>
            </w:pPr>
            <w:r>
              <w:rPr>
                <w:b/>
                <w:color w:val="FFFFFF"/>
                <w:sz w:val="19"/>
              </w:rPr>
              <w:t xml:space="preserve">Holds</w:t>
            </w:r>
          </w:p>
        </w:tc>
      </w:tr>
      <w:tr>
        <w:tc>
          <w:tcPr/>
          <w:p>
            <w:pPr>
              <w:pStyle w:val="Compact"/>
              <w:jc w:val="left"/>
            </w:pPr>
            <w:r>
              <w:rPr>
                <w:sz w:val="19"/>
              </w:rPr>
              <w:t xml:space="preserve">companies.yaml</w:t>
            </w:r>
          </w:p>
        </w:tc>
        <w:tc>
          <w:tcPr/>
          <w:p>
            <w:pPr>
              <w:pStyle w:val="Compact"/>
              <w:jc w:val="left"/>
            </w:pPr>
            <w:r>
              <w:rPr>
                <w:sz w:val="19"/>
              </w:rPr>
              <w:t xml:space="preserve">Company ID, name, NSE/BSE code, sector, basis, segment aliases, report notes</w:t>
            </w:r>
          </w:p>
        </w:tc>
      </w:tr>
      <w:tr>
        <w:tc>
          <w:tcPr/>
          <w:p>
            <w:pPr>
              <w:pStyle w:val="Compact"/>
              <w:jc w:val="left"/>
            </w:pPr>
            <w:r>
              <w:rPr>
                <w:sz w:val="19"/>
              </w:rPr>
              <w:t xml:space="preserve">metrics.yaml</w:t>
            </w:r>
          </w:p>
        </w:tc>
        <w:tc>
          <w:tcPr/>
          <w:p>
            <w:pPr>
              <w:pStyle w:val="Compact"/>
              <w:jc w:val="left"/>
            </w:pPr>
            <w:r>
              <w:rPr>
                <w:sz w:val="19"/>
              </w:rPr>
              <w:t xml:space="preserve">The metric dictionary (see docs/metric_dictionary.md)</w:t>
            </w:r>
          </w:p>
        </w:tc>
      </w:tr>
      <w:tr>
        <w:tc>
          <w:tcPr/>
          <w:p>
            <w:pPr>
              <w:pStyle w:val="Compact"/>
              <w:jc w:val="left"/>
            </w:pPr>
            <w:r>
              <w:rPr>
                <w:sz w:val="19"/>
              </w:rPr>
              <w:t xml:space="preserve">thresholds.yaml</w:t>
            </w:r>
          </w:p>
        </w:tc>
        <w:tc>
          <w:tcPr/>
          <w:p>
            <w:pPr>
              <w:pStyle w:val="Compact"/>
              <w:jc w:val="left"/>
            </w:pPr>
            <w:r>
              <w:rPr>
                <w:sz w:val="19"/>
              </w:rPr>
              <w:t xml:space="preserve">Low / Medium / High bands per metric group, vs estimate and vs prior / year-ago</w:t>
            </w:r>
          </w:p>
        </w:tc>
      </w:tr>
      <w:tr>
        <w:tc>
          <w:tcPr/>
          <w:p>
            <w:pPr>
              <w:pStyle w:val="Compact"/>
              <w:jc w:val="left"/>
            </w:pPr>
            <w:r>
              <w:rPr>
                <w:sz w:val="19"/>
              </w:rPr>
              <w:t xml:space="preserve">sources.yaml</w:t>
            </w:r>
          </w:p>
        </w:tc>
        <w:tc>
          <w:tcPr/>
          <w:p>
            <w:pPr>
              <w:pStyle w:val="Compact"/>
              <w:jc w:val="left"/>
            </w:pPr>
            <w:r>
              <w:rPr>
                <w:sz w:val="19"/>
              </w:rPr>
              <w:t xml:space="preserve">Every document with type, file path, period, URL, publication date and SHA-256</w:t>
            </w:r>
          </w:p>
        </w:tc>
      </w:tr>
      <w:tr>
        <w:tc>
          <w:tcPr/>
          <w:p>
            <w:pPr>
              <w:pStyle w:val="Compact"/>
              <w:jc w:val="left"/>
            </w:pPr>
            <w:r>
              <w:rPr>
                <w:sz w:val="19"/>
              </w:rPr>
              <w:t xml:space="preserve">pdf_rules/&lt;company&gt;.yaml</w:t>
            </w:r>
          </w:p>
        </w:tc>
        <w:tc>
          <w:tcPr/>
          <w:p>
            <w:pPr>
              <w:pStyle w:val="Compact"/>
              <w:jc w:val="left"/>
            </w:pPr>
            <w:r>
              <w:rPr>
                <w:sz w:val="19"/>
              </w:rPr>
              <w:t xml:space="preserve">Page anchors, row labels, column headers or chart regions for each KPI</w:t>
            </w:r>
          </w:p>
        </w:tc>
      </w:tr>
      <w:tr>
        <w:tc>
          <w:tcPr/>
          <w:p>
            <w:pPr>
              <w:pStyle w:val="Compact"/>
              <w:jc w:val="left"/>
            </w:pPr>
            <w:r>
              <w:rPr>
                <w:sz w:val="19"/>
              </w:rPr>
              <w:t xml:space="preserve">commentary_rules.yaml</w:t>
            </w:r>
          </w:p>
        </w:tc>
        <w:tc>
          <w:tcPr/>
          <w:p>
            <w:pPr>
              <w:pStyle w:val="Compact"/>
              <w:jc w:val="left"/>
            </w:pPr>
            <w:r>
              <w:rPr>
                <w:sz w:val="19"/>
              </w:rPr>
              <w:t xml:space="preserve">Speaker formats, management rosters, guidance / explanation / flag phrases, topics</w:t>
            </w:r>
          </w:p>
        </w:tc>
      </w:tr>
      <w:tr>
        <w:tc>
          <w:tcPr/>
          <w:p>
            <w:pPr>
              <w:pStyle w:val="Compact"/>
              <w:jc w:val="left"/>
            </w:pPr>
            <w:r>
              <w:rPr>
                <w:sz w:val="19"/>
              </w:rPr>
              <w:t xml:space="preserve">model_map.yaml</w:t>
            </w:r>
          </w:p>
        </w:tc>
        <w:tc>
          <w:tcPr/>
          <w:p>
            <w:pPr>
              <w:pStyle w:val="Compact"/>
              <w:jc w:val="left"/>
            </w:pPr>
            <w:r>
              <w:rPr>
                <w:sz w:val="19"/>
              </w:rPr>
              <w:t xml:space="preserve">Analyst-model sheet and cell for each metric and quarter, units, estimate date</w:t>
            </w:r>
          </w:p>
        </w:tc>
      </w:tr>
    </w:tbl>
    <w:p>
      <w:pPr>
        <w:pStyle w:val="BodyText"/>
      </w:pPr>
    </w:p>
    <w:p>
      <w:pPr>
        <w:pStyle w:val="Heading2"/>
      </w:pPr>
      <w:r>
        <w:rPr>
          <w:color w:val="6B1A0E"/>
        </w:rPr>
        <w:t>Database tables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2340"/>
        <w:gridCol w:w="7020"/>
      </w:tblGrid>
      <w:tr>
        <w:trPr>
          <w:tblHeader w:val="true"/>
        </w:trPr>
        <w:tc>
          <w:tcPr>
            <w:shd w:val="clear" w:color="auto" w:fill="6B1A0E"/>
          </w:tcPr>
          <w:p>
            <w:pPr>
              <w:pStyle w:val="Compact"/>
              <w:jc w:val="left"/>
            </w:pPr>
            <w:r>
              <w:rPr>
                <w:b/>
                <w:color w:val="FFFFFF"/>
                <w:sz w:val="19"/>
              </w:rPr>
              <w:t xml:space="preserve">Table</w:t>
            </w:r>
          </w:p>
        </w:tc>
        <w:tc>
          <w:tcPr>
            <w:shd w:val="clear" w:color="auto" w:fill="6B1A0E"/>
          </w:tcPr>
          <w:p>
            <w:pPr>
              <w:pStyle w:val="Compact"/>
              <w:jc w:val="left"/>
            </w:pPr>
            <w:r>
              <w:rPr>
                <w:b/>
                <w:color w:val="FFFFFF"/>
                <w:sz w:val="19"/>
              </w:rPr>
              <w:t xml:space="preserve">Holds</w:t>
            </w:r>
          </w:p>
        </w:tc>
      </w:tr>
      <w:tr>
        <w:tc>
          <w:tcPr/>
          <w:p>
            <w:pPr>
              <w:pStyle w:val="Compact"/>
              <w:jc w:val="left"/>
            </w:pPr>
            <w:r>
              <w:rPr>
                <w:sz w:val="19"/>
              </w:rPr>
              <w:t xml:space="preserve">documents</w:t>
            </w:r>
          </w:p>
        </w:tc>
        <w:tc>
          <w:tcPr/>
          <w:p>
            <w:pPr>
              <w:pStyle w:val="Compact"/>
              <w:jc w:val="left"/>
            </w:pPr>
            <w:r>
              <w:rPr>
                <w:sz w:val="19"/>
              </w:rPr>
              <w:t xml:space="preserve">Every source document with hash, URL and dates</w:t>
            </w:r>
          </w:p>
        </w:tc>
      </w:tr>
      <w:tr>
        <w:tc>
          <w:tcPr/>
          <w:p>
            <w:pPr>
              <w:pStyle w:val="Compact"/>
              <w:jc w:val="left"/>
            </w:pPr>
            <w:r>
              <w:rPr>
                <w:sz w:val="19"/>
              </w:rPr>
              <w:t xml:space="preserve">pages</w:t>
            </w:r>
          </w:p>
        </w:tc>
        <w:tc>
          <w:tcPr/>
          <w:p>
            <w:pPr>
              <w:pStyle w:val="Compact"/>
              <w:jc w:val="left"/>
            </w:pPr>
            <w:r>
              <w:rPr>
                <w:sz w:val="19"/>
              </w:rPr>
              <w:t xml:space="preserve">The text of every PDF page, with a scanned flag</w:t>
            </w:r>
          </w:p>
        </w:tc>
      </w:tr>
      <w:tr>
        <w:tc>
          <w:tcPr/>
          <w:p>
            <w:pPr>
              <w:pStyle w:val="Compact"/>
              <w:jc w:val="left"/>
            </w:pPr>
            <w:r>
              <w:rPr>
                <w:sz w:val="19"/>
              </w:rPr>
              <w:t xml:space="preserve">figures</w:t>
            </w:r>
          </w:p>
        </w:tc>
        <w:tc>
          <w:tcPr/>
          <w:p>
            <w:pPr>
              <w:pStyle w:val="Compact"/>
              <w:jc w:val="left"/>
            </w:pPr>
            <w:r>
              <w:rPr>
                <w:sz w:val="19"/>
              </w:rPr>
              <w:t xml:space="preserve">Every value with period, basis, segment, unit, source (page or XBRL context), method and status</w:t>
            </w:r>
          </w:p>
        </w:tc>
      </w:tr>
      <w:tr>
        <w:tc>
          <w:tcPr/>
          <w:p>
            <w:pPr>
              <w:pStyle w:val="Compact"/>
              <w:jc w:val="left"/>
            </w:pPr>
            <w:r>
              <w:rPr>
                <w:sz w:val="19"/>
              </w:rPr>
              <w:t xml:space="preserve">estimates</w:t>
            </w:r>
          </w:p>
        </w:tc>
        <w:tc>
          <w:tcPr/>
          <w:p>
            <w:pPr>
              <w:pStyle w:val="Compact"/>
              <w:jc w:val="left"/>
            </w:pPr>
            <w:r>
              <w:rPr>
                <w:sz w:val="19"/>
              </w:rPr>
              <w:t xml:space="preserve">Every estimate with its sheet and cell</w:t>
            </w:r>
          </w:p>
        </w:tc>
      </w:tr>
      <w:tr>
        <w:tc>
          <w:tcPr/>
          <w:p>
            <w:pPr>
              <w:pStyle w:val="Compact"/>
              <w:jc w:val="left"/>
            </w:pPr>
            <w:r>
              <w:rPr>
                <w:sz w:val="19"/>
              </w:rPr>
              <w:t xml:space="preserve">comparisons</w:t>
            </w:r>
          </w:p>
        </w:tc>
        <w:tc>
          <w:tcPr/>
          <w:p>
            <w:pPr>
              <w:pStyle w:val="Compact"/>
              <w:jc w:val="left"/>
            </w:pPr>
            <w:r>
              <w:rPr>
                <w:sz w:val="19"/>
              </w:rPr>
              <w:t xml:space="preserve">Each change vs prior, year-ago and estimate, with severity or gap reason</w:t>
            </w:r>
          </w:p>
        </w:tc>
      </w:tr>
      <w:tr>
        <w:tc>
          <w:tcPr/>
          <w:p>
            <w:pPr>
              <w:pStyle w:val="Compact"/>
              <w:jc w:val="left"/>
            </w:pPr>
            <w:r>
              <w:rPr>
                <w:sz w:val="19"/>
              </w:rPr>
              <w:t xml:space="preserve">statements</w:t>
            </w:r>
          </w:p>
        </w:tc>
        <w:tc>
          <w:tcPr/>
          <w:p>
            <w:pPr>
              <w:pStyle w:val="Compact"/>
              <w:jc w:val="left"/>
            </w:pPr>
            <w:r>
              <w:rPr>
                <w:sz w:val="19"/>
              </w:rPr>
              <w:t xml:space="preserve">Guidance, explanations and flags as exact quotes with page and speaker</w:t>
            </w:r>
          </w:p>
        </w:tc>
      </w:tr>
      <w:tr>
        <w:tc>
          <w:tcPr/>
          <w:p>
            <w:pPr>
              <w:pStyle w:val="Compact"/>
              <w:jc w:val="left"/>
            </w:pPr>
            <w:r>
              <w:rPr>
                <w:sz w:val="19"/>
              </w:rPr>
              <w:t xml:space="preserve">reviews</w:t>
            </w:r>
          </w:p>
        </w:tc>
        <w:tc>
          <w:tcPr/>
          <w:p>
            <w:pPr>
              <w:pStyle w:val="Compact"/>
              <w:jc w:val="left"/>
            </w:pPr>
            <w:r>
              <w:rPr>
                <w:sz w:val="19"/>
              </w:rPr>
              <w:t xml:space="preserve">Every analyst action with reviewer, comment and old / new value</w:t>
            </w:r>
          </w:p>
        </w:tc>
      </w:tr>
      <w:tr>
        <w:tc>
          <w:tcPr/>
          <w:p>
            <w:pPr>
              <w:pStyle w:val="Compact"/>
              <w:jc w:val="left"/>
            </w:pPr>
            <w:r>
              <w:rPr>
                <w:sz w:val="19"/>
              </w:rPr>
              <w:t xml:space="preserve">reports</w:t>
            </w:r>
          </w:p>
        </w:tc>
        <w:tc>
          <w:tcPr/>
          <w:p>
            <w:pPr>
              <w:pStyle w:val="Compact"/>
              <w:jc w:val="left"/>
            </w:pPr>
            <w:r>
              <w:rPr>
                <w:sz w:val="19"/>
              </w:rPr>
              <w:t xml:space="preserve">Report status, approved snapshot, fingerprint, approver and time</w:t>
            </w:r>
          </w:p>
        </w:tc>
      </w:tr>
      <w:tr>
        <w:tc>
          <w:tcPr/>
          <w:p>
            <w:pPr>
              <w:pStyle w:val="Compact"/>
              <w:jc w:val="left"/>
            </w:pPr>
            <w:r>
              <w:rPr>
                <w:sz w:val="19"/>
              </w:rPr>
              <w:t xml:space="preserve">audit_log</w:t>
            </w:r>
          </w:p>
        </w:tc>
        <w:tc>
          <w:tcPr/>
          <w:p>
            <w:pPr>
              <w:pStyle w:val="Compact"/>
              <w:jc w:val="left"/>
            </w:pPr>
            <w:r>
              <w:rPr>
                <w:sz w:val="19"/>
              </w:rPr>
              <w:t xml:space="preserve">Append-only record of every ingest, extraction, check, flag, review, approval and export</w:t>
            </w:r>
          </w:p>
        </w:tc>
      </w:tr>
    </w:tbl>
    <w:p>
      <w:pPr>
        <w:pStyle w:val="BodyText"/>
      </w:pPr>
    </w:p>
    <w:p>
      <w:pPr>
        <w:pStyle w:val="Heading2"/>
      </w:pPr>
      <w:r>
        <w:rPr>
          <w:color w:val="6B1A0E"/>
        </w:rPr>
        <w:t>Data rules</w:t>
      </w:r>
    </w:p>
    <w:p>
      <w:pPr>
        <w:numPr>
          <w:ilvl w:val="0"/>
          <w:numId w:val="1002"/>
        </w:numPr>
        <w:pStyle w:val="Compact"/>
      </w:pPr>
      <w:r>
        <w:rPr/>
        <w:t>Values are stored as exact decimals, never floats.</w:t>
      </w:r>
    </w:p>
    <w:p>
      <w:pPr>
        <w:numPr>
          <w:ilvl w:val="0"/>
          <w:numId w:val="1002"/>
        </w:numPr>
        <w:pStyle w:val="Compact"/>
      </w:pPr>
      <w:r>
        <w:rPr/>
        <w:t>Monetary figures are normalised to ₹ crore; the original value and unit are kept beside them.</w:t>
      </w:r>
    </w:p>
    <w:p>
      <w:pPr>
        <w:numPr>
          <w:ilvl w:val="0"/>
          <w:numId w:val="1002"/>
        </w:numPr>
        <w:pStyle w:val="Compact"/>
      </w:pPr>
      <w:r>
        <w:rPr/>
        <w:t>A blank, "–" or nil value is missing, never zero.</w:t>
      </w:r>
    </w:p>
    <w:p>
      <w:pPr>
        <w:numPr>
          <w:ilvl w:val="0"/>
          <w:numId w:val="1002"/>
        </w:numPr>
        <w:pStyle w:val="Compact"/>
      </w:pPr>
      <w:r>
        <w:rPr/>
        <w:t>Figure status is Verified, Low confidence, Missing, or Manually verified once checked against the source.</w:t>
      </w:r>
    </w:p>
    <w:p>
      <w:pPr>
        <w:numPr>
          <w:ilvl w:val="0"/>
          <w:numId w:val="1002"/>
        </w:numPr>
        <w:pStyle w:val="Compact"/>
      </w:pPr>
      <w:r>
        <w:rPr/>
        <w:t>An analyst correction is saved as a new value with a reason; the original extraction is kept.</w:t>
      </w:r>
    </w:p>
    <w:p>
      <w:pPr>
        <w:numPr>
          <w:ilvl w:val="0"/>
          <w:numId w:val="1002"/>
        </w:numPr>
        <w:pStyle w:val="Compact"/>
      </w:pPr>
      <w:r>
        <w:rPr/>
        <w:t>The audit log is append-only: updates and deletes are rejected by the database.</w:t>
      </w:r>
    </w:p>
    <w:p>
      <w:r>
        <w:br w:type="page"/>
      </w:r>
    </w:p>
    <w:p>
      <w:pPr>
        <w:pStyle w:val="Heading1"/>
      </w:pPr>
      <w:r>
        <w:rPr>
          <w:color w:val="6B1A0E"/>
        </w:rPr>
        <w:t>9. Results &amp; Quality Assurance</w:t>
      </w:r>
    </w:p>
    <w:p>
      <w:pPr>
        <w:pStyle w:val="FirstParagraph"/>
      </w:pPr>
      <w:r>
        <w:rPr/>
        <w:t>All 10 Change Reports are built and 10 are approved; every one of the 655 figures they display was re-read from its source with 0 mismatches.</w:t>
      </w:r>
    </w:p>
    <w:p>
      <w:pPr>
        <w:pStyle w:val="Heading2"/>
      </w:pPr>
      <w:r>
        <w:rPr>
          <w:color w:val="6B1A0E"/>
        </w:rPr>
        <w:t>Phase 1 results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120"/>
        <w:gridCol w:w="6240"/>
      </w:tblGrid>
      <w:tr>
        <w:trPr>
          <w:tblHeader w:val="true"/>
        </w:trPr>
        <w:tc>
          <w:tcPr>
            <w:shd w:val="clear" w:color="auto" w:fill="6B1A0E"/>
          </w:tcPr>
          <w:p>
            <w:pPr>
              <w:pStyle w:val="Compact"/>
              <w:jc w:val="left"/>
            </w:pPr>
            <w:r>
              <w:rPr>
                <w:b/>
                <w:color w:val="FFFFFF"/>
                <w:sz w:val="19"/>
              </w:rPr>
              <w:t xml:space="preserve">Measure</w:t>
            </w:r>
          </w:p>
        </w:tc>
        <w:tc>
          <w:tcPr>
            <w:shd w:val="clear" w:color="auto" w:fill="6B1A0E"/>
          </w:tcPr>
          <w:p>
            <w:pPr>
              <w:pStyle w:val="Compact"/>
              <w:jc w:val="left"/>
            </w:pPr>
            <w:r>
              <w:rPr>
                <w:b/>
                <w:color w:val="FFFFFF"/>
                <w:sz w:val="19"/>
              </w:rPr>
              <w:t xml:space="preserve">Result</w:t>
            </w:r>
          </w:p>
        </w:tc>
      </w:tr>
      <w:tr>
        <w:tc>
          <w:tcPr/>
          <w:p>
            <w:pPr>
              <w:pStyle w:val="Compact"/>
              <w:jc w:val="left"/>
            </w:pPr>
            <w:r>
              <w:rPr>
                <w:sz w:val="19"/>
              </w:rPr>
              <w:t xml:space="preserve">Documents registered</w:t>
            </w:r>
          </w:p>
        </w:tc>
        <w:tc>
          <w:tcPr/>
          <w:p>
            <w:pPr>
              <w:pStyle w:val="Compact"/>
              <w:jc w:val="left"/>
            </w:pPr>
            <w:r>
              <w:rPr>
                <w:sz w:val="19"/>
              </w:rPr>
              <w:t xml:space="preserve">83 (81 source documents + analyst model), 3,052 PDF pages</w:t>
            </w:r>
          </w:p>
        </w:tc>
      </w:tr>
      <w:tr>
        <w:tc>
          <w:tcPr/>
          <w:p>
            <w:pPr>
              <w:pStyle w:val="Compact"/>
              <w:jc w:val="left"/>
            </w:pPr>
            <w:r>
              <w:rPr>
                <w:sz w:val="19"/>
              </w:rPr>
              <w:t xml:space="preserve">Figures extracted</w:t>
            </w:r>
          </w:p>
        </w:tc>
        <w:tc>
          <w:tcPr/>
          <w:p>
            <w:pPr>
              <w:pStyle w:val="Compact"/>
              <w:jc w:val="left"/>
            </w:pPr>
            <w:r>
              <w:rPr>
                <w:sz w:val="19"/>
              </w:rPr>
              <w:t xml:space="preserve">676 — 606 verified, 6 manually verified, 64 missing with a reason, 0 low confidence</w:t>
            </w:r>
          </w:p>
        </w:tc>
      </w:tr>
      <w:tr>
        <w:tc>
          <w:tcPr/>
          <w:p>
            <w:pPr>
              <w:pStyle w:val="Compact"/>
              <w:jc w:val="left"/>
            </w:pPr>
            <w:r>
              <w:rPr>
                <w:sz w:val="19"/>
              </w:rPr>
              <w:t xml:space="preserve">Estimates read</w:t>
            </w:r>
          </w:p>
        </w:tc>
        <w:tc>
          <w:tcPr/>
          <w:p>
            <w:pPr>
              <w:pStyle w:val="Compact"/>
              <w:jc w:val="left"/>
            </w:pPr>
            <w:r>
              <w:rPr>
                <w:sz w:val="19"/>
              </w:rPr>
              <w:t xml:space="preserve">165, model hash unchanged on every read</w:t>
            </w:r>
          </w:p>
        </w:tc>
      </w:tr>
      <w:tr>
        <w:tc>
          <w:tcPr/>
          <w:p>
            <w:pPr>
              <w:pStyle w:val="Compact"/>
              <w:jc w:val="left"/>
            </w:pPr>
            <w:r>
              <w:rPr>
                <w:sz w:val="19"/>
              </w:rPr>
              <w:t xml:space="preserve">Comparisons</w:t>
            </w:r>
          </w:p>
        </w:tc>
        <w:tc>
          <w:tcPr/>
          <w:p>
            <w:pPr>
              <w:pStyle w:val="Compact"/>
              <w:jc w:val="left"/>
            </w:pPr>
            <w:r>
              <w:rPr>
                <w:sz w:val="19"/>
              </w:rPr>
              <w:t xml:space="preserve">495; vs estimate: 95 Low, 35 Medium, 32 High</w:t>
            </w:r>
          </w:p>
        </w:tc>
      </w:tr>
      <w:tr>
        <w:tc>
          <w:tcPr/>
          <w:p>
            <w:pPr>
              <w:pStyle w:val="Compact"/>
              <w:jc w:val="left"/>
            </w:pPr>
            <w:r>
              <w:rPr>
                <w:sz w:val="19"/>
              </w:rPr>
              <w:t xml:space="preserve">Transcript statements</w:t>
            </w:r>
          </w:p>
        </w:tc>
        <w:tc>
          <w:tcPr/>
          <w:p>
            <w:pPr>
              <w:pStyle w:val="Compact"/>
              <w:jc w:val="left"/>
            </w:pPr>
            <w:r>
              <w:rPr>
                <w:sz w:val="19"/>
              </w:rPr>
              <w:t xml:space="preserve">86 guidance, 102 explanations, 0 flags</w:t>
            </w:r>
          </w:p>
        </w:tc>
      </w:tr>
      <w:tr>
        <w:tc>
          <w:tcPr/>
          <w:p>
            <w:pPr>
              <w:pStyle w:val="Compact"/>
              <w:jc w:val="left"/>
            </w:pPr>
            <w:r>
              <w:rPr>
                <w:sz w:val="19"/>
              </w:rPr>
              <w:t xml:space="preserve">Change Reports</w:t>
            </w:r>
          </w:p>
        </w:tc>
        <w:tc>
          <w:tcPr/>
          <w:p>
            <w:pPr>
              <w:pStyle w:val="Compact"/>
              <w:jc w:val="left"/>
            </w:pPr>
            <w:r>
              <w:rPr>
                <w:sz w:val="19"/>
              </w:rPr>
              <w:t xml:space="preserve">10 built, 10 approved, exported to Excel and PDF</w:t>
            </w:r>
          </w:p>
        </w:tc>
      </w:tr>
      <w:tr>
        <w:tc>
          <w:tcPr/>
          <w:p>
            <w:pPr>
              <w:pStyle w:val="Compact"/>
              <w:jc w:val="left"/>
            </w:pPr>
            <w:r>
              <w:rPr>
                <w:sz w:val="19"/>
              </w:rPr>
              <w:t xml:space="preserve">Audit log</w:t>
            </w:r>
          </w:p>
        </w:tc>
        <w:tc>
          <w:tcPr/>
          <w:p>
            <w:pPr>
              <w:pStyle w:val="Compact"/>
              <w:jc w:val="left"/>
            </w:pPr>
            <w:r>
              <w:rPr>
                <w:sz w:val="19"/>
              </w:rPr>
              <w:t xml:space="preserve">1,454 entries from ingest to export</w:t>
            </w:r>
          </w:p>
        </w:tc>
      </w:tr>
    </w:tbl>
    <w:p>
      <w:pPr>
        <w:pStyle w:val="BodyText"/>
      </w:pPr>
    </w:p>
    <w:p>
      <w:pPr>
        <w:pStyle w:val="Heading2"/>
      </w:pPr>
      <w:r>
        <w:rPr>
          <w:color w:val="6B1A0E"/>
        </w:rPr>
        <w:t>Quality assurance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3120"/>
        <w:gridCol w:w="6240"/>
      </w:tblGrid>
      <w:tr>
        <w:trPr>
          <w:tblHeader w:val="true"/>
        </w:trPr>
        <w:tc>
          <w:tcPr>
            <w:shd w:val="clear" w:color="auto" w:fill="6B1A0E"/>
          </w:tcPr>
          <w:p>
            <w:pPr>
              <w:pStyle w:val="Compact"/>
              <w:jc w:val="left"/>
            </w:pPr>
            <w:r>
              <w:rPr>
                <w:b/>
                <w:color w:val="FFFFFF"/>
                <w:sz w:val="19"/>
              </w:rPr>
              <w:t xml:space="preserve">Check</w:t>
            </w:r>
          </w:p>
        </w:tc>
        <w:tc>
          <w:tcPr>
            <w:shd w:val="clear" w:color="auto" w:fill="6B1A0E"/>
          </w:tcPr>
          <w:p>
            <w:pPr>
              <w:pStyle w:val="Compact"/>
              <w:jc w:val="left"/>
            </w:pPr>
            <w:r>
              <w:rPr>
                <w:b/>
                <w:color w:val="FFFFFF"/>
                <w:sz w:val="19"/>
              </w:rPr>
              <w:t xml:space="preserve">Result</w:t>
            </w:r>
          </w:p>
        </w:tc>
      </w:tr>
      <w:tr>
        <w:tc>
          <w:tcPr/>
          <w:p>
            <w:pPr>
              <w:pStyle w:val="Compact"/>
              <w:jc w:val="left"/>
            </w:pPr>
            <w:r>
              <w:rPr>
                <w:sz w:val="19"/>
              </w:rPr>
              <w:t xml:space="preserve">Automated tests (pytest)</w:t>
            </w:r>
          </w:p>
        </w:tc>
        <w:tc>
          <w:tcPr/>
          <w:p>
            <w:pPr>
              <w:pStyle w:val="Compact"/>
              <w:jc w:val="left"/>
            </w:pPr>
            <w:r>
              <w:rPr>
                <w:sz w:val="19"/>
              </w:rPr>
              <w:t xml:space="preserve">Number parsing, XBRL selection, PDF rules, comparisons, severity boundaries, analyst model, commentary, approval flow — all passing</w:t>
            </w:r>
          </w:p>
        </w:tc>
      </w:tr>
      <w:tr>
        <w:tc>
          <w:tcPr/>
          <w:p>
            <w:pPr>
              <w:pStyle w:val="Compact"/>
              <w:jc w:val="left"/>
            </w:pPr>
            <w:r>
              <w:rPr>
                <w:sz w:val="19"/>
              </w:rPr>
              <w:t xml:space="preserve">Independent re-read of every figure</w:t>
            </w:r>
          </w:p>
        </w:tc>
        <w:tc>
          <w:tcPr/>
          <w:p>
            <w:pPr>
              <w:pStyle w:val="Compact"/>
              <w:jc w:val="left"/>
            </w:pPr>
            <w:r>
              <w:rPr>
                <w:sz w:val="19"/>
              </w:rPr>
              <w:t xml:space="preserve">655 figures re-read through a separate code path (raw XML, fresh PDF page, recomputation, model cell): 0 mismatches; 30 rows flagged for a hand spot-check</w:t>
            </w:r>
          </w:p>
        </w:tc>
      </w:tr>
      <w:tr>
        <w:tc>
          <w:tcPr/>
          <w:p>
            <w:pPr>
              <w:pStyle w:val="Compact"/>
              <w:jc w:val="left"/>
            </w:pPr>
            <w:r>
              <w:rPr>
                <w:sz w:val="19"/>
              </w:rPr>
              <w:t xml:space="preserve">Procedure cross-check</w:t>
            </w:r>
          </w:p>
        </w:tc>
        <w:tc>
          <w:tcPr/>
          <w:p>
            <w:pPr>
              <w:pStyle w:val="Compact"/>
              <w:jc w:val="left"/>
            </w:pPr>
            <w:r>
              <w:rPr>
                <w:sz w:val="19"/>
              </w:rPr>
              <w:t xml:space="preserve">Every requirement of the Phase 1 procedure tested against the build: 44 pass, 8 documented departures, 0 fail (docs/procedure_crosscheck.md)</w:t>
            </w:r>
          </w:p>
        </w:tc>
      </w:tr>
      <w:tr>
        <w:tc>
          <w:tcPr/>
          <w:p>
            <w:pPr>
              <w:pStyle w:val="Compact"/>
              <w:jc w:val="left"/>
            </w:pPr>
            <w:r>
              <w:rPr>
                <w:sz w:val="19"/>
              </w:rPr>
              <w:t xml:space="preserve">Clean rebuild</w:t>
            </w:r>
          </w:p>
        </w:tc>
        <w:tc>
          <w:tcPr/>
          <w:p>
            <w:pPr>
              <w:pStyle w:val="Compact"/>
              <w:jc w:val="left"/>
            </w:pPr>
            <w:r>
              <w:rPr>
                <w:sz w:val="19"/>
              </w:rPr>
              <w:t xml:space="preserve">A clean copy rebuilt from the README commands gives identical results</w:t>
            </w:r>
          </w:p>
        </w:tc>
      </w:tr>
    </w:tbl>
    <w:p>
      <w:pPr>
        <w:pStyle w:val="BodyText"/>
      </w:pPr>
    </w:p>
    <w:p>
      <w:r>
        <w:br w:type="page"/>
      </w:r>
    </w:p>
    <w:p>
      <w:pPr>
        <w:pStyle w:val="Heading1"/>
      </w:pPr>
      <w:r>
        <w:rPr>
          <w:color w:val="6B1A0E"/>
        </w:rPr>
        <w:t>10. Decisions &amp; Limitations</w:t>
      </w:r>
    </w:p>
    <w:p>
      <w:pPr>
        <w:pStyle w:val="FirstParagraph"/>
      </w:pPr>
      <w:r>
        <w:rPr/>
        <w:t>Phase 1 departs from the original procedure where the real filings required it; each decision is recorded in the repository's docs/ folder.</w:t>
      </w:r>
    </w:p>
    <w:p>
      <w:pPr>
        <w:pStyle w:val="Heading2"/>
      </w:pPr>
      <w:r>
        <w:rPr>
          <w:color w:val="6B1A0E"/>
        </w:rPr>
        <w:t>Decisions that changed the plan</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Pr>
      <w:tblGrid>
        <w:gridCol w:w="1931"/>
        <w:gridCol w:w="2971"/>
        <w:gridCol w:w="4457"/>
      </w:tblGrid>
      <w:tr>
        <w:trPr>
          <w:tblHeader w:val="true"/>
        </w:trPr>
        <w:tc>
          <w:tcPr>
            <w:shd w:val="clear" w:color="auto" w:fill="6B1A0E"/>
          </w:tcPr>
          <w:p>
            <w:pPr>
              <w:pStyle w:val="Compact"/>
              <w:jc w:val="left"/>
            </w:pPr>
            <w:r>
              <w:rPr>
                <w:b/>
                <w:color w:val="FFFFFF"/>
                <w:sz w:val="19"/>
              </w:rPr>
              <w:t xml:space="preserve">Topic</w:t>
            </w:r>
          </w:p>
        </w:tc>
        <w:tc>
          <w:tcPr>
            <w:shd w:val="clear" w:color="auto" w:fill="6B1A0E"/>
          </w:tcPr>
          <w:p>
            <w:pPr>
              <w:pStyle w:val="Compact"/>
              <w:jc w:val="left"/>
            </w:pPr>
            <w:r>
              <w:rPr>
                <w:b/>
                <w:color w:val="FFFFFF"/>
                <w:sz w:val="19"/>
              </w:rPr>
              <w:t xml:space="preserve">Procedure</w:t>
            </w:r>
          </w:p>
        </w:tc>
        <w:tc>
          <w:tcPr>
            <w:shd w:val="clear" w:color="auto" w:fill="6B1A0E"/>
          </w:tcPr>
          <w:p>
            <w:pPr>
              <w:pStyle w:val="Compact"/>
              <w:jc w:val="left"/>
            </w:pPr>
            <w:r>
              <w:rPr>
                <w:b/>
                <w:color w:val="FFFFFF"/>
                <w:sz w:val="19"/>
              </w:rPr>
              <w:t xml:space="preserve">As built</w:t>
            </w:r>
          </w:p>
        </w:tc>
      </w:tr>
      <w:tr>
        <w:tc>
          <w:tcPr/>
          <w:p>
            <w:pPr>
              <w:pStyle w:val="Compact"/>
              <w:jc w:val="left"/>
            </w:pPr>
            <w:r>
              <w:rPr>
                <w:sz w:val="19"/>
              </w:rPr>
              <w:t xml:space="preserve">Sample</w:t>
            </w:r>
          </w:p>
        </w:tc>
        <w:tc>
          <w:tcPr/>
          <w:p>
            <w:pPr>
              <w:pStyle w:val="Compact"/>
              <w:jc w:val="left"/>
            </w:pPr>
            <w:r>
              <w:rPr>
                <w:sz w:val="19"/>
              </w:rPr>
              <w:t xml:space="preserve">3 manufacturing companies</w:t>
            </w:r>
          </w:p>
        </w:tc>
        <w:tc>
          <w:tcPr/>
          <w:p>
            <w:pPr>
              <w:pStyle w:val="Compact"/>
              <w:jc w:val="left"/>
            </w:pPr>
            <w:r>
              <w:rPr>
                <w:sz w:val="19"/>
              </w:rPr>
              <w:t xml:space="preserve">5 companies in 5 sectors (Titan, Asian Paints, M&amp;M, Infosys, Reliance)</w:t>
            </w:r>
          </w:p>
        </w:tc>
      </w:tr>
      <w:tr>
        <w:tc>
          <w:tcPr/>
          <w:p>
            <w:pPr>
              <w:pStyle w:val="Compact"/>
              <w:jc w:val="left"/>
            </w:pPr>
            <w:r>
              <w:rPr>
                <w:sz w:val="19"/>
              </w:rPr>
              <w:t xml:space="preserve">Sign-off</w:t>
            </w:r>
          </w:p>
        </w:tc>
        <w:tc>
          <w:tcPr/>
          <w:p>
            <w:pPr>
              <w:pStyle w:val="Compact"/>
              <w:jc w:val="left"/>
            </w:pPr>
            <w:r>
              <w:rPr>
                <w:sz w:val="19"/>
              </w:rPr>
              <w:t xml:space="preserve">Ambit approves scope</w:t>
            </w:r>
          </w:p>
        </w:tc>
        <w:tc>
          <w:tcPr/>
          <w:p>
            <w:pPr>
              <w:pStyle w:val="Compact"/>
              <w:jc w:val="left"/>
            </w:pPr>
            <w:r>
              <w:rPr>
                <w:sz w:val="19"/>
              </w:rPr>
              <w:t xml:space="preserve">Scope decided by the team for the prototype</w:t>
            </w:r>
          </w:p>
        </w:tc>
      </w:tr>
      <w:tr>
        <w:tc>
          <w:tcPr/>
          <w:p>
            <w:pPr>
              <w:pStyle w:val="Compact"/>
              <w:jc w:val="left"/>
            </w:pPr>
            <w:r>
              <w:rPr>
                <w:sz w:val="19"/>
              </w:rPr>
              <w:t xml:space="preserve">EBITDA</w:t>
            </w:r>
          </w:p>
        </w:tc>
        <w:tc>
          <w:tcPr/>
          <w:p>
            <w:pPr>
              <w:pStyle w:val="Compact"/>
              <w:jc w:val="left"/>
            </w:pPr>
            <w:r>
              <w:rPr>
                <w:sz w:val="19"/>
              </w:rPr>
              <w:t xml:space="preserve">PBEIT + finance costs + D&amp;A − other income</w:t>
            </w:r>
          </w:p>
        </w:tc>
        <w:tc>
          <w:tcPr/>
          <w:p>
            <w:pPr>
              <w:pStyle w:val="Compact"/>
              <w:jc w:val="left"/>
            </w:pPr>
            <w:r>
              <w:rPr>
                <w:sz w:val="19"/>
              </w:rPr>
              <w:t xml:space="preserve">Also excludes the share of associates and JVs</w:t>
            </w:r>
          </w:p>
        </w:tc>
      </w:tr>
      <w:tr>
        <w:tc>
          <w:tcPr/>
          <w:p>
            <w:pPr>
              <w:pStyle w:val="Compact"/>
              <w:jc w:val="left"/>
            </w:pPr>
            <w:r>
              <w:rPr>
                <w:sz w:val="19"/>
              </w:rPr>
              <w:t xml:space="preserve">Segments</w:t>
            </w:r>
          </w:p>
        </w:tc>
        <w:tc>
          <w:tcPr/>
          <w:p>
            <w:pPr>
              <w:pStyle w:val="Compact"/>
              <w:jc w:val="left"/>
            </w:pPr>
            <w:r>
              <w:rPr>
                <w:sz w:val="19"/>
              </w:rPr>
              <w:t xml:space="preserve">From the results release PDF</w:t>
            </w:r>
          </w:p>
        </w:tc>
        <w:tc>
          <w:tcPr/>
          <w:p>
            <w:pPr>
              <w:pStyle w:val="Compact"/>
              <w:jc w:val="left"/>
            </w:pPr>
            <w:r>
              <w:rPr>
                <w:sz w:val="19"/>
              </w:rPr>
              <w:t xml:space="preserve">From XBRL (structured, same filing)</w:t>
            </w:r>
          </w:p>
        </w:tc>
      </w:tr>
      <w:tr>
        <w:tc>
          <w:tcPr/>
          <w:p>
            <w:pPr>
              <w:pStyle w:val="Compact"/>
              <w:jc w:val="left"/>
            </w:pPr>
            <w:r>
              <w:rPr>
                <w:sz w:val="19"/>
              </w:rPr>
              <w:t xml:space="preserve">KPI reading</w:t>
            </w:r>
          </w:p>
        </w:tc>
        <w:tc>
          <w:tcPr/>
          <w:p>
            <w:pPr>
              <w:pStyle w:val="Compact"/>
              <w:jc w:val="left"/>
            </w:pPr>
            <w:r>
              <w:rPr>
                <w:sz w:val="19"/>
              </w:rPr>
              <w:t xml:space="preserve">pdfplumber tables</w:t>
            </w:r>
          </w:p>
        </w:tc>
        <w:tc>
          <w:tcPr/>
          <w:p>
            <w:pPr>
              <w:pStyle w:val="Compact"/>
              <w:jc w:val="left"/>
            </w:pPr>
            <w:r>
              <w:rPr>
                <w:sz w:val="19"/>
              </w:rPr>
              <w:t xml:space="preserve">PyMuPDF word positions (most KPIs are charts)</w:t>
            </w:r>
          </w:p>
        </w:tc>
      </w:tr>
      <w:tr>
        <w:tc>
          <w:tcPr/>
          <w:p>
            <w:pPr>
              <w:pStyle w:val="Compact"/>
              <w:jc w:val="left"/>
            </w:pPr>
            <w:r>
              <w:rPr>
                <w:sz w:val="19"/>
              </w:rPr>
              <w:t xml:space="preserve">Growth-rate KPIs</w:t>
            </w:r>
          </w:p>
        </w:tc>
        <w:tc>
          <w:tcPr/>
          <w:p>
            <w:pPr>
              <w:pStyle w:val="Compact"/>
              <w:jc w:val="left"/>
            </w:pPr>
            <w:r>
              <w:rPr>
                <w:sz w:val="19"/>
              </w:rPr>
              <w:t xml:space="preserve">% change</w:t>
            </w:r>
          </w:p>
        </w:tc>
        <w:tc>
          <w:tcPr/>
          <w:p>
            <w:pPr>
              <w:pStyle w:val="Compact"/>
              <w:jc w:val="left"/>
            </w:pPr>
            <w:r>
              <w:rPr>
                <w:sz w:val="19"/>
              </w:rPr>
              <w:t xml:space="preserve">Percentage points, on their own bands</w:t>
            </w:r>
          </w:p>
        </w:tc>
      </w:tr>
      <w:tr>
        <w:tc>
          <w:tcPr/>
          <w:p>
            <w:pPr>
              <w:pStyle w:val="Compact"/>
              <w:jc w:val="left"/>
            </w:pPr>
            <w:r>
              <w:rPr>
                <w:sz w:val="19"/>
              </w:rPr>
              <w:t xml:space="preserve">QoQ / YoY grades</w:t>
            </w:r>
          </w:p>
        </w:tc>
        <w:tc>
          <w:tcPr/>
          <w:p>
            <w:pPr>
              <w:pStyle w:val="Compact"/>
              <w:jc w:val="left"/>
            </w:pPr>
            <w:r>
              <w:rPr>
                <w:sz w:val="19"/>
              </w:rPr>
              <w:t xml:space="preserve">Same bands as vs estimate</w:t>
            </w:r>
          </w:p>
        </w:tc>
        <w:tc>
          <w:tcPr/>
          <w:p>
            <w:pPr>
              <w:pStyle w:val="Compact"/>
              <w:jc w:val="left"/>
            </w:pPr>
            <w:r>
              <w:rPr>
                <w:sz w:val="19"/>
              </w:rPr>
              <w:t xml:space="preserve">Looser bands, so ordinary growth does not grade High</w:t>
            </w:r>
          </w:p>
        </w:tc>
      </w:tr>
      <w:tr>
        <w:tc>
          <w:tcPr/>
          <w:p>
            <w:pPr>
              <w:pStyle w:val="Compact"/>
              <w:jc w:val="left"/>
            </w:pPr>
            <w:r>
              <w:rPr>
                <w:sz w:val="19"/>
              </w:rPr>
              <w:t xml:space="preserve">Net debt</w:t>
            </w:r>
          </w:p>
        </w:tc>
        <w:tc>
          <w:tcPr/>
          <w:p>
            <w:pPr>
              <w:pStyle w:val="Compact"/>
              <w:jc w:val="left"/>
            </w:pPr>
            <w:r>
              <w:rPr>
                <w:sz w:val="19"/>
              </w:rPr>
              <w:t xml:space="preserve">Where disclosed</w:t>
            </w:r>
          </w:p>
        </w:tc>
        <w:tc>
          <w:tcPr/>
          <w:p>
            <w:pPr>
              <w:pStyle w:val="Compact"/>
              <w:jc w:val="left"/>
            </w:pPr>
            <w:r>
              <w:rPr>
                <w:sz w:val="19"/>
              </w:rPr>
              <w:t xml:space="preserve">Q4 only; not shown for M&amp;M (NBFC lending book) or Titan (gold metal loans)</w:t>
            </w:r>
          </w:p>
        </w:tc>
      </w:tr>
      <w:tr>
        <w:tc>
          <w:tcPr/>
          <w:p>
            <w:pPr>
              <w:pStyle w:val="Compact"/>
              <w:jc w:val="left"/>
            </w:pPr>
            <w:r>
              <w:rPr>
                <w:sz w:val="19"/>
              </w:rPr>
              <w:t xml:space="preserve">Estimates</w:t>
            </w:r>
          </w:p>
        </w:tc>
        <w:tc>
          <w:tcPr/>
          <w:p>
            <w:pPr>
              <w:pStyle w:val="Compact"/>
              <w:jc w:val="left"/>
            </w:pPr>
            <w:r>
              <w:rPr>
                <w:sz w:val="19"/>
              </w:rPr>
              <w:t xml:space="preserve">Analyst model</w:t>
            </w:r>
          </w:p>
        </w:tc>
        <w:tc>
          <w:tcPr/>
          <w:p>
            <w:pPr>
              <w:pStyle w:val="Compact"/>
              <w:jc w:val="left"/>
            </w:pPr>
            <w:r>
              <w:rPr>
                <w:sz w:val="19"/>
              </w:rPr>
              <w:t xml:space="preserve">Synthetic sample model, labelled SAMPLE</w:t>
            </w:r>
          </w:p>
        </w:tc>
      </w:tr>
    </w:tbl>
    <w:p>
      <w:pPr>
        <w:pStyle w:val="BodyText"/>
      </w:pPr>
    </w:p>
    <w:p>
      <w:pPr>
        <w:pStyle w:val="Heading2"/>
      </w:pPr>
      <w:r>
        <w:rPr>
          <w:color w:val="6B1A0E"/>
        </w:rPr>
        <w:t>Known limitations</w:t>
      </w:r>
    </w:p>
    <w:p>
      <w:pPr>
        <w:numPr>
          <w:ilvl w:val="0"/>
          <w:numId w:val="1002"/>
        </w:numPr>
        <w:pStyle w:val="Compact"/>
      </w:pPr>
      <w:r>
        <w:rPr/>
        <w:t>PDF rules are written per company and per layout; a changed layout needs a rule update.</w:t>
      </w:r>
    </w:p>
    <w:p>
      <w:pPr>
        <w:numPr>
          <w:ilvl w:val="0"/>
          <w:numId w:val="1002"/>
        </w:numPr>
        <w:pStyle w:val="Compact"/>
      </w:pPr>
      <w:r>
        <w:rPr/>
        <w:t>Scanned (image-only) PDFs are not read automatically; Titan's Q1 FY26 deck is one, so those year-ago KPIs are gaps.</w:t>
      </w:r>
    </w:p>
    <w:p>
      <w:pPr>
        <w:numPr>
          <w:ilvl w:val="0"/>
          <w:numId w:val="1002"/>
        </w:numPr>
        <w:pStyle w:val="Compact"/>
      </w:pPr>
      <w:r>
        <w:rPr/>
        <w:t>Transcript rules find keyword candidates; the analyst judges their meaning.</w:t>
      </w:r>
    </w:p>
    <w:p>
      <w:pPr>
        <w:numPr>
          <w:ilvl w:val="0"/>
          <w:numId w:val="1002"/>
        </w:numPr>
        <w:pStyle w:val="Compact"/>
      </w:pPr>
      <w:r>
        <w:rPr/>
        <w:t>Operating cash flow and capex are filed only for the full year, and net debt only at 31 March.</w:t>
      </w:r>
    </w:p>
    <w:p>
      <w:pPr>
        <w:numPr>
          <w:ilvl w:val="0"/>
          <w:numId w:val="1002"/>
        </w:numPr>
        <w:pStyle w:val="Compact"/>
      </w:pPr>
      <w:r>
        <w:rPr/>
        <w:t>Correcting an input figure does not recompute the figures derived from it.</w:t>
      </w:r>
    </w:p>
    <w:p>
      <w:pPr>
        <w:numPr>
          <w:ilvl w:val="0"/>
          <w:numId w:val="1002"/>
        </w:numPr>
        <w:pStyle w:val="Compact"/>
      </w:pPr>
      <w:r>
        <w:rPr/>
        <w:t>Reviewer identity is a name entered on the local screen, not a secure login.</w:t>
      </w:r>
    </w:p>
    <w:p>
      <w:pPr>
        <w:pStyle w:val="Heading2"/>
      </w:pPr>
      <w:r>
        <w:rPr>
          <w:color w:val="6B1A0E"/>
        </w:rPr>
        <w:t>Open items</w:t>
      </w:r>
    </w:p>
    <w:p>
      <w:pPr>
        <w:numPr>
          <w:ilvl w:val="0"/>
          <w:numId w:val="1002"/>
        </w:numPr>
        <w:pStyle w:val="Compact"/>
      </w:pPr>
      <w:r>
        <w:rPr/>
        <w:t>Record the 2–3-minute demo video.</w:t>
      </w:r>
    </w:p>
    <w:p>
      <w:pPr>
        <w:numPr>
          <w:ilvl w:val="0"/>
          <w:numId w:val="1002"/>
        </w:numPr>
        <w:pStyle w:val="Compact"/>
      </w:pPr>
      <w:r>
        <w:rPr/>
        <w:t>Hand spot-check of the 30 flagged rows in docs/manual_verification.csv by a team member.</w:t>
      </w:r>
    </w:p>
    <w:p>
      <w:pPr>
        <w:numPr>
          <w:ilvl w:val="0"/>
          <w:numId w:val="1002"/>
        </w:numPr>
        <w:pStyle w:val="Compact"/>
      </w:pPr>
      <w:r>
        <w:rPr/>
        <w:t>Item-by-item analyst review of the reports (the current approvals were a bulk approval on instruction).</w:t>
      </w:r>
    </w:p>
    <w:p>
      <w:pPr>
        <w:numPr>
          <w:ilvl w:val="0"/>
          <w:numId w:val="1002"/>
        </w:numPr>
        <w:pStyle w:val="Compact"/>
      </w:pPr>
      <w:r>
        <w:rPr/>
        <w:t>Phase 2: map Ambit's real analyst model; add quarterly cash flow and balance-sheet coverage.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3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3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3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6B1A0E"/>
      <w:sz w:val="52"/>
      <w:szCs w:val="36"/>
    </w:rPr>
  </w:style>
  <w:style w:styleId="Subtitle" w:type="paragraph">
    <w:name w:val="Subtitle"/>
    <w:basedOn w:val="Title"/>
    <w:next w:val="BodyText"/>
    <w:qFormat/>
    <w:pPr>
      <w:keepNext/>
      <w:keepLines/>
      <w:spacing w:after="240" w:before="240"/>
      <w:jc w:val="center"/>
    </w:pPr>
    <w:rPr>
      <w:rFonts w:ascii="Calibri" w:hAnsi="Calibri"/>
      <w:color w:val="6B1A0E"/>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Results-to-Thesis Monitoring Copilot – Phase 1 Pipeline Documentation</dc:title>
  <dc:creator>IFSA IIT Kharagpur</dc:creator>
  <cp:keywords/>
  <dcterms:created xsi:type="dcterms:W3CDTF">2026-10-13T04:09:20Z</dcterms:created>
  <dcterms:modified xsi:type="dcterms:W3CDTF">2026-10-13T04:09:20Z</dcterms:modified>
  <dc:subject>Pipeline documentation and access guide</dc:subject>
  <dc:description/>
  <cp:lastModifiedBy>IFSA IIT Kharagpur</cp:lastModifiedBy>
</cp:coreProperties>
</file>

<file path=docProps/custom.xml><?xml version="1.0" encoding="utf-8"?>
<Properties xmlns="http://schemas.openxmlformats.org/officeDocument/2006/custom-properties" xmlns:vt="http://schemas.openxmlformats.org/officeDocument/2006/docPropsVTypes"/>
</file>