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12"/>
      </w:tblGrid>
      <w:tr>
        <w:tc>
          <w:tcPr>
            <w:tcW w:type="dxa" w:w="14112"/>
            <w:shd w:val="clear" w:color="auto" w:fill="0B1220"/>
            <w:tcMar>
              <w:top w:w="200" w:type="dxa"/>
              <w:left w:w="260" w:type="dxa"/>
              <w:bottom w:w="200" w:type="dxa"/>
              <w:right w:w="260" w:type="dxa"/>
            </w:tcMar>
          </w:tcPr>
          <w:p>
            <w:pPr>
              <w:spacing w:before="0" w:after="200" w:line="240" w:lineRule="auto"/>
              <w:jc w:val="left"/>
            </w:pPr>
            <w:r>
              <w:rPr>
                <w:rFonts w:ascii="Segoe UI Semibold" w:hAnsi="Segoe UI Semibold"/>
                <w:b/>
                <w:color w:val="D1D5DB"/>
                <w:sz w:val="24"/>
              </w:rPr>
              <w:t>Orion Intelligence</w:t>
            </w:r>
          </w:p>
          <w:p>
            <w:pPr>
              <w:spacing w:before="0" w:after="120" w:line="240" w:lineRule="auto"/>
              <w:jc w:val="left"/>
            </w:pPr>
            <w:r>
              <w:rPr>
                <w:rFonts w:ascii="Segoe UI Semibold" w:hAnsi="Segoe UI Semibold"/>
                <w:b/>
                <w:color w:val="FFFFFF"/>
                <w:sz w:val="60"/>
              </w:rPr>
              <w:t>Licensing Matrix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Segoe UI" w:hAnsi="Segoe UI"/>
                <w:color w:val="E5E7EB"/>
                <w:sz w:val="23"/>
              </w:rPr>
              <w:t>Plans (entitlements) × Roles (permissions) — one-page reference for Admin / Analyst / Member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56"/>
        <w:gridCol w:w="7056"/>
      </w:tblGrid>
      <w:tr>
        <w:tc>
          <w:tcPr>
            <w:tcW w:type="dxa" w:w="7056"/>
            <w:tcMar>
              <w:top w:w="120" w:type="dxa"/>
              <w:left w:w="160" w:type="dxa"/>
              <w:bottom w:w="120" w:type="dxa"/>
              <w:right w:w="12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056"/>
            </w:tblGrid>
            <w:tr>
              <w:tc>
                <w:tcPr>
                  <w:tcW w:type="dxa" w:w="7056"/>
                  <w:shd w:val="clear" w:color="auto" w:fill="F3F4F6"/>
                  <w:tcMar>
                    <w:top w:w="170" w:type="dxa"/>
                    <w:left w:w="220" w:type="dxa"/>
                    <w:bottom w:w="170" w:type="dxa"/>
                    <w:right w:w="220" w:type="dxa"/>
                  </w:tcMar>
                </w:tcPr>
                <w:p>
                  <w:pPr>
                    <w:spacing w:before="0" w:after="120" w:line="264" w:lineRule="auto"/>
                  </w:pPr>
                  <w:r>
                    <w:rPr>
                      <w:rFonts w:ascii="Segoe UI Semibold" w:hAnsi="Segoe UI Semibold"/>
                      <w:b/>
                      <w:color w:val="111827"/>
                      <w:sz w:val="22"/>
                    </w:rPr>
                    <w:t>Roles (permissions)</w:t>
                  </w:r>
                </w:p>
                <w:p>
                  <w:pPr>
                    <w:spacing w:before="0" w:after="40" w:line="276" w:lineRule="auto"/>
                  </w:pPr>
                  <w:r>
                    <w:rPr>
                      <w:sz w:val="20"/>
                    </w:rPr>
                    <w:t>Admin: tenant settings, integrations, licensing, user/group assignments.</w:t>
                  </w:r>
                </w:p>
                <w:p>
                  <w:pPr>
                    <w:spacing w:before="0" w:after="40" w:line="276" w:lineRule="auto"/>
                  </w:pPr>
                  <w:r>
                    <w:rPr>
                      <w:sz w:val="20"/>
                    </w:rPr>
                    <w:t>Analyst: investigate + create cases + exports (policy-controlled).</w:t>
                  </w:r>
                </w:p>
                <w:p>
                  <w:pPr>
                    <w:spacing w:before="0" w:after="40" w:line="276" w:lineRule="auto"/>
                  </w:pPr>
                  <w:r>
                    <w:rPr>
                      <w:sz w:val="20"/>
                    </w:rPr>
                    <w:t>Member: view/comment + scoped tasks; access depends on assigned plan.</w:t>
                  </w:r>
                </w:p>
              </w:tc>
            </w:tr>
          </w:tbl>
          <w:p/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056"/>
            </w:tblGrid>
            <w:tr>
              <w:tc>
                <w:tcPr>
                  <w:tcW w:type="dxa" w:w="7056"/>
                  <w:shd w:val="clear" w:color="auto" w:fill="F3F4F6"/>
                  <w:tcMar>
                    <w:top w:w="170" w:type="dxa"/>
                    <w:left w:w="220" w:type="dxa"/>
                    <w:bottom w:w="170" w:type="dxa"/>
                    <w:right w:w="220" w:type="dxa"/>
                  </w:tcMar>
                </w:tcPr>
                <w:p>
                  <w:pPr>
                    <w:spacing w:before="0" w:after="120" w:line="264" w:lineRule="auto"/>
                  </w:pPr>
                  <w:r>
                    <w:rPr>
                      <w:rFonts w:ascii="Segoe UI Semibold" w:hAnsi="Segoe UI Semibold"/>
                      <w:b/>
                      <w:color w:val="111827"/>
                      <w:sz w:val="22"/>
                    </w:rPr>
                    <w:t>How licensing works</w:t>
                  </w:r>
                </w:p>
                <w:p>
                  <w:pPr>
                    <w:spacing w:before="0" w:after="40" w:line="276" w:lineRule="auto"/>
                  </w:pPr>
                  <w:r>
                    <w:rPr>
                      <w:sz w:val="20"/>
                    </w:rPr>
                    <w:t>Each user has both: (1) a Role and (2) a Plan.</w:t>
                  </w:r>
                </w:p>
                <w:p>
                  <w:pPr>
                    <w:spacing w:before="0" w:after="40" w:line="276" w:lineRule="auto"/>
                  </w:pPr>
                  <w:r>
                    <w:rPr>
                      <w:sz w:val="20"/>
                    </w:rPr>
                    <w:t>Role controls actions; Plan controls visible modules &amp; capabilities.</w:t>
                  </w:r>
                </w:p>
                <w:p>
                  <w:pPr>
                    <w:spacing w:before="0" w:after="40" w:line="276" w:lineRule="auto"/>
                  </w:pPr>
                  <w:r>
                    <w:rPr>
                      <w:sz w:val="20"/>
                    </w:rPr>
                    <w:t>“Included” indicates entitlement is enabled for the plan.</w:t>
                  </w:r>
                </w:p>
              </w:tc>
            </w:tr>
          </w:tbl>
          <w:p/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val="clear" w:color="auto" w:fill="11182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egoe UI Semibold" w:hAnsi="Segoe UI Semibold"/>
                <w:b/>
                <w:color w:val="F3F4F6"/>
                <w:sz w:val="20"/>
              </w:rPr>
              <w:t>Plan</w:t>
            </w:r>
          </w:p>
        </w:tc>
        <w:tc>
          <w:tcPr>
            <w:tcW w:type="dxa" w:w="2016"/>
            <w:vAlign w:val="center"/>
            <w:shd w:val="clear" w:color="auto" w:fill="11182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egoe UI Semibold" w:hAnsi="Segoe UI Semibold"/>
                <w:b/>
                <w:color w:val="F3F4F6"/>
                <w:sz w:val="20"/>
              </w:rPr>
              <w:t>Best for</w:t>
            </w:r>
          </w:p>
        </w:tc>
        <w:tc>
          <w:tcPr>
            <w:tcW w:type="dxa" w:w="2016"/>
            <w:vAlign w:val="center"/>
            <w:shd w:val="clear" w:color="auto" w:fill="11182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egoe UI Semibold" w:hAnsi="Segoe UI Semibold"/>
                <w:b/>
                <w:color w:val="F3F4F6"/>
                <w:sz w:val="20"/>
              </w:rPr>
              <w:t>Modules</w:t>
            </w:r>
          </w:p>
        </w:tc>
        <w:tc>
          <w:tcPr>
            <w:tcW w:type="dxa" w:w="2016"/>
            <w:vAlign w:val="center"/>
            <w:shd w:val="clear" w:color="auto" w:fill="11182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egoe UI Semibold" w:hAnsi="Segoe UI Semibold"/>
                <w:b/>
                <w:color w:val="F3F4F6"/>
                <w:sz w:val="20"/>
              </w:rPr>
              <w:t>CTI Graph</w:t>
            </w:r>
          </w:p>
        </w:tc>
        <w:tc>
          <w:tcPr>
            <w:tcW w:type="dxa" w:w="2016"/>
            <w:vAlign w:val="center"/>
            <w:shd w:val="clear" w:color="auto" w:fill="11182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egoe UI Semibold" w:hAnsi="Segoe UI Semibold"/>
                <w:b/>
                <w:color w:val="F3F4F6"/>
                <w:sz w:val="20"/>
              </w:rPr>
              <w:t>Mapping</w:t>
            </w:r>
          </w:p>
        </w:tc>
        <w:tc>
          <w:tcPr>
            <w:tcW w:type="dxa" w:w="2016"/>
            <w:vAlign w:val="center"/>
            <w:shd w:val="clear" w:color="auto" w:fill="11182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egoe UI Semibold" w:hAnsi="Segoe UI Semibold"/>
                <w:b/>
                <w:color w:val="F3F4F6"/>
                <w:sz w:val="20"/>
              </w:rPr>
              <w:t>Scanning</w:t>
            </w:r>
          </w:p>
        </w:tc>
        <w:tc>
          <w:tcPr>
            <w:tcW w:type="dxa" w:w="2016"/>
            <w:vAlign w:val="center"/>
            <w:shd w:val="clear" w:color="auto" w:fill="11182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egoe UI Semibold" w:hAnsi="Segoe UI Semibold"/>
                <w:b/>
                <w:color w:val="F3F4F6"/>
                <w:sz w:val="20"/>
              </w:rPr>
              <w:t>Maintainer</w:t>
            </w:r>
          </w:p>
        </w:tc>
      </w:tr>
      <w:tr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Free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Trial / basics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General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</w:tr>
      <w:tr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OSINT Basic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Core OSINT monitoring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General • Breach • Exploit</w:t>
              <w:br/>
              <w:t>Discussion • Defacement • Social</w:t>
              <w:br/>
              <w:t>Feed • Dumps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</w:tr>
      <w:tr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OSINT Advanced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Deep OSINT + correlation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General • Breach • Exploit</w:t>
              <w:br/>
              <w:t>Discussion • Defacement • Social</w:t>
              <w:br/>
              <w:t>Feed • Dumps • Stealer logs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  <w:shd w:val="clear" w:color="auto" w:fill="ECFDF5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Included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  <w:shd w:val="clear" w:color="auto" w:fill="ECFDF5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Included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</w:tr>
      <w:tr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Pentester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Scanning workflows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—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  <w:shd w:val="clear" w:color="auto" w:fill="ECFDF5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Included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</w:tr>
      <w:tr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Maintainer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Ops &amp; maintenance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—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FFFFF"/>
            <w:shd w:val="clear" w:color="auto" w:fill="ECFDF5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Included</w:t>
            </w:r>
          </w:p>
        </w:tc>
      </w:tr>
      <w:tr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Enterprise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Full capability org use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All modules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  <w:shd w:val="clear" w:color="auto" w:fill="ECFDF5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Included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  <w:shd w:val="clear" w:color="auto" w:fill="ECFDF5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Included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  <w:shd w:val="clear" w:color="auto" w:fill="ECFDF5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Included</w:t>
            </w:r>
          </w:p>
        </w:tc>
        <w:tc>
          <w:tcPr>
            <w:tcW w:type="dxa" w:w="2016"/>
            <w:vAlign w:val="top"/>
            <w:tcMar>
              <w:top w:w="110" w:type="dxa"/>
              <w:left w:w="150" w:type="dxa"/>
              <w:bottom w:w="110" w:type="dxa"/>
              <w:right w:w="150" w:type="dxa"/>
            </w:tcMar>
            <w:shd w:val="clear" w:color="auto" w:fill="FAFAFA"/>
            <w:shd w:val="clear" w:color="auto"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" w:hAnsi="Segoe UI"/>
                <w:color w:val="111827"/>
                <w:sz w:val="19"/>
              </w:rPr>
              <w:t>—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12"/>
      </w:tblGrid>
      <w:tr>
        <w:tc>
          <w:tcPr>
            <w:tcW w:type="dxa" w:w="14112"/>
            <w:shd w:val="clear" w:color="auto" w:fill="F9FAFB"/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before="0" w:after="80" w:line="264" w:lineRule="auto"/>
            </w:pPr>
            <w:r>
              <w:rPr>
                <w:rFonts w:ascii="Segoe UI Semibold" w:hAnsi="Segoe UI Semibold"/>
                <w:b/>
                <w:color w:val="111827"/>
                <w:sz w:val="21"/>
              </w:rPr>
              <w:t>Notes</w:t>
            </w:r>
          </w:p>
          <w:p>
            <w:pPr>
              <w:spacing w:before="0" w:after="40" w:line="276" w:lineRule="auto"/>
            </w:pPr>
            <w:r>
              <w:rPr>
                <w:color w:val="374151"/>
                <w:sz w:val="19"/>
              </w:rPr>
              <w:t>Enterprise: all modules + CTI Graph + Mapping + Scanning. Maintainer: operational mode for admins/ops (not investigations).</w:t>
            </w:r>
          </w:p>
          <w:p>
            <w:pPr>
              <w:spacing w:before="0" w:after="40" w:line="276" w:lineRule="auto"/>
            </w:pPr>
            <w:r>
              <w:rPr>
                <w:color w:val="374151"/>
                <w:sz w:val="19"/>
              </w:rPr>
              <w:t>Plans can be assigned per user or group; UI should hide non-entitled modules while keeping navigation clean for Admins.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color w:val="9CA3AF"/>
        <w:sz w:val="17"/>
      </w:rPr>
      <w:t>Updated 2025-12-17  •  © Orion Intelligence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840"/>
      <w:gridCol w:w="6840"/>
    </w:tblGrid>
    <w:tr>
      <w:tc>
        <w:tcPr>
          <w:tcW w:type="dxa" w:w="6840"/>
          <w:tcMar>
            <w:top w:w="60" w:type="dxa"/>
            <w:left w:w="0" w:type="dxa"/>
            <w:bottom w:w="60" w:type="dxa"/>
            <w:right w:w="0" w:type="dxa"/>
          </w:tcMar>
        </w:tcPr>
        <w:p>
          <w:pPr>
            <w:jc w:val="left"/>
          </w:pPr>
          <w:r>
            <w:rPr>
              <w:b/>
              <w:color w:val="111827"/>
              <w:sz w:val="18"/>
            </w:rPr>
            <w:t>Orion Intelligence</w:t>
          </w:r>
        </w:p>
      </w:tc>
      <w:tc>
        <w:tcPr>
          <w:tcW w:type="dxa" w:w="6840"/>
          <w:tcMar>
            <w:top w:w="60" w:type="dxa"/>
            <w:left w:w="0" w:type="dxa"/>
            <w:bottom w:w="60" w:type="dxa"/>
            <w:right w:w="0" w:type="dxa"/>
          </w:tcMar>
        </w:tcPr>
        <w:p>
          <w:pPr>
            <w:jc w:val="right"/>
          </w:pPr>
          <w:r>
            <w:rPr>
              <w:color w:val="6B7280"/>
              <w:sz w:val="18"/>
            </w:rPr>
            <w:t>Licensing • One-page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 Semibold" w:hAnsi="Segoe UI Semibold" w:eastAsia="Segoe UI Semibold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 Semibold" w:hAnsi="Segoe UI Semibold" w:eastAsia="Segoe UI Semibold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 Semibold" w:hAnsi="Segoe UI Semibold" w:eastAsia="Segoe UI Semibold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