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jc w:val="center"/>
      </w:pPr>
      <w:r>
        <w:rPr>
          <w:rFonts w:ascii="Arial" w:cs="Arial" w:eastAsia="Arial" w:hAnsi="Arial"/>
          <w:b/>
          <w:bCs/>
          <w:color w:val="0F172A"/>
          <w:sz w:val="48"/>
          <w:szCs w:val="48"/>
        </w:rPr>
        <w:t xml:space="preserve">RUNTIME GOVERNANCE</w:t>
      </w:r>
    </w:p>
    <w:p>
      <w:pPr>
        <w:spacing w:after="40"/>
        <w:jc w:val="center"/>
      </w:pPr>
      <w:r>
        <w:rPr>
          <w:rFonts w:ascii="Arial" w:cs="Arial" w:eastAsia="Arial" w:hAnsi="Arial"/>
          <w:b/>
          <w:bCs/>
          <w:color w:val="B87333"/>
          <w:sz w:val="44"/>
          <w:szCs w:val="44"/>
        </w:rPr>
        <w:t xml:space="preserve">CONTROL-PLANE BLUEPRINT</w:t>
      </w:r>
    </w:p>
    <w:p>
      <w:pPr>
        <w:spacing w:after="80"/>
      </w:pPr>
    </w:p>
    <w:p>
      <w:pPr>
        <w:spacing w:after="200"/>
        <w:jc w:val="center"/>
      </w:pPr>
      <w:r>
        <w:rPr>
          <w:rFonts w:ascii="Arial" w:cs="Arial" w:eastAsia="Arial" w:hAnsi="Arial"/>
          <w:i/>
          <w:iCs/>
          <w:color w:val="334155"/>
          <w:sz w:val="22"/>
          <w:szCs w:val="22"/>
        </w:rPr>
        <w:t xml:space="preserve">Architectural Reference for Enterprise AI Enforcement</w:t>
      </w:r>
    </w:p>
    <w:p>
      <w:pPr>
        <w:spacing w:after="80"/>
      </w:pPr>
    </w:p>
    <w:p>
      <w:pPr>
        <w:spacing w:after="80"/>
      </w:pPr>
    </w:p>
    <w:p>
      <w:pPr>
        <w:spacing w:after="60"/>
        <w:jc w:val="center"/>
      </w:pPr>
      <w:r>
        <w:rPr>
          <w:rFonts w:ascii="Arial" w:cs="Arial" w:eastAsia="Arial" w:hAnsi="Arial"/>
          <w:b/>
          <w:bCs/>
          <w:color w:val="0F172A"/>
          <w:sz w:val="24"/>
          <w:szCs w:val="24"/>
        </w:rPr>
        <w:t xml:space="preserve">Dan Mercede</w:t>
      </w:r>
    </w:p>
    <w:p>
      <w:pPr>
        <w:spacing w:after="60"/>
        <w:jc w:val="center"/>
      </w:pPr>
      <w:r>
        <w:rPr>
          <w:rFonts w:ascii="Arial" w:cs="Arial" w:eastAsia="Arial" w:hAnsi="Arial"/>
          <w:color w:val="334155"/>
          <w:sz w:val="20"/>
          <w:szCs w:val="20"/>
        </w:rPr>
        <w:t xml:space="preserve">Founder &amp; Systems Architect</w:t>
      </w:r>
    </w:p>
    <w:p>
      <w:pPr>
        <w:spacing w:after="200"/>
        <w:jc w:val="center"/>
      </w:pPr>
      <w:r>
        <w:rPr>
          <w:rFonts w:ascii="Arial" w:cs="Arial" w:eastAsia="Arial" w:hAnsi="Arial"/>
          <w:color w:val="334155"/>
          <w:sz w:val="18"/>
          <w:szCs w:val="18"/>
        </w:rPr>
        <w:t xml:space="preserve">Cosmocrat  |  Orion Intelligence Agency  |  Orion Apex Capital</w:t>
      </w:r>
    </w:p>
    <w:p>
      <w:pPr>
        <w:spacing w:after="80"/>
      </w:pPr>
    </w:p>
    <w:p>
      <w:pPr>
        <w:spacing w:after="80"/>
      </w:pPr>
    </w:p>
    <w:p>
      <w:pPr>
        <w:spacing w:after="80"/>
      </w:pPr>
    </w:p>
    <w:p>
      <w:pPr>
        <w:spacing w:after="120"/>
        <w:jc w:val="center"/>
      </w:pPr>
      <w:r>
        <w:rPr>
          <w:rFonts w:ascii="Arial" w:cs="Arial" w:eastAsia="Arial" w:hAnsi="Arial"/>
          <w:b/>
          <w:bCs/>
          <w:i w:val="false"/>
          <w:iCs w:val="false"/>
          <w:color w:val="B87333"/>
          <w:sz w:val="20"/>
          <w:szCs w:val="20"/>
        </w:rPr>
        <w:t xml:space="preserve">If governance is not enforced at runtime, before state mutation, in a fail-closed configuration, it is not governance.</w:t>
      </w:r>
    </w:p>
    <w:p>
      <w:pPr>
        <w:spacing w:after="80"/>
      </w:pPr>
    </w:p>
    <w:p>
      <w:pPr>
        <w:spacing w:after="80"/>
      </w:pPr>
    </w:p>
    <w:p>
      <w:pPr>
        <w:jc w:val="center"/>
      </w:pPr>
      <w:r>
        <w:rPr>
          <w:rFonts w:ascii="Arial" w:cs="Arial" w:eastAsia="Arial" w:hAnsi="Arial"/>
          <w:b/>
          <w:bCs/>
          <w:color w:val="B87333"/>
          <w:sz w:val="22"/>
          <w:szCs w:val="22"/>
        </w:rPr>
        <w:t xml:space="preserve">Schedule Your Readiness Scan</w:t>
      </w:r>
    </w:p>
    <w:p>
      <w:pPr>
        <w:jc w:val="center"/>
      </w:pPr>
      <w:r>
        <w:rPr>
          <w:rFonts w:ascii="Arial" w:cs="Arial" w:eastAsia="Arial" w:hAnsi="Arial"/>
          <w:color w:val="334155"/>
          <w:sz w:val="18"/>
          <w:szCs w:val="18"/>
        </w:rPr>
        <w:t xml:space="preserve">orionintelligenceagency.com/book</w:t>
      </w:r>
    </w:p>
    <w:p>
      <w:r>
        <w:rPr>
          <w:rFonts w:ascii="Arial" w:cs="Arial" w:eastAsia="Arial" w:hAnsi="Arial"/>
          <w:sz w:val="2"/>
          <w:szCs w:val="2"/>
        </w:rPr>
        <w:t xml:space="preserve"/>
      </w:r>
      <w:r>
        <w:br w:type="page"/>
      </w:r>
    </w:p>
    <w:p>
      <w:pPr>
        <w:pStyle w:val="Heading1"/>
        <w:spacing w:before="300" w:after="120"/>
      </w:pPr>
      <w:r>
        <w:rPr>
          <w:rFonts w:ascii="Arial" w:cs="Arial" w:eastAsia="Arial" w:hAnsi="Arial"/>
          <w:b/>
          <w:bCs/>
          <w:color w:val="0F172A"/>
          <w:sz w:val="32"/>
          <w:szCs w:val="32"/>
        </w:rPr>
        <w:t xml:space="preserve">Kernel vs Operator Plane</w:t>
      </w:r>
    </w:p>
    <w:p>
      <w:pPr>
        <w:spacing w:after="120"/>
        <w:jc w:val="left"/>
      </w:pPr>
      <w:r>
        <w:rPr>
          <w:rFonts w:ascii="Arial" w:cs="Arial" w:eastAsia="Arial" w:hAnsi="Arial"/>
          <w:b w:val="false"/>
          <w:bCs w:val="false"/>
          <w:i w:val="false"/>
          <w:iCs w:val="false"/>
          <w:color w:val="334155"/>
          <w:sz w:val="20"/>
          <w:szCs w:val="20"/>
        </w:rPr>
        <w:t xml:space="preserve">The runtime governance control plane separates into two distinct architectural surfaces. Understanding this separation is the prerequisite for every enforcement decision that follows.</w:t>
      </w:r>
    </w:p>
    <w:p>
      <w:pPr>
        <w:spacing w:after="80"/>
      </w:pPr>
    </w:p>
    <w:p>
      <w:pPr>
        <w:pStyle w:val="Heading2"/>
        <w:spacing w:before="240" w:after="100"/>
      </w:pPr>
      <w:r>
        <w:rPr>
          <w:rFonts w:ascii="Arial" w:cs="Arial" w:eastAsia="Arial" w:hAnsi="Arial"/>
          <w:b/>
          <w:bCs/>
          <w:color w:val="0F172A"/>
          <w:sz w:val="26"/>
          <w:szCs w:val="26"/>
        </w:rPr>
        <w:t xml:space="preserve">The Kernel Plane</w:t>
      </w:r>
    </w:p>
    <w:p>
      <w:pPr>
        <w:spacing w:after="120"/>
        <w:jc w:val="left"/>
      </w:pPr>
      <w:r>
        <w:rPr>
          <w:rFonts w:ascii="Arial" w:cs="Arial" w:eastAsia="Arial" w:hAnsi="Arial"/>
          <w:b w:val="false"/>
          <w:bCs w:val="false"/>
          <w:i w:val="false"/>
          <w:iCs w:val="false"/>
          <w:color w:val="334155"/>
          <w:sz w:val="20"/>
          <w:szCs w:val="20"/>
        </w:rPr>
        <w:t xml:space="preserve">The Kernel Plane contains immutable enforcement primitives. These are the non-negotiable constraint mechanisms that execute deterministically regardless of operator configuration:</w:t>
      </w:r>
    </w:p>
    <w:p>
      <w:pPr>
        <w:pStyle w:val="ListParagraph"/>
        <w:numPr>
          <w:ilvl w:val="0"/>
          <w:numId w:val="2"/>
        </w:numPr>
        <w:spacing w:after="60"/>
      </w:pPr>
      <w:r>
        <w:rPr>
          <w:rFonts w:ascii="Arial" w:cs="Arial" w:eastAsia="Arial" w:hAnsi="Arial"/>
          <w:color w:val="334155"/>
          <w:sz w:val="20"/>
          <w:szCs w:val="20"/>
        </w:rPr>
        <w:t xml:space="preserve">Authority evaluation: Deterministic verification of execution authority before any state mutation proceeds</w:t>
      </w:r>
    </w:p>
    <w:p>
      <w:pPr>
        <w:pStyle w:val="ListParagraph"/>
        <w:numPr>
          <w:ilvl w:val="0"/>
          <w:numId w:val="2"/>
        </w:numPr>
        <w:spacing w:after="60"/>
      </w:pPr>
      <w:r>
        <w:rPr>
          <w:rFonts w:ascii="Arial" w:cs="Arial" w:eastAsia="Arial" w:hAnsi="Arial"/>
          <w:color w:val="334155"/>
          <w:sz w:val="20"/>
          <w:szCs w:val="20"/>
        </w:rPr>
        <w:t xml:space="preserve">Receipt generation: Cryptographic attestation of every mutation event into an append-only ledger</w:t>
      </w:r>
    </w:p>
    <w:p>
      <w:pPr>
        <w:pStyle w:val="ListParagraph"/>
        <w:numPr>
          <w:ilvl w:val="0"/>
          <w:numId w:val="2"/>
        </w:numPr>
        <w:spacing w:after="60"/>
      </w:pPr>
      <w:r>
        <w:rPr>
          <w:rFonts w:ascii="Arial" w:cs="Arial" w:eastAsia="Arial" w:hAnsi="Arial"/>
          <w:color w:val="334155"/>
          <w:sz w:val="20"/>
          <w:szCs w:val="20"/>
        </w:rPr>
        <w:t xml:space="preserve">Drift detection: Behavioral deviation identification against established baselines across time</w:t>
      </w:r>
    </w:p>
    <w:p>
      <w:pPr>
        <w:pStyle w:val="ListParagraph"/>
        <w:numPr>
          <w:ilvl w:val="0"/>
          <w:numId w:val="2"/>
        </w:numPr>
        <w:spacing w:after="60"/>
      </w:pPr>
      <w:r>
        <w:rPr>
          <w:rFonts w:ascii="Arial" w:cs="Arial" w:eastAsia="Arial" w:hAnsi="Arial"/>
          <w:color w:val="334155"/>
          <w:sz w:val="20"/>
          <w:szCs w:val="20"/>
        </w:rPr>
        <w:t xml:space="preserve">Substrate gating: Physical isolation enforcement at the execution environment boundary</w:t>
      </w:r>
    </w:p>
    <w:p>
      <w:pPr>
        <w:spacing w:after="80"/>
      </w:pPr>
    </w:p>
    <w:p>
      <w:pPr>
        <w:spacing w:after="120"/>
        <w:jc w:val="left"/>
      </w:pPr>
      <w:r>
        <w:rPr>
          <w:rFonts w:ascii="Arial" w:cs="Arial" w:eastAsia="Arial" w:hAnsi="Arial"/>
          <w:b/>
          <w:bCs/>
          <w:i w:val="false"/>
          <w:iCs w:val="false"/>
          <w:color w:val="B87333"/>
          <w:sz w:val="20"/>
          <w:szCs w:val="20"/>
        </w:rPr>
        <w:t xml:space="preserve">Kernel Invariant: Operator changes cannot weaken kernel guarantees.</w:t>
      </w:r>
    </w:p>
    <w:p>
      <w:pPr>
        <w:spacing w:after="120"/>
        <w:jc w:val="left"/>
      </w:pPr>
      <w:r>
        <w:rPr>
          <w:rFonts w:ascii="Arial" w:cs="Arial" w:eastAsia="Arial" w:hAnsi="Arial"/>
          <w:b w:val="false"/>
          <w:bCs w:val="false"/>
          <w:i w:val="false"/>
          <w:iCs w:val="false"/>
          <w:color w:val="334155"/>
          <w:sz w:val="20"/>
          <w:szCs w:val="20"/>
        </w:rPr>
        <w:t xml:space="preserve">The Kernel Plane operates below the configuration surface. No policy update, threshold adjustment, or administrative action can disable or bypass kernel enforcement primitives. This is the architectural equivalent of hardware-enforced memory protection in operating system design.</w:t>
      </w:r>
    </w:p>
    <w:p>
      <w:pPr>
        <w:spacing w:after="80"/>
      </w:pPr>
    </w:p>
    <w:p>
      <w:pPr>
        <w:pStyle w:val="Heading2"/>
        <w:spacing w:before="240" w:after="100"/>
      </w:pPr>
      <w:r>
        <w:rPr>
          <w:rFonts w:ascii="Arial" w:cs="Arial" w:eastAsia="Arial" w:hAnsi="Arial"/>
          <w:b/>
          <w:bCs/>
          <w:color w:val="0F172A"/>
          <w:sz w:val="26"/>
          <w:szCs w:val="26"/>
        </w:rPr>
        <w:t xml:space="preserve">The Operator Plane</w:t>
      </w:r>
    </w:p>
    <w:p>
      <w:pPr>
        <w:spacing w:after="120"/>
        <w:jc w:val="left"/>
      </w:pPr>
      <w:r>
        <w:rPr>
          <w:rFonts w:ascii="Arial" w:cs="Arial" w:eastAsia="Arial" w:hAnsi="Arial"/>
          <w:b w:val="false"/>
          <w:bCs w:val="false"/>
          <w:i w:val="false"/>
          <w:iCs w:val="false"/>
          <w:color w:val="334155"/>
          <w:sz w:val="20"/>
          <w:szCs w:val="20"/>
        </w:rPr>
        <w:t xml:space="preserve">The Operator Plane provides the configurable surface for governance teams to tune enforcement behavior within kernel-bounded constraints:</w:t>
      </w:r>
    </w:p>
    <w:p>
      <w:pPr>
        <w:pStyle w:val="ListParagraph"/>
        <w:numPr>
          <w:ilvl w:val="0"/>
          <w:numId w:val="3"/>
        </w:numPr>
        <w:spacing w:after="60"/>
      </w:pPr>
      <w:r>
        <w:rPr>
          <w:rFonts w:ascii="Arial" w:cs="Arial" w:eastAsia="Arial" w:hAnsi="Arial"/>
          <w:color w:val="334155"/>
          <w:sz w:val="20"/>
          <w:szCs w:val="20"/>
        </w:rPr>
        <w:t xml:space="preserve">Policy configuration: Define authority rules, approval chains, and execution boundaries</w:t>
      </w:r>
    </w:p>
    <w:p>
      <w:pPr>
        <w:pStyle w:val="ListParagraph"/>
        <w:numPr>
          <w:ilvl w:val="0"/>
          <w:numId w:val="3"/>
        </w:numPr>
        <w:spacing w:after="60"/>
      </w:pPr>
      <w:r>
        <w:rPr>
          <w:rFonts w:ascii="Arial" w:cs="Arial" w:eastAsia="Arial" w:hAnsi="Arial"/>
          <w:color w:val="334155"/>
          <w:sz w:val="20"/>
          <w:szCs w:val="20"/>
        </w:rPr>
        <w:t xml:space="preserve">Threshold tuning: Adjust drift detection sensitivity, authority decay rates, and containment triggers</w:t>
      </w:r>
    </w:p>
    <w:p>
      <w:pPr>
        <w:pStyle w:val="ListParagraph"/>
        <w:numPr>
          <w:ilvl w:val="0"/>
          <w:numId w:val="3"/>
        </w:numPr>
        <w:spacing w:after="60"/>
      </w:pPr>
      <w:r>
        <w:rPr>
          <w:rFonts w:ascii="Arial" w:cs="Arial" w:eastAsia="Arial" w:hAnsi="Arial"/>
          <w:color w:val="334155"/>
          <w:sz w:val="20"/>
          <w:szCs w:val="20"/>
        </w:rPr>
        <w:t xml:space="preserve">Audit queries: Query the receipt ledger, generate compliance reports, and export evidence artifacts</w:t>
      </w:r>
    </w:p>
    <w:p>
      <w:pPr>
        <w:pStyle w:val="ListParagraph"/>
        <w:numPr>
          <w:ilvl w:val="0"/>
          <w:numId w:val="3"/>
        </w:numPr>
        <w:spacing w:after="60"/>
      </w:pPr>
      <w:r>
        <w:rPr>
          <w:rFonts w:ascii="Arial" w:cs="Arial" w:eastAsia="Arial" w:hAnsi="Arial"/>
          <w:color w:val="334155"/>
          <w:sz w:val="20"/>
          <w:szCs w:val="20"/>
        </w:rPr>
        <w:t xml:space="preserve">Operational monitoring: Real-time dashboards for enforcement state, gate throughput, and containment events</w:t>
      </w:r>
    </w:p>
    <w:p>
      <w:pPr>
        <w:spacing w:after="80"/>
      </w:pPr>
    </w:p>
    <w:p>
      <w:pPr>
        <w:pStyle w:val="Heading2"/>
        <w:spacing w:before="240" w:after="100"/>
      </w:pPr>
      <w:r>
        <w:rPr>
          <w:rFonts w:ascii="Arial" w:cs="Arial" w:eastAsia="Arial" w:hAnsi="Arial"/>
          <w:b/>
          <w:bCs/>
          <w:color w:val="0F172A"/>
          <w:sz w:val="26"/>
          <w:szCs w:val="26"/>
        </w:rPr>
        <w:t xml:space="preserve">Why Separation Matters</w:t>
      </w:r>
    </w:p>
    <w:p>
      <w:pPr>
        <w:spacing w:after="120"/>
        <w:jc w:val="left"/>
      </w:pPr>
      <w:r>
        <w:rPr>
          <w:rFonts w:ascii="Arial" w:cs="Arial" w:eastAsia="Arial" w:hAnsi="Arial"/>
          <w:b w:val="false"/>
          <w:bCs w:val="false"/>
          <w:i w:val="false"/>
          <w:iCs w:val="false"/>
          <w:color w:val="334155"/>
          <w:sz w:val="20"/>
          <w:szCs w:val="20"/>
        </w:rPr>
        <w:t xml:space="preserve">Without architectural separation between kernel and operator planes, governance configuration becomes a single point of failure. An operator with policy access can inadvertently or deliberately weaken enforcement guarantees. The kernel/operator separation ensures that the enforcement floor cannot be lowered, only the enforcement ceiling can be adjusted within bounded parameters.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tcBorders>
              <w:top w:val="single" w:color="1E293B" w:sz="1"/>
              <w:left w:val="single" w:color="1E293B" w:sz="1"/>
              <w:bottom w:val="single" w:color="1E293B" w:sz="1"/>
              <w:right w:val="single" w:color="1E293B"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Property</w:t>
            </w:r>
          </w:p>
        </w:tc>
        <w:tc>
          <w:tcPr>
            <w:tcW w:type="dxa" w:w="3580"/>
            <w:tcBorders>
              <w:top w:val="single" w:color="1E293B" w:sz="1"/>
              <w:left w:val="single" w:color="1E293B" w:sz="1"/>
              <w:bottom w:val="single" w:color="1E293B" w:sz="1"/>
              <w:right w:val="single" w:color="1E293B"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Kernel Plane</w:t>
            </w:r>
          </w:p>
        </w:tc>
        <w:tc>
          <w:tcPr>
            <w:tcW w:type="dxa" w:w="3580"/>
            <w:tcBorders>
              <w:top w:val="single" w:color="1E293B" w:sz="1"/>
              <w:left w:val="single" w:color="1E293B" w:sz="1"/>
              <w:bottom w:val="single" w:color="1E293B" w:sz="1"/>
              <w:right w:val="single" w:color="1E293B"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Operator Plane</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Mutability</w:t>
            </w:r>
          </w:p>
        </w:tc>
        <w:tc>
          <w:tcPr>
            <w:tcW w:type="dxa" w:w="35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Immutable at runtime</w:t>
            </w:r>
          </w:p>
        </w:tc>
        <w:tc>
          <w:tcPr>
            <w:tcW w:type="dxa" w:w="35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Configurable within bounds</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Access</w:t>
            </w:r>
          </w:p>
        </w:tc>
        <w:tc>
          <w:tcPr>
            <w:tcW w:type="dxa" w:w="35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System-level only</w:t>
            </w:r>
          </w:p>
        </w:tc>
        <w:tc>
          <w:tcPr>
            <w:tcW w:type="dxa" w:w="35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Governance team + admin</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Failure Mode</w:t>
            </w:r>
          </w:p>
        </w:tc>
        <w:tc>
          <w:tcPr>
            <w:tcW w:type="dxa" w:w="35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Fail-closed halt</w:t>
            </w:r>
          </w:p>
        </w:tc>
        <w:tc>
          <w:tcPr>
            <w:tcW w:type="dxa" w:w="35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Graceful degradation to kernel defaults</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Upgrade Path</w:t>
            </w:r>
          </w:p>
        </w:tc>
        <w:tc>
          <w:tcPr>
            <w:tcW w:type="dxa" w:w="35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Versioned, tested, staged</w:t>
            </w:r>
          </w:p>
        </w:tc>
        <w:tc>
          <w:tcPr>
            <w:tcW w:type="dxa" w:w="35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Hot-configurable with rollback</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Audit Surface</w:t>
            </w:r>
          </w:p>
        </w:tc>
        <w:tc>
          <w:tcPr>
            <w:tcW w:type="dxa" w:w="35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Receipt ledger (append-only)</w:t>
            </w:r>
          </w:p>
        </w:tc>
        <w:tc>
          <w:tcPr>
            <w:tcW w:type="dxa" w:w="35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Configuration change log</w:t>
            </w:r>
          </w:p>
        </w:tc>
      </w:tr>
    </w:tbl>
    <w:p>
      <w:r>
        <w:rPr>
          <w:rFonts w:ascii="Arial" w:cs="Arial" w:eastAsia="Arial" w:hAnsi="Arial"/>
          <w:sz w:val="2"/>
          <w:szCs w:val="2"/>
        </w:rPr>
        <w:t xml:space="preserve"/>
      </w:r>
      <w:r>
        <w:br w:type="page"/>
      </w:r>
    </w:p>
    <w:p>
      <w:pPr>
        <w:pStyle w:val="Heading1"/>
        <w:spacing w:before="300" w:after="120"/>
      </w:pPr>
      <w:r>
        <w:rPr>
          <w:rFonts w:ascii="Arial" w:cs="Arial" w:eastAsia="Arial" w:hAnsi="Arial"/>
          <w:b/>
          <w:bCs/>
          <w:color w:val="0F172A"/>
          <w:sz w:val="32"/>
          <w:szCs w:val="32"/>
        </w:rPr>
        <w:t xml:space="preserve">Layer 1: Authority Gate</w:t>
      </w:r>
    </w:p>
    <w:p>
      <w:pPr>
        <w:spacing w:after="120"/>
        <w:jc w:val="left"/>
      </w:pPr>
      <w:r>
        <w:rPr>
          <w:rFonts w:ascii="Arial" w:cs="Arial" w:eastAsia="Arial" w:hAnsi="Arial"/>
          <w:b/>
          <w:bCs/>
          <w:i w:val="false"/>
          <w:iCs w:val="false"/>
          <w:color w:val="B87333"/>
          <w:sz w:val="20"/>
          <w:szCs w:val="20"/>
        </w:rPr>
        <w:t xml:space="preserve">Intent Boundary — Execution depends on authority.</w:t>
      </w:r>
    </w:p>
    <w:p>
      <w:pPr>
        <w:spacing w:after="80"/>
      </w:pPr>
    </w:p>
    <w:p>
      <w:pPr>
        <w:pStyle w:val="Heading2"/>
        <w:spacing w:before="240" w:after="100"/>
      </w:pPr>
      <w:r>
        <w:rPr>
          <w:rFonts w:ascii="Arial" w:cs="Arial" w:eastAsia="Arial" w:hAnsi="Arial"/>
          <w:b/>
          <w:bCs/>
          <w:color w:val="0F172A"/>
          <w:sz w:val="26"/>
          <w:szCs w:val="26"/>
        </w:rPr>
        <w:t xml:space="preserve">Mechanics</w:t>
      </w:r>
    </w:p>
    <w:p>
      <w:pPr>
        <w:spacing w:after="120"/>
        <w:jc w:val="left"/>
      </w:pPr>
      <w:r>
        <w:rPr>
          <w:rFonts w:ascii="Arial" w:cs="Arial" w:eastAsia="Arial" w:hAnsi="Arial"/>
          <w:b w:val="false"/>
          <w:bCs w:val="false"/>
          <w:i w:val="false"/>
          <w:iCs w:val="false"/>
          <w:color w:val="334155"/>
          <w:sz w:val="20"/>
          <w:szCs w:val="20"/>
        </w:rPr>
        <w:t xml:space="preserve">The Authority Gate evaluates every execution request before state mutation can proceed. This is the intent boundary: the architectural point where an autonomous agent's planned action meets governance enforcement.</w:t>
      </w:r>
    </w:p>
    <w:p>
      <w:pPr>
        <w:spacing w:after="80"/>
      </w:pPr>
    </w:p>
    <w:p>
      <w:pPr>
        <w:pStyle w:val="Heading3"/>
        <w:spacing w:before="200" w:after="80"/>
      </w:pPr>
      <w:r>
        <w:rPr>
          <w:rFonts w:ascii="Arial" w:cs="Arial" w:eastAsia="Arial" w:hAnsi="Arial"/>
          <w:b/>
          <w:bCs/>
          <w:color w:val="334155"/>
          <w:sz w:val="22"/>
          <w:szCs w:val="22"/>
        </w:rPr>
        <w:t xml:space="preserve">Pre-Execution Evaluation Flow</w:t>
      </w:r>
    </w:p>
    <w:p>
      <w:pPr>
        <w:pStyle w:val="ListParagraph"/>
        <w:numPr>
          <w:ilvl w:val="0"/>
          <w:numId w:val="4"/>
        </w:numPr>
        <w:spacing w:after="60"/>
      </w:pPr>
      <w:r>
        <w:rPr>
          <w:rFonts w:ascii="Arial" w:cs="Arial" w:eastAsia="Arial" w:hAnsi="Arial"/>
          <w:color w:val="334155"/>
          <w:sz w:val="20"/>
          <w:szCs w:val="20"/>
        </w:rPr>
        <w:t xml:space="preserve">1. Request Intake: Agent submits execution intent (action type, target resource, payload fingerprint, requested scope)</w:t>
      </w:r>
    </w:p>
    <w:p>
      <w:pPr>
        <w:pStyle w:val="ListParagraph"/>
        <w:numPr>
          <w:ilvl w:val="0"/>
          <w:numId w:val="4"/>
        </w:numPr>
        <w:spacing w:after="60"/>
      </w:pPr>
      <w:r>
        <w:rPr>
          <w:rFonts w:ascii="Arial" w:cs="Arial" w:eastAsia="Arial" w:hAnsi="Arial"/>
          <w:color w:val="334155"/>
          <w:sz w:val="20"/>
          <w:szCs w:val="20"/>
        </w:rPr>
        <w:t xml:space="preserve">2. Policy Resolution: Authority Gate resolves applicable policies from the operator-configured ruleset, evaluating against the requesting identity, action type, resource classification, and temporal context</w:t>
      </w:r>
    </w:p>
    <w:p>
      <w:pPr>
        <w:pStyle w:val="ListParagraph"/>
        <w:numPr>
          <w:ilvl w:val="0"/>
          <w:numId w:val="4"/>
        </w:numPr>
        <w:spacing w:after="60"/>
      </w:pPr>
      <w:r>
        <w:rPr>
          <w:rFonts w:ascii="Arial" w:cs="Arial" w:eastAsia="Arial" w:hAnsi="Arial"/>
          <w:color w:val="334155"/>
          <w:sz w:val="20"/>
          <w:szCs w:val="20"/>
        </w:rPr>
        <w:t xml:space="preserve">3. Authority Verification: Deterministic evaluation of whether the resolved policy set grants sufficient authority for the requested action. No probabilistic scoring. Binary pass/halt.</w:t>
      </w:r>
    </w:p>
    <w:p>
      <w:pPr>
        <w:pStyle w:val="ListParagraph"/>
        <w:numPr>
          <w:ilvl w:val="0"/>
          <w:numId w:val="4"/>
        </w:numPr>
        <w:spacing w:after="60"/>
      </w:pPr>
      <w:r>
        <w:rPr>
          <w:rFonts w:ascii="Arial" w:cs="Arial" w:eastAsia="Arial" w:hAnsi="Arial"/>
          <w:color w:val="334155"/>
          <w:sz w:val="20"/>
          <w:szCs w:val="20"/>
        </w:rPr>
        <w:t xml:space="preserve">4. Gate Decision: PASS (authority verified, execution proceeds with receipt generation) or HALT (authority insufficient, fail-closed, escalation triggered, receipt generated for the halt event itself)</w:t>
      </w:r>
    </w:p>
    <w:p>
      <w:pPr>
        <w:spacing w:after="80"/>
      </w:pPr>
    </w:p>
    <w:p>
      <w:pPr>
        <w:pStyle w:val="Heading2"/>
        <w:spacing w:before="240" w:after="100"/>
      </w:pPr>
      <w:r>
        <w:rPr>
          <w:rFonts w:ascii="Arial" w:cs="Arial" w:eastAsia="Arial" w:hAnsi="Arial"/>
          <w:b/>
          <w:bCs/>
          <w:color w:val="0F172A"/>
          <w:sz w:val="26"/>
          <w:szCs w:val="26"/>
        </w:rPr>
        <w:t xml:space="preserve">Policy Resolution Algorithm</w:t>
      </w:r>
    </w:p>
    <w:p>
      <w:pPr>
        <w:spacing w:after="120"/>
        <w:jc w:val="left"/>
      </w:pPr>
      <w:r>
        <w:rPr>
          <w:rFonts w:ascii="Arial" w:cs="Arial" w:eastAsia="Arial" w:hAnsi="Arial"/>
          <w:b w:val="false"/>
          <w:bCs w:val="false"/>
          <w:i w:val="false"/>
          <w:iCs w:val="false"/>
          <w:color w:val="334155"/>
          <w:sz w:val="20"/>
          <w:szCs w:val="20"/>
        </w:rPr>
        <w:t xml:space="preserve">Policy resolution follows a deterministic precedence hierarchy:</w:t>
      </w:r>
    </w:p>
    <w:p>
      <w:pPr>
        <w:pStyle w:val="ListParagraph"/>
        <w:numPr>
          <w:ilvl w:val="0"/>
          <w:numId w:val="5"/>
        </w:numPr>
        <w:spacing w:after="60"/>
      </w:pPr>
      <w:r>
        <w:rPr>
          <w:rFonts w:ascii="Arial" w:cs="Arial" w:eastAsia="Arial" w:hAnsi="Arial"/>
          <w:color w:val="334155"/>
          <w:sz w:val="20"/>
          <w:szCs w:val="20"/>
        </w:rPr>
        <w:t xml:space="preserve">Explicit deny overrides all other policy grants (deny-first evaluation)</w:t>
      </w:r>
    </w:p>
    <w:p>
      <w:pPr>
        <w:pStyle w:val="ListParagraph"/>
        <w:numPr>
          <w:ilvl w:val="0"/>
          <w:numId w:val="5"/>
        </w:numPr>
        <w:spacing w:after="60"/>
      </w:pPr>
      <w:r>
        <w:rPr>
          <w:rFonts w:ascii="Arial" w:cs="Arial" w:eastAsia="Arial" w:hAnsi="Arial"/>
          <w:color w:val="334155"/>
          <w:sz w:val="20"/>
          <w:szCs w:val="20"/>
        </w:rPr>
        <w:t xml:space="preserve">Resource-specific policies take precedence over category-level policies</w:t>
      </w:r>
    </w:p>
    <w:p>
      <w:pPr>
        <w:pStyle w:val="ListParagraph"/>
        <w:numPr>
          <w:ilvl w:val="0"/>
          <w:numId w:val="5"/>
        </w:numPr>
        <w:spacing w:after="60"/>
      </w:pPr>
      <w:r>
        <w:rPr>
          <w:rFonts w:ascii="Arial" w:cs="Arial" w:eastAsia="Arial" w:hAnsi="Arial"/>
          <w:color w:val="334155"/>
          <w:sz w:val="20"/>
          <w:szCs w:val="20"/>
        </w:rPr>
        <w:t xml:space="preserve">Time-bounded grants expire deterministically (no standing authority)</w:t>
      </w:r>
    </w:p>
    <w:p>
      <w:pPr>
        <w:pStyle w:val="ListParagraph"/>
        <w:numPr>
          <w:ilvl w:val="0"/>
          <w:numId w:val="5"/>
        </w:numPr>
        <w:spacing w:after="60"/>
      </w:pPr>
      <w:r>
        <w:rPr>
          <w:rFonts w:ascii="Arial" w:cs="Arial" w:eastAsia="Arial" w:hAnsi="Arial"/>
          <w:color w:val="334155"/>
          <w:sz w:val="20"/>
          <w:szCs w:val="20"/>
        </w:rPr>
        <w:t xml:space="preserve">Scope narrowing: requested scope is intersected with granted scope; execution proceeds only with the intersection, never the union</w:t>
      </w:r>
    </w:p>
    <w:p>
      <w:pPr>
        <w:pStyle w:val="ListParagraph"/>
        <w:numPr>
          <w:ilvl w:val="0"/>
          <w:numId w:val="5"/>
        </w:numPr>
        <w:spacing w:after="60"/>
      </w:pPr>
      <w:r>
        <w:rPr>
          <w:rFonts w:ascii="Arial" w:cs="Arial" w:eastAsia="Arial" w:hAnsi="Arial"/>
          <w:color w:val="334155"/>
          <w:sz w:val="20"/>
          <w:szCs w:val="20"/>
        </w:rPr>
        <w:t xml:space="preserve">Ambiguity resolution: any unresolvable policy conflict results in halt (fail-closed)</w:t>
      </w:r>
    </w:p>
    <w:p>
      <w:pPr>
        <w:spacing w:after="80"/>
      </w:pPr>
    </w:p>
    <w:p>
      <w:pPr>
        <w:pStyle w:val="Heading2"/>
        <w:spacing w:before="240" w:after="100"/>
      </w:pPr>
      <w:r>
        <w:rPr>
          <w:rFonts w:ascii="Arial" w:cs="Arial" w:eastAsia="Arial" w:hAnsi="Arial"/>
          <w:b/>
          <w:bCs/>
          <w:color w:val="0F172A"/>
          <w:sz w:val="26"/>
          <w:szCs w:val="26"/>
        </w:rPr>
        <w:t xml:space="preserve">Fail-Closed Halt Conditions</w:t>
      </w:r>
    </w:p>
    <w:p>
      <w:pPr>
        <w:pStyle w:val="ListParagraph"/>
        <w:numPr>
          <w:ilvl w:val="0"/>
          <w:numId w:val="6"/>
        </w:numPr>
        <w:spacing w:after="60"/>
      </w:pPr>
      <w:r>
        <w:rPr>
          <w:rFonts w:ascii="Arial" w:cs="Arial" w:eastAsia="Arial" w:hAnsi="Arial"/>
          <w:color w:val="334155"/>
          <w:sz w:val="20"/>
          <w:szCs w:val="20"/>
        </w:rPr>
        <w:t xml:space="preserve">Authority cannot be verified within timeout threshold</w:t>
      </w:r>
    </w:p>
    <w:p>
      <w:pPr>
        <w:pStyle w:val="ListParagraph"/>
        <w:numPr>
          <w:ilvl w:val="0"/>
          <w:numId w:val="6"/>
        </w:numPr>
        <w:spacing w:after="60"/>
      </w:pPr>
      <w:r>
        <w:rPr>
          <w:rFonts w:ascii="Arial" w:cs="Arial" w:eastAsia="Arial" w:hAnsi="Arial"/>
          <w:color w:val="334155"/>
          <w:sz w:val="20"/>
          <w:szCs w:val="20"/>
        </w:rPr>
        <w:t xml:space="preserve">Policy resolution returns ambiguous or conflicting grants</w:t>
      </w:r>
    </w:p>
    <w:p>
      <w:pPr>
        <w:pStyle w:val="ListParagraph"/>
        <w:numPr>
          <w:ilvl w:val="0"/>
          <w:numId w:val="6"/>
        </w:numPr>
        <w:spacing w:after="60"/>
      </w:pPr>
      <w:r>
        <w:rPr>
          <w:rFonts w:ascii="Arial" w:cs="Arial" w:eastAsia="Arial" w:hAnsi="Arial"/>
          <w:color w:val="334155"/>
          <w:sz w:val="20"/>
          <w:szCs w:val="20"/>
        </w:rPr>
        <w:t xml:space="preserve">Requesting identity is unknown or unregistered</w:t>
      </w:r>
    </w:p>
    <w:p>
      <w:pPr>
        <w:pStyle w:val="ListParagraph"/>
        <w:numPr>
          <w:ilvl w:val="0"/>
          <w:numId w:val="6"/>
        </w:numPr>
        <w:spacing w:after="60"/>
      </w:pPr>
      <w:r>
        <w:rPr>
          <w:rFonts w:ascii="Arial" w:cs="Arial" w:eastAsia="Arial" w:hAnsi="Arial"/>
          <w:color w:val="334155"/>
          <w:sz w:val="20"/>
          <w:szCs w:val="20"/>
        </w:rPr>
        <w:t xml:space="preserve">Requested action type is not enumerated in the policy set</w:t>
      </w:r>
    </w:p>
    <w:p>
      <w:pPr>
        <w:pStyle w:val="ListParagraph"/>
        <w:numPr>
          <w:ilvl w:val="0"/>
          <w:numId w:val="6"/>
        </w:numPr>
        <w:spacing w:after="60"/>
      </w:pPr>
      <w:r>
        <w:rPr>
          <w:rFonts w:ascii="Arial" w:cs="Arial" w:eastAsia="Arial" w:hAnsi="Arial"/>
          <w:color w:val="334155"/>
          <w:sz w:val="20"/>
          <w:szCs w:val="20"/>
        </w:rPr>
        <w:t xml:space="preserve">Temporal context falls outside any valid grant window</w:t>
      </w:r>
    </w:p>
    <w:p>
      <w:pPr>
        <w:pStyle w:val="ListParagraph"/>
        <w:numPr>
          <w:ilvl w:val="0"/>
          <w:numId w:val="6"/>
        </w:numPr>
        <w:spacing w:after="60"/>
      </w:pPr>
      <w:r>
        <w:rPr>
          <w:rFonts w:ascii="Arial" w:cs="Arial" w:eastAsia="Arial" w:hAnsi="Arial"/>
          <w:color w:val="334155"/>
          <w:sz w:val="20"/>
          <w:szCs w:val="20"/>
        </w:rPr>
        <w:t xml:space="preserve">Resource classification is missing or unresolvable</w:t>
      </w:r>
    </w:p>
    <w:p>
      <w:pPr>
        <w:spacing w:after="80"/>
      </w:pPr>
    </w:p>
    <w:p>
      <w:pPr>
        <w:pStyle w:val="Heading2"/>
        <w:spacing w:before="240" w:after="100"/>
      </w:pPr>
      <w:r>
        <w:rPr>
          <w:rFonts w:ascii="Arial" w:cs="Arial" w:eastAsia="Arial" w:hAnsi="Arial"/>
          <w:b/>
          <w:bCs/>
          <w:color w:val="0F172A"/>
          <w:sz w:val="26"/>
          <w:szCs w:val="26"/>
        </w:rPr>
        <w:t xml:space="preserve">Integration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E293B" w:sz="1"/>
              <w:left w:val="single" w:color="1E293B" w:sz="1"/>
              <w:bottom w:val="single" w:color="1E293B" w:sz="1"/>
              <w:right w:val="single" w:color="1E293B"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System</w:t>
            </w:r>
          </w:p>
        </w:tc>
        <w:tc>
          <w:tcPr>
            <w:tcW w:type="dxa" w:w="3680"/>
            <w:tcBorders>
              <w:top w:val="single" w:color="1E293B" w:sz="1"/>
              <w:left w:val="single" w:color="1E293B" w:sz="1"/>
              <w:bottom w:val="single" w:color="1E293B" w:sz="1"/>
              <w:right w:val="single" w:color="1E293B"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Integration Pattern</w:t>
            </w:r>
          </w:p>
        </w:tc>
        <w:tc>
          <w:tcPr>
            <w:tcW w:type="dxa" w:w="3680"/>
            <w:tcBorders>
              <w:top w:val="single" w:color="1E293B" w:sz="1"/>
              <w:left w:val="single" w:color="1E293B" w:sz="1"/>
              <w:bottom w:val="single" w:color="1E293B" w:sz="1"/>
              <w:right w:val="single" w:color="1E293B"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Data Flow</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IAM/SSO</w:t>
            </w:r>
          </w:p>
        </w:tc>
        <w:tc>
          <w:tcPr>
            <w:tcW w:type="dxa" w:w="3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Identity federation via SAML/OIDC</w:t>
            </w:r>
          </w:p>
        </w:tc>
        <w:tc>
          <w:tcPr>
            <w:tcW w:type="dxa" w:w="3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Identity claims → Authority Gate</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Policy Engine</w:t>
            </w:r>
          </w:p>
        </w:tc>
        <w:tc>
          <w:tcPr>
            <w:tcW w:type="dxa" w:w="3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OPA/Cedar-compatible policy evaluation</w:t>
            </w:r>
          </w:p>
        </w:tc>
        <w:tc>
          <w:tcPr>
            <w:tcW w:type="dxa" w:w="3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Policy decisions → Gate verdict</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SIEM</w:t>
            </w:r>
          </w:p>
        </w:tc>
        <w:tc>
          <w:tcPr>
            <w:tcW w:type="dxa" w:w="3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Halt events forwarded as security events</w:t>
            </w:r>
          </w:p>
        </w:tc>
        <w:tc>
          <w:tcPr>
            <w:tcW w:type="dxa" w:w="3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Gate halts → SIEM alerts</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Audit Trail</w:t>
            </w:r>
          </w:p>
        </w:tc>
        <w:tc>
          <w:tcPr>
            <w:tcW w:type="dxa" w:w="3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Every gate decision receipted</w:t>
            </w:r>
          </w:p>
        </w:tc>
        <w:tc>
          <w:tcPr>
            <w:tcW w:type="dxa" w:w="36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Verdict + context → Receipt Pipeline</w:t>
            </w:r>
          </w:p>
        </w:tc>
      </w:tr>
    </w:tbl>
    <w:p>
      <w:r>
        <w:rPr>
          <w:rFonts w:ascii="Arial" w:cs="Arial" w:eastAsia="Arial" w:hAnsi="Arial"/>
          <w:sz w:val="2"/>
          <w:szCs w:val="2"/>
        </w:rPr>
        <w:t xml:space="preserve"/>
      </w:r>
      <w:r>
        <w:br w:type="page"/>
      </w:r>
    </w:p>
    <w:p>
      <w:pPr>
        <w:pStyle w:val="Heading1"/>
        <w:spacing w:before="300" w:after="120"/>
      </w:pPr>
      <w:r>
        <w:rPr>
          <w:rFonts w:ascii="Arial" w:cs="Arial" w:eastAsia="Arial" w:hAnsi="Arial"/>
          <w:b/>
          <w:bCs/>
          <w:color w:val="0F172A"/>
          <w:sz w:val="32"/>
          <w:szCs w:val="32"/>
        </w:rPr>
        <w:t xml:space="preserve">Layer 2: Immutable Receipts</w:t>
      </w:r>
    </w:p>
    <w:p>
      <w:pPr>
        <w:spacing w:after="120"/>
        <w:jc w:val="left"/>
      </w:pPr>
      <w:r>
        <w:rPr>
          <w:rFonts w:ascii="Arial" w:cs="Arial" w:eastAsia="Arial" w:hAnsi="Arial"/>
          <w:b/>
          <w:bCs/>
          <w:i w:val="false"/>
          <w:iCs w:val="false"/>
          <w:color w:val="B87333"/>
          <w:sz w:val="20"/>
          <w:szCs w:val="20"/>
        </w:rPr>
        <w:t xml:space="preserve">Mutation Attestation — Mutation depends on attestation.</w:t>
      </w:r>
    </w:p>
    <w:p>
      <w:pPr>
        <w:spacing w:after="80"/>
      </w:pPr>
    </w:p>
    <w:p>
      <w:pPr>
        <w:pStyle w:val="Heading2"/>
        <w:spacing w:before="240" w:after="100"/>
      </w:pPr>
      <w:r>
        <w:rPr>
          <w:rFonts w:ascii="Arial" w:cs="Arial" w:eastAsia="Arial" w:hAnsi="Arial"/>
          <w:b/>
          <w:bCs/>
          <w:color w:val="0F172A"/>
          <w:sz w:val="26"/>
          <w:szCs w:val="26"/>
        </w:rPr>
        <w:t xml:space="preserve">Append-Only Ledger Architecture</w:t>
      </w:r>
    </w:p>
    <w:p>
      <w:pPr>
        <w:spacing w:after="120"/>
        <w:jc w:val="left"/>
      </w:pPr>
      <w:r>
        <w:rPr>
          <w:rFonts w:ascii="Arial" w:cs="Arial" w:eastAsia="Arial" w:hAnsi="Arial"/>
          <w:b w:val="false"/>
          <w:bCs w:val="false"/>
          <w:i w:val="false"/>
          <w:iCs w:val="false"/>
          <w:color w:val="334155"/>
          <w:sz w:val="20"/>
          <w:szCs w:val="20"/>
        </w:rPr>
        <w:t xml:space="preserve">The Receipt Pipeline generates a cryptographically attested record for every state mutation that passes the Authority Gate. This is not logging. Logs are telemetry. Receipts are enforcement artifacts with non-repudiation guarantees.</w:t>
      </w:r>
    </w:p>
    <w:p>
      <w:pPr>
        <w:spacing w:after="80"/>
      </w:pPr>
    </w:p>
    <w:p>
      <w:pPr>
        <w:pStyle w:val="Heading3"/>
        <w:spacing w:before="200" w:after="80"/>
      </w:pPr>
      <w:r>
        <w:rPr>
          <w:rFonts w:ascii="Arial" w:cs="Arial" w:eastAsia="Arial" w:hAnsi="Arial"/>
          <w:b/>
          <w:bCs/>
          <w:color w:val="334155"/>
          <w:sz w:val="22"/>
          <w:szCs w:val="22"/>
        </w:rPr>
        <w:t xml:space="preserve">Receipt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1E293B" w:sz="1"/>
              <w:left w:val="single" w:color="1E293B" w:sz="1"/>
              <w:bottom w:val="single" w:color="1E293B" w:sz="1"/>
              <w:right w:val="single" w:color="1E293B"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1600"/>
            <w:tcBorders>
              <w:top w:val="single" w:color="1E293B" w:sz="1"/>
              <w:left w:val="single" w:color="1E293B" w:sz="1"/>
              <w:bottom w:val="single" w:color="1E293B" w:sz="1"/>
              <w:right w:val="single" w:color="1E293B"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5360"/>
            <w:tcBorders>
              <w:top w:val="single" w:color="1E293B" w:sz="1"/>
              <w:left w:val="single" w:color="1E293B" w:sz="1"/>
              <w:bottom w:val="single" w:color="1E293B" w:sz="1"/>
              <w:right w:val="single" w:color="1E293B"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receipt_id</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UUID v7</w:t>
            </w:r>
          </w:p>
        </w:tc>
        <w:tc>
          <w:tcPr>
            <w:tcW w:type="dxa" w:w="5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Globally unique, time-ordered receipt identifier</w:t>
            </w:r>
          </w:p>
        </w:tc>
      </w:tr>
      <w:tr>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action_id</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UUID v7</w:t>
            </w:r>
          </w:p>
        </w:tc>
        <w:tc>
          <w:tcPr>
            <w:tcW w:type="dxa" w:w="5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Reference to the originating execution request</w:t>
            </w:r>
          </w:p>
        </w:tc>
      </w:tr>
      <w:tr>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authority_chain</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JSON array</w:t>
            </w:r>
          </w:p>
        </w:tc>
        <w:tc>
          <w:tcPr>
            <w:tcW w:type="dxa" w:w="5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Ordered sequence of authority grants that authorized execution</w:t>
            </w:r>
          </w:p>
        </w:tc>
      </w:tr>
      <w:tr>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timestamp</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ISO 8601 + monotonic</w:t>
            </w:r>
          </w:p>
        </w:tc>
        <w:tc>
          <w:tcPr>
            <w:tcW w:type="dxa" w:w="5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Wall-clock time + monotonic counter for ordering guarantees</w:t>
            </w:r>
          </w:p>
        </w:tc>
      </w:tr>
      <w:tr>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payload_fingerprint</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SHA-256</w:t>
            </w:r>
          </w:p>
        </w:tc>
        <w:tc>
          <w:tcPr>
            <w:tcW w:type="dxa" w:w="5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Cryptographic hash of the mutation payload</w:t>
            </w:r>
          </w:p>
        </w:tc>
      </w:tr>
      <w:tr>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resource_id</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String</w:t>
            </w:r>
          </w:p>
        </w:tc>
        <w:tc>
          <w:tcPr>
            <w:tcW w:type="dxa" w:w="5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Identifier of the resource being mutated</w:t>
            </w:r>
          </w:p>
        </w:tc>
      </w:tr>
      <w:tr>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actor_id</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String</w:t>
            </w:r>
          </w:p>
        </w:tc>
        <w:tc>
          <w:tcPr>
            <w:tcW w:type="dxa" w:w="5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Identity of the requesting agent or operator</w:t>
            </w:r>
          </w:p>
        </w:tc>
      </w:tr>
      <w:tr>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gate_verdict</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Enum</w:t>
            </w:r>
          </w:p>
        </w:tc>
        <w:tc>
          <w:tcPr>
            <w:tcW w:type="dxa" w:w="5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PASS | HALT | ESCALATE</w:t>
            </w:r>
          </w:p>
        </w:tc>
      </w:tr>
      <w:tr>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attestation_sig</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Ed25519</w:t>
            </w:r>
          </w:p>
        </w:tc>
        <w:tc>
          <w:tcPr>
            <w:tcW w:type="dxa" w:w="5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Cryptographic signature over the receipt body</w:t>
            </w:r>
          </w:p>
        </w:tc>
      </w:tr>
      <w:tr>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prev_receipt_hash</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SHA-256</w:t>
            </w:r>
          </w:p>
        </w:tc>
        <w:tc>
          <w:tcPr>
            <w:tcW w:type="dxa" w:w="53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Hash chain linking to the previous receipt (tamper detection)</w:t>
            </w:r>
          </w:p>
        </w:tc>
      </w:tr>
    </w:tbl>
    <w:p>
      <w:pPr>
        <w:spacing w:after="80"/>
      </w:pPr>
    </w:p>
    <w:p>
      <w:pPr>
        <w:pStyle w:val="Heading2"/>
        <w:spacing w:before="240" w:after="100"/>
      </w:pPr>
      <w:r>
        <w:rPr>
          <w:rFonts w:ascii="Arial" w:cs="Arial" w:eastAsia="Arial" w:hAnsi="Arial"/>
          <w:b/>
          <w:bCs/>
          <w:color w:val="0F172A"/>
          <w:sz w:val="26"/>
          <w:szCs w:val="26"/>
        </w:rPr>
        <w:t xml:space="preserve">Cryptographic Attestation Flow</w:t>
      </w:r>
    </w:p>
    <w:p>
      <w:pPr>
        <w:pStyle w:val="ListParagraph"/>
        <w:numPr>
          <w:ilvl w:val="0"/>
          <w:numId w:val="7"/>
        </w:numPr>
        <w:spacing w:after="60"/>
      </w:pPr>
      <w:r>
        <w:rPr>
          <w:rFonts w:ascii="Arial" w:cs="Arial" w:eastAsia="Arial" w:hAnsi="Arial"/>
          <w:color w:val="334155"/>
          <w:sz w:val="20"/>
          <w:szCs w:val="20"/>
        </w:rPr>
        <w:t xml:space="preserve">1. Receipt body assembled from gate verdict, mutation context, and authority chain</w:t>
      </w:r>
    </w:p>
    <w:p>
      <w:pPr>
        <w:pStyle w:val="ListParagraph"/>
        <w:numPr>
          <w:ilvl w:val="0"/>
          <w:numId w:val="7"/>
        </w:numPr>
        <w:spacing w:after="60"/>
      </w:pPr>
      <w:r>
        <w:rPr>
          <w:rFonts w:ascii="Arial" w:cs="Arial" w:eastAsia="Arial" w:hAnsi="Arial"/>
          <w:color w:val="334155"/>
          <w:sz w:val="20"/>
          <w:szCs w:val="20"/>
        </w:rPr>
        <w:t xml:space="preserve">2. Payload fingerprint computed (SHA-256 of the full mutation payload)</w:t>
      </w:r>
    </w:p>
    <w:p>
      <w:pPr>
        <w:pStyle w:val="ListParagraph"/>
        <w:numPr>
          <w:ilvl w:val="0"/>
          <w:numId w:val="7"/>
        </w:numPr>
        <w:spacing w:after="60"/>
      </w:pPr>
      <w:r>
        <w:rPr>
          <w:rFonts w:ascii="Arial" w:cs="Arial" w:eastAsia="Arial" w:hAnsi="Arial"/>
          <w:color w:val="334155"/>
          <w:sz w:val="20"/>
          <w:szCs w:val="20"/>
        </w:rPr>
        <w:t xml:space="preserve">3. Previous receipt hash retrieved from the ledger head</w:t>
      </w:r>
    </w:p>
    <w:p>
      <w:pPr>
        <w:pStyle w:val="ListParagraph"/>
        <w:numPr>
          <w:ilvl w:val="0"/>
          <w:numId w:val="7"/>
        </w:numPr>
        <w:spacing w:after="60"/>
      </w:pPr>
      <w:r>
        <w:rPr>
          <w:rFonts w:ascii="Arial" w:cs="Arial" w:eastAsia="Arial" w:hAnsi="Arial"/>
          <w:color w:val="334155"/>
          <w:sz w:val="20"/>
          <w:szCs w:val="20"/>
        </w:rPr>
        <w:t xml:space="preserve">4. Receipt body + prev_hash signed with Ed25519 key (hardware-backed where available)</w:t>
      </w:r>
    </w:p>
    <w:p>
      <w:pPr>
        <w:pStyle w:val="ListParagraph"/>
        <w:numPr>
          <w:ilvl w:val="0"/>
          <w:numId w:val="7"/>
        </w:numPr>
        <w:spacing w:after="60"/>
      </w:pPr>
      <w:r>
        <w:rPr>
          <w:rFonts w:ascii="Arial" w:cs="Arial" w:eastAsia="Arial" w:hAnsi="Arial"/>
          <w:color w:val="334155"/>
          <w:sz w:val="20"/>
          <w:szCs w:val="20"/>
        </w:rPr>
        <w:t xml:space="preserve">5. Signed receipt appended to the immutable ledger</w:t>
      </w:r>
    </w:p>
    <w:p>
      <w:pPr>
        <w:pStyle w:val="ListParagraph"/>
        <w:numPr>
          <w:ilvl w:val="0"/>
          <w:numId w:val="7"/>
        </w:numPr>
        <w:spacing w:after="60"/>
      </w:pPr>
      <w:r>
        <w:rPr>
          <w:rFonts w:ascii="Arial" w:cs="Arial" w:eastAsia="Arial" w:hAnsi="Arial"/>
          <w:color w:val="334155"/>
          <w:sz w:val="20"/>
          <w:szCs w:val="20"/>
        </w:rPr>
        <w:t xml:space="preserve">6. Receipt ID returned to the execution pipeline as proof of attestation</w:t>
      </w:r>
    </w:p>
    <w:p>
      <w:pPr>
        <w:spacing w:after="80"/>
      </w:pPr>
    </w:p>
    <w:p>
      <w:pPr>
        <w:pStyle w:val="Heading2"/>
        <w:spacing w:before="240" w:after="100"/>
      </w:pPr>
      <w:r>
        <w:rPr>
          <w:rFonts w:ascii="Arial" w:cs="Arial" w:eastAsia="Arial" w:hAnsi="Arial"/>
          <w:b/>
          <w:bCs/>
          <w:color w:val="0F172A"/>
          <w:sz w:val="26"/>
          <w:szCs w:val="26"/>
        </w:rPr>
        <w:t xml:space="preserve">Non-Repudiation Guarantees</w:t>
      </w:r>
    </w:p>
    <w:p>
      <w:pPr>
        <w:spacing w:after="120"/>
        <w:jc w:val="left"/>
      </w:pPr>
      <w:r>
        <w:rPr>
          <w:rFonts w:ascii="Arial" w:cs="Arial" w:eastAsia="Arial" w:hAnsi="Arial"/>
          <w:b w:val="false"/>
          <w:bCs w:val="false"/>
          <w:i w:val="false"/>
          <w:iCs w:val="false"/>
          <w:color w:val="334155"/>
          <w:sz w:val="20"/>
          <w:szCs w:val="20"/>
        </w:rPr>
        <w:t xml:space="preserve">The hash-chained, cryptographically signed receipt ledger provides three non-repudiation properties:</w:t>
      </w:r>
    </w:p>
    <w:p>
      <w:pPr>
        <w:pStyle w:val="ListParagraph"/>
        <w:numPr>
          <w:ilvl w:val="0"/>
          <w:numId w:val="8"/>
        </w:numPr>
        <w:spacing w:after="60"/>
      </w:pPr>
      <w:r>
        <w:rPr>
          <w:rFonts w:ascii="Arial" w:cs="Arial" w:eastAsia="Arial" w:hAnsi="Arial"/>
          <w:color w:val="334155"/>
          <w:sz w:val="20"/>
          <w:szCs w:val="20"/>
        </w:rPr>
        <w:t xml:space="preserve">Origin authentication: The attestation signature proves which enforcement node generated the receipt</w:t>
      </w:r>
    </w:p>
    <w:p>
      <w:pPr>
        <w:pStyle w:val="ListParagraph"/>
        <w:numPr>
          <w:ilvl w:val="0"/>
          <w:numId w:val="8"/>
        </w:numPr>
        <w:spacing w:after="60"/>
      </w:pPr>
      <w:r>
        <w:rPr>
          <w:rFonts w:ascii="Arial" w:cs="Arial" w:eastAsia="Arial" w:hAnsi="Arial"/>
          <w:color w:val="334155"/>
          <w:sz w:val="20"/>
          <w:szCs w:val="20"/>
        </w:rPr>
        <w:t xml:space="preserve">Integrity: Any modification to a receipt breaks the hash chain, detectable by any auditor</w:t>
      </w:r>
    </w:p>
    <w:p>
      <w:pPr>
        <w:pStyle w:val="ListParagraph"/>
        <w:numPr>
          <w:ilvl w:val="0"/>
          <w:numId w:val="8"/>
        </w:numPr>
        <w:spacing w:after="60"/>
      </w:pPr>
      <w:r>
        <w:rPr>
          <w:rFonts w:ascii="Arial" w:cs="Arial" w:eastAsia="Arial" w:hAnsi="Arial"/>
          <w:color w:val="334155"/>
          <w:sz w:val="20"/>
          <w:szCs w:val="20"/>
        </w:rPr>
        <w:t xml:space="preserve">Ordering: Time-ordered UUIDs + hash chain + monotonic counters guarantee causal ordering of mutations</w:t>
      </w:r>
    </w:p>
    <w:p>
      <w:pPr>
        <w:spacing w:after="80"/>
      </w:pPr>
    </w:p>
    <w:p>
      <w:pPr>
        <w:spacing w:after="120"/>
        <w:jc w:val="left"/>
      </w:pPr>
      <w:r>
        <w:rPr>
          <w:rFonts w:ascii="Arial" w:cs="Arial" w:eastAsia="Arial" w:hAnsi="Arial"/>
          <w:b/>
          <w:bCs/>
          <w:i w:val="false"/>
          <w:iCs w:val="false"/>
          <w:color w:val="B87333"/>
          <w:sz w:val="20"/>
          <w:szCs w:val="20"/>
        </w:rPr>
        <w:t xml:space="preserve">Distinction: Logs tell you what happened. Receipts prove who authorized it and that nothing was altered after the fact.</w:t>
      </w:r>
    </w:p>
    <w:p>
      <w:r>
        <w:rPr>
          <w:rFonts w:ascii="Arial" w:cs="Arial" w:eastAsia="Arial" w:hAnsi="Arial"/>
          <w:sz w:val="2"/>
          <w:szCs w:val="2"/>
        </w:rPr>
        <w:t xml:space="preserve"/>
      </w:r>
      <w:r>
        <w:br w:type="page"/>
      </w:r>
    </w:p>
    <w:p>
      <w:pPr>
        <w:pStyle w:val="Heading1"/>
        <w:spacing w:before="300" w:after="120"/>
      </w:pPr>
      <w:r>
        <w:rPr>
          <w:rFonts w:ascii="Arial" w:cs="Arial" w:eastAsia="Arial" w:hAnsi="Arial"/>
          <w:b/>
          <w:bCs/>
          <w:color w:val="0F172A"/>
          <w:sz w:val="32"/>
          <w:szCs w:val="32"/>
        </w:rPr>
        <w:t xml:space="preserve">Layer 3: Drift Guard</w:t>
      </w:r>
    </w:p>
    <w:p>
      <w:pPr>
        <w:spacing w:after="120"/>
        <w:jc w:val="left"/>
      </w:pPr>
      <w:r>
        <w:rPr>
          <w:rFonts w:ascii="Arial" w:cs="Arial" w:eastAsia="Arial" w:hAnsi="Arial"/>
          <w:b/>
          <w:bCs/>
          <w:i w:val="false"/>
          <w:iCs w:val="false"/>
          <w:color w:val="B87333"/>
          <w:sz w:val="20"/>
          <w:szCs w:val="20"/>
        </w:rPr>
        <w:t xml:space="preserve">Behavioral Constraint — Behavior constrained across time.</w:t>
      </w:r>
    </w:p>
    <w:p>
      <w:pPr>
        <w:spacing w:after="80"/>
      </w:pPr>
    </w:p>
    <w:p>
      <w:pPr>
        <w:pStyle w:val="Heading2"/>
        <w:spacing w:before="240" w:after="100"/>
      </w:pPr>
      <w:r>
        <w:rPr>
          <w:rFonts w:ascii="Arial" w:cs="Arial" w:eastAsia="Arial" w:hAnsi="Arial"/>
          <w:b/>
          <w:bCs/>
          <w:color w:val="0F172A"/>
          <w:sz w:val="26"/>
          <w:szCs w:val="26"/>
        </w:rPr>
        <w:t xml:space="preserve">The Time-Series Problem</w:t>
      </w:r>
    </w:p>
    <w:p>
      <w:pPr>
        <w:spacing w:after="120"/>
        <w:jc w:val="left"/>
      </w:pPr>
      <w:r>
        <w:rPr>
          <w:rFonts w:ascii="Arial" w:cs="Arial" w:eastAsia="Arial" w:hAnsi="Arial"/>
          <w:b w:val="false"/>
          <w:bCs w:val="false"/>
          <w:i w:val="false"/>
          <w:iCs w:val="false"/>
          <w:color w:val="334155"/>
          <w:sz w:val="20"/>
          <w:szCs w:val="20"/>
        </w:rPr>
        <w:t xml:space="preserve">Autonomous systems do not fail at a single transaction. They fail across time. Privilege creep, behavioral deviation, scope expansion, and compounding drift create systemic risk that per-action governance cannot detect. Drift Guard enforces behavioral constraints across time, not just per-action.</w:t>
      </w:r>
    </w:p>
    <w:p>
      <w:pPr>
        <w:spacing w:after="80"/>
      </w:pPr>
    </w:p>
    <w:p>
      <w:pPr>
        <w:pStyle w:val="Heading2"/>
        <w:spacing w:before="240" w:after="100"/>
      </w:pPr>
      <w:r>
        <w:rPr>
          <w:rFonts w:ascii="Arial" w:cs="Arial" w:eastAsia="Arial" w:hAnsi="Arial"/>
          <w:b/>
          <w:bCs/>
          <w:color w:val="0F172A"/>
          <w:sz w:val="26"/>
          <w:szCs w:val="26"/>
        </w:rPr>
        <w:t xml:space="preserve">Behavioral Baseline Construction</w:t>
      </w:r>
    </w:p>
    <w:p>
      <w:pPr>
        <w:pStyle w:val="ListParagraph"/>
        <w:numPr>
          <w:ilvl w:val="0"/>
          <w:numId w:val="9"/>
        </w:numPr>
        <w:spacing w:after="60"/>
      </w:pPr>
      <w:r>
        <w:rPr>
          <w:rFonts w:ascii="Arial" w:cs="Arial" w:eastAsia="Arial" w:hAnsi="Arial"/>
          <w:color w:val="334155"/>
          <w:sz w:val="20"/>
          <w:szCs w:val="20"/>
        </w:rPr>
        <w:t xml:space="preserve">Baseline window: Configurable observation period (default: 72 hours) during which the system establishes normal behavioral parameters</w:t>
      </w:r>
    </w:p>
    <w:p>
      <w:pPr>
        <w:pStyle w:val="ListParagraph"/>
        <w:numPr>
          <w:ilvl w:val="0"/>
          <w:numId w:val="9"/>
        </w:numPr>
        <w:spacing w:after="60"/>
      </w:pPr>
      <w:r>
        <w:rPr>
          <w:rFonts w:ascii="Arial" w:cs="Arial" w:eastAsia="Arial" w:hAnsi="Arial"/>
          <w:color w:val="334155"/>
          <w:sz w:val="20"/>
          <w:szCs w:val="20"/>
        </w:rPr>
        <w:t xml:space="preserve">Behavioral dimensions: Action type distribution, resource access patterns, execution frequency, payload size distribution, temporal patterns, scope utilization</w:t>
      </w:r>
    </w:p>
    <w:p>
      <w:pPr>
        <w:pStyle w:val="ListParagraph"/>
        <w:numPr>
          <w:ilvl w:val="0"/>
          <w:numId w:val="9"/>
        </w:numPr>
        <w:spacing w:after="60"/>
      </w:pPr>
      <w:r>
        <w:rPr>
          <w:rFonts w:ascii="Arial" w:cs="Arial" w:eastAsia="Arial" w:hAnsi="Arial"/>
          <w:color w:val="334155"/>
          <w:sz w:val="20"/>
          <w:szCs w:val="20"/>
        </w:rPr>
        <w:t xml:space="preserve">Baseline model: Statistical profile (mean, variance, percentiles) per behavioral dimension, updated on a rolling window</w:t>
      </w:r>
    </w:p>
    <w:p>
      <w:pPr>
        <w:pStyle w:val="ListParagraph"/>
        <w:numPr>
          <w:ilvl w:val="0"/>
          <w:numId w:val="9"/>
        </w:numPr>
        <w:spacing w:after="60"/>
      </w:pPr>
      <w:r>
        <w:rPr>
          <w:rFonts w:ascii="Arial" w:cs="Arial" w:eastAsia="Arial" w:hAnsi="Arial"/>
          <w:color w:val="334155"/>
          <w:sz w:val="20"/>
          <w:szCs w:val="20"/>
        </w:rPr>
        <w:t xml:space="preserve">Baseline lock: After initial construction, baseline updates require explicit operator approval (preventing adversarial drift of the baseline itself)</w:t>
      </w:r>
    </w:p>
    <w:p>
      <w:pPr>
        <w:spacing w:after="80"/>
      </w:pPr>
    </w:p>
    <w:p>
      <w:pPr>
        <w:pStyle w:val="Heading2"/>
        <w:spacing w:before="240" w:after="100"/>
      </w:pPr>
      <w:r>
        <w:rPr>
          <w:rFonts w:ascii="Arial" w:cs="Arial" w:eastAsia="Arial" w:hAnsi="Arial"/>
          <w:b/>
          <w:bCs/>
          <w:color w:val="0F172A"/>
          <w:sz w:val="26"/>
          <w:szCs w:val="26"/>
        </w:rPr>
        <w:t xml:space="preserve">Deviation Detection</w:t>
      </w:r>
    </w:p>
    <w:p>
      <w:pPr>
        <w:spacing w:after="120"/>
        <w:jc w:val="left"/>
      </w:pPr>
      <w:r>
        <w:rPr>
          <w:rFonts w:ascii="Arial" w:cs="Arial" w:eastAsia="Arial" w:hAnsi="Arial"/>
          <w:b w:val="false"/>
          <w:bCs w:val="false"/>
          <w:i w:val="false"/>
          <w:iCs w:val="false"/>
          <w:color w:val="334155"/>
          <w:sz w:val="20"/>
          <w:szCs w:val="20"/>
        </w:rPr>
        <w:t xml:space="preserve">Drift Guard continuously compares real-time behavioral telemetry against the locked baseline:</w:t>
      </w:r>
    </w:p>
    <w:p>
      <w:pPr>
        <w:pStyle w:val="ListParagraph"/>
        <w:numPr>
          <w:ilvl w:val="0"/>
          <w:numId w:val="10"/>
        </w:numPr>
        <w:spacing w:after="60"/>
      </w:pPr>
      <w:r>
        <w:rPr>
          <w:rFonts w:ascii="Arial" w:cs="Arial" w:eastAsia="Arial" w:hAnsi="Arial"/>
          <w:color w:val="334155"/>
          <w:sz w:val="20"/>
          <w:szCs w:val="20"/>
        </w:rPr>
        <w:t xml:space="preserve">Statistical deviation: Z-score calculation per behavioral dimension against baseline distribution</w:t>
      </w:r>
    </w:p>
    <w:p>
      <w:pPr>
        <w:pStyle w:val="ListParagraph"/>
        <w:numPr>
          <w:ilvl w:val="0"/>
          <w:numId w:val="10"/>
        </w:numPr>
        <w:spacing w:after="60"/>
      </w:pPr>
      <w:r>
        <w:rPr>
          <w:rFonts w:ascii="Arial" w:cs="Arial" w:eastAsia="Arial" w:hAnsi="Arial"/>
          <w:color w:val="334155"/>
          <w:sz w:val="20"/>
          <w:szCs w:val="20"/>
        </w:rPr>
        <w:t xml:space="preserve">Threshold breach: Operator-configurable deviation thresholds per dimension (e.g., action frequency &gt; 3 sigma triggers review)</w:t>
      </w:r>
    </w:p>
    <w:p>
      <w:pPr>
        <w:pStyle w:val="ListParagraph"/>
        <w:numPr>
          <w:ilvl w:val="0"/>
          <w:numId w:val="10"/>
        </w:numPr>
        <w:spacing w:after="60"/>
      </w:pPr>
      <w:r>
        <w:rPr>
          <w:rFonts w:ascii="Arial" w:cs="Arial" w:eastAsia="Arial" w:hAnsi="Arial"/>
          <w:color w:val="334155"/>
          <w:sz w:val="20"/>
          <w:szCs w:val="20"/>
        </w:rPr>
        <w:t xml:space="preserve">Compound scoring: Weighted aggregation of multi-dimensional deviations into a composite drift score</w:t>
      </w:r>
    </w:p>
    <w:p>
      <w:pPr>
        <w:pStyle w:val="ListParagraph"/>
        <w:numPr>
          <w:ilvl w:val="0"/>
          <w:numId w:val="10"/>
        </w:numPr>
        <w:spacing w:after="60"/>
      </w:pPr>
      <w:r>
        <w:rPr>
          <w:rFonts w:ascii="Arial" w:cs="Arial" w:eastAsia="Arial" w:hAnsi="Arial"/>
          <w:color w:val="334155"/>
          <w:sz w:val="20"/>
          <w:szCs w:val="20"/>
        </w:rPr>
        <w:t xml:space="preserve">Trend detection: Monotonic drift detection (slow, consistent deviation that stays below per-action thresholds but compounds over time)</w:t>
      </w:r>
    </w:p>
    <w:p>
      <w:pPr>
        <w:spacing w:after="80"/>
      </w:pPr>
    </w:p>
    <w:p>
      <w:pPr>
        <w:pStyle w:val="Heading2"/>
        <w:spacing w:before="240" w:after="100"/>
      </w:pPr>
      <w:r>
        <w:rPr>
          <w:rFonts w:ascii="Arial" w:cs="Arial" w:eastAsia="Arial" w:hAnsi="Arial"/>
          <w:b/>
          <w:bCs/>
          <w:color w:val="0F172A"/>
          <w:sz w:val="26"/>
          <w:szCs w:val="26"/>
        </w:rPr>
        <w:t xml:space="preserve">Authority Decay Model</w:t>
      </w:r>
    </w:p>
    <w:p>
      <w:pPr>
        <w:spacing w:after="120"/>
        <w:jc w:val="left"/>
      </w:pPr>
      <w:r>
        <w:rPr>
          <w:rFonts w:ascii="Arial" w:cs="Arial" w:eastAsia="Arial" w:hAnsi="Arial"/>
          <w:b w:val="false"/>
          <w:bCs w:val="false"/>
          <w:i w:val="false"/>
          <w:iCs w:val="false"/>
          <w:color w:val="334155"/>
          <w:sz w:val="20"/>
          <w:szCs w:val="20"/>
        </w:rPr>
        <w:t xml:space="preserve">No standing execution paths. All granted authorities decay deterministically:</w:t>
      </w:r>
    </w:p>
    <w:p>
      <w:pPr>
        <w:pStyle w:val="ListParagraph"/>
        <w:numPr>
          <w:ilvl w:val="0"/>
          <w:numId w:val="11"/>
        </w:numPr>
        <w:spacing w:after="60"/>
      </w:pPr>
      <w:r>
        <w:rPr>
          <w:rFonts w:ascii="Arial" w:cs="Arial" w:eastAsia="Arial" w:hAnsi="Arial"/>
          <w:color w:val="334155"/>
          <w:sz w:val="20"/>
          <w:szCs w:val="20"/>
        </w:rPr>
        <w:t xml:space="preserve">Time-bounded grants: Every authority grant includes an explicit expiration timestamp</w:t>
      </w:r>
    </w:p>
    <w:p>
      <w:pPr>
        <w:pStyle w:val="ListParagraph"/>
        <w:numPr>
          <w:ilvl w:val="0"/>
          <w:numId w:val="11"/>
        </w:numPr>
        <w:spacing w:after="60"/>
      </w:pPr>
      <w:r>
        <w:rPr>
          <w:rFonts w:ascii="Arial" w:cs="Arial" w:eastAsia="Arial" w:hAnsi="Arial"/>
          <w:color w:val="334155"/>
          <w:sz w:val="20"/>
          <w:szCs w:val="20"/>
        </w:rPr>
        <w:t xml:space="preserve">Scope decay: Granted scope narrows over time (e.g., full access → read-only → no access) unless explicitly renewed</w:t>
      </w:r>
    </w:p>
    <w:p>
      <w:pPr>
        <w:pStyle w:val="ListParagraph"/>
        <w:numPr>
          <w:ilvl w:val="0"/>
          <w:numId w:val="11"/>
        </w:numPr>
        <w:spacing w:after="60"/>
      </w:pPr>
      <w:r>
        <w:rPr>
          <w:rFonts w:ascii="Arial" w:cs="Arial" w:eastAsia="Arial" w:hAnsi="Arial"/>
          <w:color w:val="334155"/>
          <w:sz w:val="20"/>
          <w:szCs w:val="20"/>
        </w:rPr>
        <w:t xml:space="preserve">Activity-based decay: Unused authorities decay faster than active ones (configurable policy)</w:t>
      </w:r>
    </w:p>
    <w:p>
      <w:pPr>
        <w:pStyle w:val="ListParagraph"/>
        <w:numPr>
          <w:ilvl w:val="0"/>
          <w:numId w:val="11"/>
        </w:numPr>
        <w:spacing w:after="60"/>
      </w:pPr>
      <w:r>
        <w:rPr>
          <w:rFonts w:ascii="Arial" w:cs="Arial" w:eastAsia="Arial" w:hAnsi="Arial"/>
          <w:color w:val="334155"/>
          <w:sz w:val="20"/>
          <w:szCs w:val="20"/>
        </w:rPr>
        <w:t xml:space="preserve">Renewal friction: Authority renewal requires re-evaluation through the Authority Gate, not automatic extension</w:t>
      </w:r>
    </w:p>
    <w:p>
      <w:pPr>
        <w:spacing w:after="80"/>
      </w:pPr>
    </w:p>
    <w:p>
      <w:pPr>
        <w:pStyle w:val="Heading2"/>
        <w:spacing w:before="240" w:after="100"/>
      </w:pPr>
      <w:r>
        <w:rPr>
          <w:rFonts w:ascii="Arial" w:cs="Arial" w:eastAsia="Arial" w:hAnsi="Arial"/>
          <w:b/>
          <w:bCs/>
          <w:color w:val="0F172A"/>
          <w:sz w:val="26"/>
          <w:szCs w:val="26"/>
        </w:rPr>
        <w:t xml:space="preserve">Containment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200"/>
            <w:tcBorders>
              <w:top w:val="single" w:color="1E293B" w:sz="1"/>
              <w:left w:val="single" w:color="1E293B" w:sz="1"/>
              <w:bottom w:val="single" w:color="1E293B" w:sz="1"/>
              <w:right w:val="single" w:color="1E293B"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Trigger</w:t>
            </w:r>
          </w:p>
        </w:tc>
        <w:tc>
          <w:tcPr>
            <w:tcW w:type="dxa" w:w="1600"/>
            <w:tcBorders>
              <w:top w:val="single" w:color="1E293B" w:sz="1"/>
              <w:left w:val="single" w:color="1E293B" w:sz="1"/>
              <w:bottom w:val="single" w:color="1E293B" w:sz="1"/>
              <w:right w:val="single" w:color="1E293B"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Severity</w:t>
            </w:r>
          </w:p>
        </w:tc>
        <w:tc>
          <w:tcPr>
            <w:tcW w:type="dxa" w:w="4560"/>
            <w:tcBorders>
              <w:top w:val="single" w:color="1E293B" w:sz="1"/>
              <w:left w:val="single" w:color="1E293B" w:sz="1"/>
              <w:bottom w:val="single" w:color="1E293B" w:sz="1"/>
              <w:right w:val="single" w:color="1E293B"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Action</w:t>
            </w:r>
          </w:p>
        </w:tc>
      </w:tr>
      <w:tr>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Single dimension &gt; threshold</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Warning</w:t>
            </w:r>
          </w:p>
        </w:tc>
        <w:tc>
          <w:tcPr>
            <w:tcW w:type="dxa" w:w="4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Alert operator, log to receipt pipeline</w:t>
            </w:r>
          </w:p>
        </w:tc>
      </w:tr>
      <w:tr>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Composite drift score &gt; threshold</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Elevated</w:t>
            </w:r>
          </w:p>
        </w:tc>
        <w:tc>
          <w:tcPr>
            <w:tcW w:type="dxa" w:w="4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Restrict scope to baseline-bounded actions</w:t>
            </w:r>
          </w:p>
        </w:tc>
      </w:tr>
      <w:tr>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Monotonic drift detected</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High</w:t>
            </w:r>
          </w:p>
        </w:tc>
        <w:tc>
          <w:tcPr>
            <w:tcW w:type="dxa" w:w="4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Freeze execution, require manual review</w:t>
            </w:r>
          </w:p>
        </w:tc>
      </w:tr>
      <w:tr>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Authority decay expired</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Critical</w:t>
            </w:r>
          </w:p>
        </w:tc>
        <w:tc>
          <w:tcPr>
            <w:tcW w:type="dxa" w:w="4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Halt all execution, revoke all grants</w:t>
            </w:r>
          </w:p>
        </w:tc>
      </w:tr>
      <w:tr>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Baseline tampering detected</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Critical</w:t>
            </w:r>
          </w:p>
        </w:tc>
        <w:tc>
          <w:tcPr>
            <w:tcW w:type="dxa" w:w="4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Halt + isolate + escalate to security</w:t>
            </w:r>
          </w:p>
        </w:tc>
      </w:tr>
    </w:tbl>
    <w:p>
      <w:r>
        <w:rPr>
          <w:rFonts w:ascii="Arial" w:cs="Arial" w:eastAsia="Arial" w:hAnsi="Arial"/>
          <w:sz w:val="2"/>
          <w:szCs w:val="2"/>
        </w:rPr>
        <w:t xml:space="preserve"/>
      </w:r>
      <w:r>
        <w:br w:type="page"/>
      </w:r>
    </w:p>
    <w:p>
      <w:pPr>
        <w:pStyle w:val="Heading1"/>
        <w:spacing w:before="300" w:after="120"/>
      </w:pPr>
      <w:r>
        <w:rPr>
          <w:rFonts w:ascii="Arial" w:cs="Arial" w:eastAsia="Arial" w:hAnsi="Arial"/>
          <w:b/>
          <w:bCs/>
          <w:color w:val="0F172A"/>
          <w:sz w:val="32"/>
          <w:szCs w:val="32"/>
        </w:rPr>
        <w:t xml:space="preserve">Layer 4: Gated Execution Substrate</w:t>
      </w:r>
    </w:p>
    <w:p>
      <w:pPr>
        <w:spacing w:after="120"/>
        <w:jc w:val="left"/>
      </w:pPr>
      <w:r>
        <w:rPr>
          <w:rFonts w:ascii="Arial" w:cs="Arial" w:eastAsia="Arial" w:hAnsi="Arial"/>
          <w:b/>
          <w:bCs/>
          <w:i w:val="false"/>
          <w:iCs w:val="false"/>
          <w:color w:val="B87333"/>
          <w:sz w:val="20"/>
          <w:szCs w:val="20"/>
        </w:rPr>
        <w:t xml:space="preserve">Physical Isolation — Capability removed, not restricted.</w:t>
      </w:r>
    </w:p>
    <w:p>
      <w:pPr>
        <w:spacing w:after="80"/>
      </w:pPr>
    </w:p>
    <w:p>
      <w:pPr>
        <w:pStyle w:val="Heading2"/>
        <w:spacing w:before="240" w:after="100"/>
      </w:pPr>
      <w:r>
        <w:rPr>
          <w:rFonts w:ascii="Arial" w:cs="Arial" w:eastAsia="Arial" w:hAnsi="Arial"/>
          <w:b/>
          <w:bCs/>
          <w:color w:val="0F172A"/>
          <w:sz w:val="26"/>
          <w:szCs w:val="26"/>
        </w:rPr>
        <w:t xml:space="preserve">The Routing Problem</w:t>
      </w:r>
    </w:p>
    <w:p>
      <w:pPr>
        <w:spacing w:after="120"/>
        <w:jc w:val="left"/>
      </w:pPr>
      <w:r>
        <w:rPr>
          <w:rFonts w:ascii="Arial" w:cs="Arial" w:eastAsia="Arial" w:hAnsi="Arial"/>
          <w:b w:val="false"/>
          <w:bCs w:val="false"/>
          <w:i w:val="false"/>
          <w:iCs w:val="false"/>
          <w:color w:val="334155"/>
          <w:sz w:val="20"/>
          <w:szCs w:val="20"/>
        </w:rPr>
        <w:t xml:space="preserve">If intelligence can route itself to arbitrary tools, APIs, or data stores, governance is already compromised. Software-level access controls restrict capability. Physical isolation removes capability. The distinction is architectural, not semantic.</w:t>
      </w:r>
    </w:p>
    <w:p>
      <w:pPr>
        <w:spacing w:after="80"/>
      </w:pPr>
    </w:p>
    <w:p>
      <w:pPr>
        <w:pStyle w:val="Heading2"/>
        <w:spacing w:before="240" w:after="100"/>
      </w:pPr>
      <w:r>
        <w:rPr>
          <w:rFonts w:ascii="Arial" w:cs="Arial" w:eastAsia="Arial" w:hAnsi="Arial"/>
          <w:b/>
          <w:bCs/>
          <w:color w:val="0F172A"/>
          <w:sz w:val="26"/>
          <w:szCs w:val="26"/>
        </w:rPr>
        <w:t xml:space="preserve">Workload Boundary Design</w:t>
      </w:r>
    </w:p>
    <w:p>
      <w:pPr>
        <w:pStyle w:val="ListParagraph"/>
        <w:numPr>
          <w:ilvl w:val="0"/>
          <w:numId w:val="12"/>
        </w:numPr>
        <w:spacing w:after="60"/>
      </w:pPr>
      <w:r>
        <w:rPr>
          <w:rFonts w:ascii="Arial" w:cs="Arial" w:eastAsia="Arial" w:hAnsi="Arial"/>
          <w:color w:val="334155"/>
          <w:sz w:val="20"/>
          <w:szCs w:val="20"/>
        </w:rPr>
        <w:t xml:space="preserve">Execution envelopes: Each agentic workload runs within a defined execution envelope that physically bounds available tools, APIs, and data stores</w:t>
      </w:r>
    </w:p>
    <w:p>
      <w:pPr>
        <w:pStyle w:val="ListParagraph"/>
        <w:numPr>
          <w:ilvl w:val="0"/>
          <w:numId w:val="12"/>
        </w:numPr>
        <w:spacing w:after="60"/>
      </w:pPr>
      <w:r>
        <w:rPr>
          <w:rFonts w:ascii="Arial" w:cs="Arial" w:eastAsia="Arial" w:hAnsi="Arial"/>
          <w:color w:val="334155"/>
          <w:sz w:val="20"/>
          <w:szCs w:val="20"/>
        </w:rPr>
        <w:t xml:space="preserve">Envelope configuration: Operator Plane defines envelope boundaries; Kernel Plane enforces them at the substrate level</w:t>
      </w:r>
    </w:p>
    <w:p>
      <w:pPr>
        <w:pStyle w:val="ListParagraph"/>
        <w:numPr>
          <w:ilvl w:val="0"/>
          <w:numId w:val="12"/>
        </w:numPr>
        <w:spacing w:after="60"/>
      </w:pPr>
      <w:r>
        <w:rPr>
          <w:rFonts w:ascii="Arial" w:cs="Arial" w:eastAsia="Arial" w:hAnsi="Arial"/>
          <w:color w:val="334155"/>
          <w:sz w:val="20"/>
          <w:szCs w:val="20"/>
        </w:rPr>
        <w:t xml:space="preserve">No lateral movement: Workloads cannot discover or access resources outside their defined envelope, regardless of the agent's capabilities or requests</w:t>
      </w:r>
    </w:p>
    <w:p>
      <w:pPr>
        <w:pStyle w:val="ListParagraph"/>
        <w:numPr>
          <w:ilvl w:val="0"/>
          <w:numId w:val="12"/>
        </w:numPr>
        <w:spacing w:after="60"/>
      </w:pPr>
      <w:r>
        <w:rPr>
          <w:rFonts w:ascii="Arial" w:cs="Arial" w:eastAsia="Arial" w:hAnsi="Arial"/>
          <w:color w:val="334155"/>
          <w:sz w:val="20"/>
          <w:szCs w:val="20"/>
        </w:rPr>
        <w:t xml:space="preserve">Envelope immutability: Runtime envelope boundaries cannot be modified by the workload itself or by any co-resident process</w:t>
      </w:r>
    </w:p>
    <w:p>
      <w:pPr>
        <w:spacing w:after="80"/>
      </w:pPr>
    </w:p>
    <w:p>
      <w:pPr>
        <w:pStyle w:val="Heading2"/>
        <w:spacing w:before="240" w:after="100"/>
      </w:pPr>
      <w:r>
        <w:rPr>
          <w:rFonts w:ascii="Arial" w:cs="Arial" w:eastAsia="Arial" w:hAnsi="Arial"/>
          <w:b/>
          <w:bCs/>
          <w:color w:val="0F172A"/>
          <w:sz w:val="26"/>
          <w:szCs w:val="26"/>
        </w:rPr>
        <w:t xml:space="preserve">Tool Boundary Redesign</w:t>
      </w:r>
    </w:p>
    <w:p>
      <w:pPr>
        <w:spacing w:after="120"/>
        <w:jc w:val="left"/>
      </w:pPr>
      <w:r>
        <w:rPr>
          <w:rFonts w:ascii="Arial" w:cs="Arial" w:eastAsia="Arial" w:hAnsi="Arial"/>
          <w:b w:val="false"/>
          <w:bCs w:val="false"/>
          <w:i w:val="false"/>
          <w:iCs w:val="false"/>
          <w:color w:val="334155"/>
          <w:sz w:val="20"/>
          <w:szCs w:val="20"/>
        </w:rPr>
        <w:t xml:space="preserve">Traditional tool integration exposes the full capability surface to the agent. Gated substrates redesign tool boundaries:</w:t>
      </w:r>
    </w:p>
    <w:p>
      <w:pPr>
        <w:pStyle w:val="ListParagraph"/>
        <w:numPr>
          <w:ilvl w:val="0"/>
          <w:numId w:val="13"/>
        </w:numPr>
        <w:spacing w:after="60"/>
      </w:pPr>
      <w:r>
        <w:rPr>
          <w:rFonts w:ascii="Arial" w:cs="Arial" w:eastAsia="Arial" w:hAnsi="Arial"/>
          <w:color w:val="334155"/>
          <w:sz w:val="20"/>
          <w:szCs w:val="20"/>
        </w:rPr>
        <w:t xml:space="preserve">Tool proxying: Agent accesses tools through governance-aware proxies, not direct integrations</w:t>
      </w:r>
    </w:p>
    <w:p>
      <w:pPr>
        <w:pStyle w:val="ListParagraph"/>
        <w:numPr>
          <w:ilvl w:val="0"/>
          <w:numId w:val="13"/>
        </w:numPr>
        <w:spacing w:after="60"/>
      </w:pPr>
      <w:r>
        <w:rPr>
          <w:rFonts w:ascii="Arial" w:cs="Arial" w:eastAsia="Arial" w:hAnsi="Arial"/>
          <w:color w:val="334155"/>
          <w:sz w:val="20"/>
          <w:szCs w:val="20"/>
        </w:rPr>
        <w:t xml:space="preserve">Capability enumeration: Each proxy exposes only the subset of tool capabilities authorized for the current envelope</w:t>
      </w:r>
    </w:p>
    <w:p>
      <w:pPr>
        <w:pStyle w:val="ListParagraph"/>
        <w:numPr>
          <w:ilvl w:val="0"/>
          <w:numId w:val="13"/>
        </w:numPr>
        <w:spacing w:after="60"/>
      </w:pPr>
      <w:r>
        <w:rPr>
          <w:rFonts w:ascii="Arial" w:cs="Arial" w:eastAsia="Arial" w:hAnsi="Arial"/>
          <w:color w:val="334155"/>
          <w:sz w:val="20"/>
          <w:szCs w:val="20"/>
        </w:rPr>
        <w:t xml:space="preserve">Input validation: Tool proxies validate inputs against schema constraints before forwarding to the actual tool</w:t>
      </w:r>
    </w:p>
    <w:p>
      <w:pPr>
        <w:pStyle w:val="ListParagraph"/>
        <w:numPr>
          <w:ilvl w:val="0"/>
          <w:numId w:val="13"/>
        </w:numPr>
        <w:spacing w:after="60"/>
      </w:pPr>
      <w:r>
        <w:rPr>
          <w:rFonts w:ascii="Arial" w:cs="Arial" w:eastAsia="Arial" w:hAnsi="Arial"/>
          <w:color w:val="334155"/>
          <w:sz w:val="20"/>
          <w:szCs w:val="20"/>
        </w:rPr>
        <w:t xml:space="preserve">Output filtering: Tool responses are filtered before returning to the agent, preventing information leakage across envelope boundaries</w:t>
      </w:r>
    </w:p>
    <w:p>
      <w:pPr>
        <w:spacing w:after="80"/>
      </w:pPr>
    </w:p>
    <w:p>
      <w:pPr>
        <w:pStyle w:val="Heading2"/>
        <w:spacing w:before="240" w:after="100"/>
      </w:pPr>
      <w:r>
        <w:rPr>
          <w:rFonts w:ascii="Arial" w:cs="Arial" w:eastAsia="Arial" w:hAnsi="Arial"/>
          <w:b/>
          <w:bCs/>
          <w:color w:val="0F172A"/>
          <w:sz w:val="26"/>
          <w:szCs w:val="26"/>
        </w:rPr>
        <w:t xml:space="preserve">Isolation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1E293B" w:sz="1"/>
              <w:left w:val="single" w:color="1E293B" w:sz="1"/>
              <w:bottom w:val="single" w:color="1E293B" w:sz="1"/>
              <w:right w:val="single" w:color="1E293B"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Isolation Level</w:t>
            </w:r>
          </w:p>
        </w:tc>
        <w:tc>
          <w:tcPr>
            <w:tcW w:type="dxa" w:w="3480"/>
            <w:tcBorders>
              <w:top w:val="single" w:color="1E293B" w:sz="1"/>
              <w:left w:val="single" w:color="1E293B" w:sz="1"/>
              <w:bottom w:val="single" w:color="1E293B" w:sz="1"/>
              <w:right w:val="single" w:color="1E293B"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Mechanism</w:t>
            </w:r>
          </w:p>
        </w:tc>
        <w:tc>
          <w:tcPr>
            <w:tcW w:type="dxa" w:w="3480"/>
            <w:tcBorders>
              <w:top w:val="single" w:color="1E293B" w:sz="1"/>
              <w:left w:val="single" w:color="1E293B" w:sz="1"/>
              <w:bottom w:val="single" w:color="1E293B" w:sz="1"/>
              <w:right w:val="single" w:color="1E293B"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Use Case</w:t>
            </w:r>
          </w:p>
        </w:tc>
      </w:tr>
      <w:tr>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Process isolation</w:t>
            </w:r>
          </w:p>
        </w:tc>
        <w:tc>
          <w:tcPr>
            <w:tcW w:type="dxa" w:w="34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Separate OS processes with IPC controls</w:t>
            </w:r>
          </w:p>
        </w:tc>
        <w:tc>
          <w:tcPr>
            <w:tcW w:type="dxa" w:w="34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Default for low-sensitivity workloads</w:t>
            </w:r>
          </w:p>
        </w:tc>
      </w:tr>
      <w:tr>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Container isolation</w:t>
            </w:r>
          </w:p>
        </w:tc>
        <w:tc>
          <w:tcPr>
            <w:tcW w:type="dxa" w:w="34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OCI-compliant containers with restricted syscalls</w:t>
            </w:r>
          </w:p>
        </w:tc>
        <w:tc>
          <w:tcPr>
            <w:tcW w:type="dxa" w:w="34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Standard production workloads</w:t>
            </w:r>
          </w:p>
        </w:tc>
      </w:tr>
      <w:tr>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VM isolation</w:t>
            </w:r>
          </w:p>
        </w:tc>
        <w:tc>
          <w:tcPr>
            <w:tcW w:type="dxa" w:w="34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Hardware-enforced VM boundaries</w:t>
            </w:r>
          </w:p>
        </w:tc>
        <w:tc>
          <w:tcPr>
            <w:tcW w:type="dxa" w:w="34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PII/PHI workloads, regulated environments</w:t>
            </w:r>
          </w:p>
        </w:tc>
      </w:tr>
      <w:tr>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Hardware isolation</w:t>
            </w:r>
          </w:p>
        </w:tc>
        <w:tc>
          <w:tcPr>
            <w:tcW w:type="dxa" w:w="34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Dedicated compute with air-gapped networking</w:t>
            </w:r>
          </w:p>
        </w:tc>
        <w:tc>
          <w:tcPr>
            <w:tcW w:type="dxa" w:w="34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Defense, critical infrastructure</w:t>
            </w:r>
          </w:p>
        </w:tc>
      </w:tr>
    </w:tbl>
    <w:p>
      <w:pPr>
        <w:spacing w:after="80"/>
      </w:pPr>
    </w:p>
    <w:p>
      <w:pPr>
        <w:spacing w:after="120"/>
        <w:jc w:val="left"/>
      </w:pPr>
      <w:r>
        <w:rPr>
          <w:rFonts w:ascii="Arial" w:cs="Arial" w:eastAsia="Arial" w:hAnsi="Arial"/>
          <w:b/>
          <w:bCs/>
          <w:i w:val="false"/>
          <w:iCs w:val="false"/>
          <w:color w:val="B87333"/>
          <w:sz w:val="20"/>
          <w:szCs w:val="20"/>
        </w:rPr>
        <w:t xml:space="preserve">Design Principle: The agent should never know what it cannot access. Capability is removed from the environment, not hidden behind access controls.</w:t>
      </w:r>
    </w:p>
    <w:p>
      <w:r>
        <w:rPr>
          <w:rFonts w:ascii="Arial" w:cs="Arial" w:eastAsia="Arial" w:hAnsi="Arial"/>
          <w:sz w:val="2"/>
          <w:szCs w:val="2"/>
        </w:rPr>
        <w:t xml:space="preserve"/>
      </w:r>
      <w:r>
        <w:br w:type="page"/>
      </w:r>
    </w:p>
    <w:p>
      <w:pPr>
        <w:pStyle w:val="Heading1"/>
        <w:spacing w:before="300" w:after="120"/>
      </w:pPr>
      <w:r>
        <w:rPr>
          <w:rFonts w:ascii="Arial" w:cs="Arial" w:eastAsia="Arial" w:hAnsi="Arial"/>
          <w:b/>
          <w:bCs/>
          <w:color w:val="0F172A"/>
          <w:sz w:val="32"/>
          <w:szCs w:val="32"/>
        </w:rPr>
        <w:t xml:space="preserve">Gate Pipeline Flow</w:t>
      </w:r>
    </w:p>
    <w:p>
      <w:pPr>
        <w:spacing w:after="120"/>
        <w:jc w:val="left"/>
      </w:pPr>
      <w:r>
        <w:rPr>
          <w:rFonts w:ascii="Arial" w:cs="Arial" w:eastAsia="Arial" w:hAnsi="Arial"/>
          <w:b/>
          <w:bCs/>
          <w:i w:val="false"/>
          <w:iCs w:val="false"/>
          <w:color w:val="B87333"/>
          <w:sz w:val="20"/>
          <w:szCs w:val="20"/>
        </w:rPr>
        <w:t xml:space="preserve">PLAN → EXECUTE → REVIEW → APPROVE</w:t>
      </w:r>
    </w:p>
    <w:p>
      <w:pPr>
        <w:spacing w:after="80"/>
      </w:pPr>
    </w:p>
    <w:p>
      <w:pPr>
        <w:spacing w:after="120"/>
        <w:jc w:val="left"/>
      </w:pPr>
      <w:r>
        <w:rPr>
          <w:rFonts w:ascii="Arial" w:cs="Arial" w:eastAsia="Arial" w:hAnsi="Arial"/>
          <w:b w:val="false"/>
          <w:bCs w:val="false"/>
          <w:i w:val="false"/>
          <w:iCs w:val="false"/>
          <w:color w:val="334155"/>
          <w:sz w:val="20"/>
          <w:szCs w:val="20"/>
        </w:rPr>
        <w:t xml:space="preserve">The gate pipeline is the canonical execution flow for governed agentic workflows. Every transition between stages passes through an enforcement gate. No stage transition proceeds without gate clearance.</w:t>
      </w:r>
    </w:p>
    <w:p>
      <w:pPr>
        <w:spacing w:after="80"/>
      </w:pPr>
    </w:p>
    <w:p>
      <w:pPr>
        <w:pStyle w:val="Heading2"/>
        <w:spacing w:before="240" w:after="100"/>
      </w:pPr>
      <w:r>
        <w:rPr>
          <w:rFonts w:ascii="Arial" w:cs="Arial" w:eastAsia="Arial" w:hAnsi="Arial"/>
          <w:b/>
          <w:bCs/>
          <w:color w:val="0F172A"/>
          <w:sz w:val="26"/>
          <w:szCs w:val="26"/>
        </w:rPr>
        <w:t xml:space="preserve">Stage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600"/>
            <w:tcBorders>
              <w:top w:val="single" w:color="1E293B" w:sz="1"/>
              <w:left w:val="single" w:color="1E293B" w:sz="1"/>
              <w:bottom w:val="single" w:color="1E293B" w:sz="1"/>
              <w:right w:val="single" w:color="1E293B"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Stage</w:t>
            </w:r>
          </w:p>
        </w:tc>
        <w:tc>
          <w:tcPr>
            <w:tcW w:type="dxa" w:w="3380"/>
            <w:tcBorders>
              <w:top w:val="single" w:color="1E293B" w:sz="1"/>
              <w:left w:val="single" w:color="1E293B" w:sz="1"/>
              <w:bottom w:val="single" w:color="1E293B" w:sz="1"/>
              <w:right w:val="single" w:color="1E293B"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Purpose</w:t>
            </w:r>
          </w:p>
        </w:tc>
        <w:tc>
          <w:tcPr>
            <w:tcW w:type="dxa" w:w="4380"/>
            <w:tcBorders>
              <w:top w:val="single" w:color="1E293B" w:sz="1"/>
              <w:left w:val="single" w:color="1E293B" w:sz="1"/>
              <w:bottom w:val="single" w:color="1E293B" w:sz="1"/>
              <w:right w:val="single" w:color="1E293B"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Enforcement Gate</w:t>
            </w:r>
          </w:p>
        </w:tc>
      </w:tr>
      <w:tr>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PLAN</w:t>
            </w:r>
          </w:p>
        </w:tc>
        <w:tc>
          <w:tcPr>
            <w:tcW w:type="dxa" w:w="33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Agent formulates execution intent</w:t>
            </w:r>
          </w:p>
        </w:tc>
        <w:tc>
          <w:tcPr>
            <w:tcW w:type="dxa" w:w="43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Gate 1: Authority verification + policy check</w:t>
            </w:r>
          </w:p>
        </w:tc>
      </w:tr>
      <w:tr>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EXECUTE</w:t>
            </w:r>
          </w:p>
        </w:tc>
        <w:tc>
          <w:tcPr>
            <w:tcW w:type="dxa" w:w="33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Authorized action is performed</w:t>
            </w:r>
          </w:p>
        </w:tc>
        <w:tc>
          <w:tcPr>
            <w:tcW w:type="dxa" w:w="43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Gate 2: Receipt generation + mutation attestation</w:t>
            </w:r>
          </w:p>
        </w:tc>
      </w:tr>
      <w:tr>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REVIEW</w:t>
            </w:r>
          </w:p>
        </w:tc>
        <w:tc>
          <w:tcPr>
            <w:tcW w:type="dxa" w:w="33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Outcome evaluated against expectations</w:t>
            </w:r>
          </w:p>
        </w:tc>
        <w:tc>
          <w:tcPr>
            <w:tcW w:type="dxa" w:w="43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Gate 3: Drift check + behavioral constraint validation</w:t>
            </w:r>
          </w:p>
        </w:tc>
      </w:tr>
      <w:tr>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APPROVE</w:t>
            </w:r>
          </w:p>
        </w:tc>
        <w:tc>
          <w:tcPr>
            <w:tcW w:type="dxa" w:w="33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Mutation committed to permanent state</w:t>
            </w:r>
          </w:p>
        </w:tc>
        <w:tc>
          <w:tcPr>
            <w:tcW w:type="dxa" w:w="43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Final attestation + ledger commit</w:t>
            </w:r>
          </w:p>
        </w:tc>
      </w:tr>
    </w:tbl>
    <w:p>
      <w:pPr>
        <w:spacing w:after="80"/>
      </w:pPr>
    </w:p>
    <w:p>
      <w:pPr>
        <w:pStyle w:val="Heading2"/>
        <w:spacing w:before="240" w:after="100"/>
      </w:pPr>
      <w:r>
        <w:rPr>
          <w:rFonts w:ascii="Arial" w:cs="Arial" w:eastAsia="Arial" w:hAnsi="Arial"/>
          <w:b/>
          <w:bCs/>
          <w:color w:val="0F172A"/>
          <w:sz w:val="26"/>
          <w:szCs w:val="26"/>
        </w:rPr>
        <w:t xml:space="preserve">Gate Enforcement Details</w:t>
      </w:r>
    </w:p>
    <w:p>
      <w:pPr>
        <w:pStyle w:val="Heading3"/>
        <w:spacing w:before="200" w:after="80"/>
      </w:pPr>
      <w:r>
        <w:rPr>
          <w:rFonts w:ascii="Arial" w:cs="Arial" w:eastAsia="Arial" w:hAnsi="Arial"/>
          <w:b/>
          <w:bCs/>
          <w:color w:val="334155"/>
          <w:sz w:val="22"/>
          <w:szCs w:val="22"/>
        </w:rPr>
        <w:t xml:space="preserve">Gate 1: Plan → Execute</w:t>
      </w:r>
    </w:p>
    <w:p>
      <w:pPr>
        <w:pStyle w:val="ListParagraph"/>
        <w:numPr>
          <w:ilvl w:val="0"/>
          <w:numId w:val="14"/>
        </w:numPr>
        <w:spacing w:after="60"/>
      </w:pPr>
      <w:r>
        <w:rPr>
          <w:rFonts w:ascii="Arial" w:cs="Arial" w:eastAsia="Arial" w:hAnsi="Arial"/>
          <w:color w:val="334155"/>
          <w:sz w:val="20"/>
          <w:szCs w:val="20"/>
        </w:rPr>
        <w:t xml:space="preserve">Authority Gate evaluates the execution intent against policy</w:t>
      </w:r>
    </w:p>
    <w:p>
      <w:pPr>
        <w:pStyle w:val="ListParagraph"/>
        <w:numPr>
          <w:ilvl w:val="0"/>
          <w:numId w:val="14"/>
        </w:numPr>
        <w:spacing w:after="60"/>
      </w:pPr>
      <w:r>
        <w:rPr>
          <w:rFonts w:ascii="Arial" w:cs="Arial" w:eastAsia="Arial" w:hAnsi="Arial"/>
          <w:color w:val="334155"/>
          <w:sz w:val="20"/>
          <w:szCs w:val="20"/>
        </w:rPr>
        <w:t xml:space="preserve">Scope intersection computed (requested vs. granted)</w:t>
      </w:r>
    </w:p>
    <w:p>
      <w:pPr>
        <w:pStyle w:val="ListParagraph"/>
        <w:numPr>
          <w:ilvl w:val="0"/>
          <w:numId w:val="14"/>
        </w:numPr>
        <w:spacing w:after="60"/>
      </w:pPr>
      <w:r>
        <w:rPr>
          <w:rFonts w:ascii="Arial" w:cs="Arial" w:eastAsia="Arial" w:hAnsi="Arial"/>
          <w:color w:val="334155"/>
          <w:sz w:val="20"/>
          <w:szCs w:val="20"/>
        </w:rPr>
        <w:t xml:space="preserve">Fail-closed if authority insufficient or unresolvable</w:t>
      </w:r>
    </w:p>
    <w:p>
      <w:pPr>
        <w:pStyle w:val="ListParagraph"/>
        <w:numPr>
          <w:ilvl w:val="0"/>
          <w:numId w:val="14"/>
        </w:numPr>
        <w:spacing w:after="60"/>
      </w:pPr>
      <w:r>
        <w:rPr>
          <w:rFonts w:ascii="Arial" w:cs="Arial" w:eastAsia="Arial" w:hAnsi="Arial"/>
          <w:color w:val="334155"/>
          <w:sz w:val="20"/>
          <w:szCs w:val="20"/>
        </w:rPr>
        <w:t xml:space="preserve">Receipt generated for the gate decision (pass or halt)</w:t>
      </w:r>
    </w:p>
    <w:p>
      <w:pPr>
        <w:pStyle w:val="Heading3"/>
        <w:spacing w:before="200" w:after="80"/>
      </w:pPr>
      <w:r>
        <w:rPr>
          <w:rFonts w:ascii="Arial" w:cs="Arial" w:eastAsia="Arial" w:hAnsi="Arial"/>
          <w:b/>
          <w:bCs/>
          <w:color w:val="334155"/>
          <w:sz w:val="22"/>
          <w:szCs w:val="22"/>
        </w:rPr>
        <w:t xml:space="preserve">Gate 2: Execute → Review</w:t>
      </w:r>
    </w:p>
    <w:p>
      <w:pPr>
        <w:pStyle w:val="ListParagraph"/>
        <w:numPr>
          <w:ilvl w:val="0"/>
          <w:numId w:val="15"/>
        </w:numPr>
        <w:spacing w:after="60"/>
      </w:pPr>
      <w:r>
        <w:rPr>
          <w:rFonts w:ascii="Arial" w:cs="Arial" w:eastAsia="Arial" w:hAnsi="Arial"/>
          <w:color w:val="334155"/>
          <w:sz w:val="20"/>
          <w:szCs w:val="20"/>
        </w:rPr>
        <w:t xml:space="preserve">Mutation event triggers receipt generation</w:t>
      </w:r>
    </w:p>
    <w:p>
      <w:pPr>
        <w:pStyle w:val="ListParagraph"/>
        <w:numPr>
          <w:ilvl w:val="0"/>
          <w:numId w:val="15"/>
        </w:numPr>
        <w:spacing w:after="60"/>
      </w:pPr>
      <w:r>
        <w:rPr>
          <w:rFonts w:ascii="Arial" w:cs="Arial" w:eastAsia="Arial" w:hAnsi="Arial"/>
          <w:color w:val="334155"/>
          <w:sz w:val="20"/>
          <w:szCs w:val="20"/>
        </w:rPr>
        <w:t xml:space="preserve">Payload fingerprinted and attested</w:t>
      </w:r>
    </w:p>
    <w:p>
      <w:pPr>
        <w:pStyle w:val="ListParagraph"/>
        <w:numPr>
          <w:ilvl w:val="0"/>
          <w:numId w:val="15"/>
        </w:numPr>
        <w:spacing w:after="60"/>
      </w:pPr>
      <w:r>
        <w:rPr>
          <w:rFonts w:ascii="Arial" w:cs="Arial" w:eastAsia="Arial" w:hAnsi="Arial"/>
          <w:color w:val="334155"/>
          <w:sz w:val="20"/>
          <w:szCs w:val="20"/>
        </w:rPr>
        <w:t xml:space="preserve">Receipt appended to immutable ledger</w:t>
      </w:r>
    </w:p>
    <w:p>
      <w:pPr>
        <w:pStyle w:val="ListParagraph"/>
        <w:numPr>
          <w:ilvl w:val="0"/>
          <w:numId w:val="15"/>
        </w:numPr>
        <w:spacing w:after="60"/>
      </w:pPr>
      <w:r>
        <w:rPr>
          <w:rFonts w:ascii="Arial" w:cs="Arial" w:eastAsia="Arial" w:hAnsi="Arial"/>
          <w:color w:val="334155"/>
          <w:sz w:val="20"/>
          <w:szCs w:val="20"/>
        </w:rPr>
        <w:t xml:space="preserve">If attestation fails, mutation is rolled back</w:t>
      </w:r>
    </w:p>
    <w:p>
      <w:pPr>
        <w:pStyle w:val="Heading3"/>
        <w:spacing w:before="200" w:after="80"/>
      </w:pPr>
      <w:r>
        <w:rPr>
          <w:rFonts w:ascii="Arial" w:cs="Arial" w:eastAsia="Arial" w:hAnsi="Arial"/>
          <w:b/>
          <w:bCs/>
          <w:color w:val="334155"/>
          <w:sz w:val="22"/>
          <w:szCs w:val="22"/>
        </w:rPr>
        <w:t xml:space="preserve">Gate 3: Review → Approve</w:t>
      </w:r>
    </w:p>
    <w:p>
      <w:pPr>
        <w:spacing w:after="120"/>
        <w:jc w:val="left"/>
      </w:pPr>
      <w:r>
        <w:rPr>
          <w:rFonts w:ascii="Arial" w:cs="Arial" w:eastAsia="Arial" w:hAnsi="Arial"/>
          <w:b w:val="false"/>
          <w:bCs w:val="false"/>
          <w:i w:val="false"/>
          <w:iCs w:val="false"/>
          <w:color w:val="334155"/>
          <w:sz w:val="20"/>
          <w:szCs w:val="20"/>
        </w:rPr>
        <w:t xml:space="preserve">Drift Guard evaluates the completed action against behavioral baselines. Composite drift score computed. If within bounds, the mutation proceeds to final approval. If drift detected, the pipeline halts and routes to operator review.</w:t>
      </w:r>
    </w:p>
    <w:p>
      <w:pPr>
        <w:spacing w:after="80"/>
      </w:pPr>
    </w:p>
    <w:p>
      <w:pPr>
        <w:pStyle w:val="Heading2"/>
        <w:spacing w:before="240" w:after="100"/>
      </w:pPr>
      <w:r>
        <w:rPr>
          <w:rFonts w:ascii="Arial" w:cs="Arial" w:eastAsia="Arial" w:hAnsi="Arial"/>
          <w:b/>
          <w:bCs/>
          <w:color w:val="0F172A"/>
          <w:sz w:val="26"/>
          <w:szCs w:val="26"/>
        </w:rPr>
        <w:t xml:space="preserve">Rollback and Escalation</w:t>
      </w:r>
    </w:p>
    <w:p>
      <w:pPr>
        <w:spacing w:after="120"/>
        <w:jc w:val="left"/>
      </w:pPr>
      <w:r>
        <w:rPr>
          <w:rFonts w:ascii="Arial" w:cs="Arial" w:eastAsia="Arial" w:hAnsi="Arial"/>
          <w:b w:val="false"/>
          <w:bCs w:val="false"/>
          <w:i w:val="false"/>
          <w:iCs w:val="false"/>
          <w:color w:val="334155"/>
          <w:sz w:val="20"/>
          <w:szCs w:val="20"/>
        </w:rPr>
        <w:t xml:space="preserve">Every gate includes a rollback path back to PLAN and an escalation path to operator alert. Rollback triggers include: authority failure, attestation failure, drift detection, and explicit operator intervention. Escalation includes the full context: original intent, gate verdict, behavioral telemetry, and receipt chain.</w:t>
      </w:r>
    </w:p>
    <w:p>
      <w:r>
        <w:rPr>
          <w:rFonts w:ascii="Arial" w:cs="Arial" w:eastAsia="Arial" w:hAnsi="Arial"/>
          <w:sz w:val="2"/>
          <w:szCs w:val="2"/>
        </w:rPr>
        <w:t xml:space="preserve"/>
      </w:r>
      <w:r>
        <w:br w:type="page"/>
      </w:r>
    </w:p>
    <w:p>
      <w:pPr>
        <w:pStyle w:val="Heading1"/>
        <w:spacing w:before="300" w:after="120"/>
      </w:pPr>
      <w:r>
        <w:rPr>
          <w:rFonts w:ascii="Arial" w:cs="Arial" w:eastAsia="Arial" w:hAnsi="Arial"/>
          <w:b/>
          <w:bCs/>
          <w:color w:val="0F172A"/>
          <w:sz w:val="32"/>
          <w:szCs w:val="32"/>
        </w:rPr>
        <w:t xml:space="preserve">Rollback and Degradation Model</w:t>
      </w:r>
    </w:p>
    <w:p>
      <w:pPr>
        <w:spacing w:after="80"/>
      </w:pPr>
    </w:p>
    <w:p>
      <w:pPr>
        <w:pStyle w:val="Heading2"/>
        <w:spacing w:before="240" w:after="100"/>
      </w:pPr>
      <w:r>
        <w:rPr>
          <w:rFonts w:ascii="Arial" w:cs="Arial" w:eastAsia="Arial" w:hAnsi="Arial"/>
          <w:b/>
          <w:bCs/>
          <w:color w:val="0F172A"/>
          <w:sz w:val="26"/>
          <w:szCs w:val="26"/>
        </w:rPr>
        <w:t xml:space="preserve">Safe Degradation Hierarchy</w:t>
      </w:r>
    </w:p>
    <w:p>
      <w:pPr>
        <w:spacing w:after="120"/>
        <w:jc w:val="left"/>
      </w:pPr>
      <w:r>
        <w:rPr>
          <w:rFonts w:ascii="Arial" w:cs="Arial" w:eastAsia="Arial" w:hAnsi="Arial"/>
          <w:b w:val="false"/>
          <w:bCs w:val="false"/>
          <w:i w:val="false"/>
          <w:iCs w:val="false"/>
          <w:color w:val="334155"/>
          <w:sz w:val="20"/>
          <w:szCs w:val="20"/>
        </w:rPr>
        <w:t xml:space="preserve">When enforcement components degrade, the system follows a deterministic degradation hierarchy. Each level restricts more capability while maintaining safety guarantees: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400"/>
            <w:tcBorders>
              <w:top w:val="single" w:color="1E293B" w:sz="1"/>
              <w:left w:val="single" w:color="1E293B" w:sz="1"/>
              <w:bottom w:val="single" w:color="1E293B" w:sz="1"/>
              <w:right w:val="single" w:color="1E293B"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Level</w:t>
            </w:r>
          </w:p>
        </w:tc>
        <w:tc>
          <w:tcPr>
            <w:tcW w:type="dxa" w:w="3480"/>
            <w:tcBorders>
              <w:top w:val="single" w:color="1E293B" w:sz="1"/>
              <w:left w:val="single" w:color="1E293B" w:sz="1"/>
              <w:bottom w:val="single" w:color="1E293B" w:sz="1"/>
              <w:right w:val="single" w:color="1E293B"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Condition</w:t>
            </w:r>
          </w:p>
        </w:tc>
        <w:tc>
          <w:tcPr>
            <w:tcW w:type="dxa" w:w="4480"/>
            <w:tcBorders>
              <w:top w:val="single" w:color="1E293B" w:sz="1"/>
              <w:left w:val="single" w:color="1E293B" w:sz="1"/>
              <w:bottom w:val="single" w:color="1E293B" w:sz="1"/>
              <w:right w:val="single" w:color="1E293B"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System Response</w:t>
            </w:r>
          </w:p>
        </w:tc>
      </w:tr>
      <w:tr>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L0: Normal</w:t>
            </w:r>
          </w:p>
        </w:tc>
        <w:tc>
          <w:tcPr>
            <w:tcW w:type="dxa" w:w="34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All enforcement layers operational</w:t>
            </w:r>
          </w:p>
        </w:tc>
        <w:tc>
          <w:tcPr>
            <w:tcW w:type="dxa" w:w="44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Full autonomous execution within policy bounds</w:t>
            </w:r>
          </w:p>
        </w:tc>
      </w:tr>
      <w:tr>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L1: Reduced</w:t>
            </w:r>
          </w:p>
        </w:tc>
        <w:tc>
          <w:tcPr>
            <w:tcW w:type="dxa" w:w="34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Single layer degraded (e.g., drift detection latency)</w:t>
            </w:r>
          </w:p>
        </w:tc>
        <w:tc>
          <w:tcPr>
            <w:tcW w:type="dxa" w:w="44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Scope restriction: only pre-approved action types permitted</w:t>
            </w:r>
          </w:p>
        </w:tc>
      </w:tr>
      <w:tr>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L2: Restricted</w:t>
            </w:r>
          </w:p>
        </w:tc>
        <w:tc>
          <w:tcPr>
            <w:tcW w:type="dxa" w:w="34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Multiple layers degraded or receipt pipeline delayed</w:t>
            </w:r>
          </w:p>
        </w:tc>
        <w:tc>
          <w:tcPr>
            <w:tcW w:type="dxa" w:w="44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Human-in-the-loop required for all mutations</w:t>
            </w:r>
          </w:p>
        </w:tc>
      </w:tr>
      <w:tr>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L3: Halt</w:t>
            </w:r>
          </w:p>
        </w:tc>
        <w:tc>
          <w:tcPr>
            <w:tcW w:type="dxa" w:w="34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Authority Gate or Kernel Plane degraded</w:t>
            </w:r>
          </w:p>
        </w:tc>
        <w:tc>
          <w:tcPr>
            <w:tcW w:type="dxa" w:w="44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All execution halted. No autonomous actions. Full escalation.</w:t>
            </w:r>
          </w:p>
        </w:tc>
      </w:tr>
      <w:tr>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L4: Isolated</w:t>
            </w:r>
          </w:p>
        </w:tc>
        <w:tc>
          <w:tcPr>
            <w:tcW w:type="dxa" w:w="34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Substrate integrity compromised</w:t>
            </w:r>
          </w:p>
        </w:tc>
        <w:tc>
          <w:tcPr>
            <w:tcW w:type="dxa" w:w="44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Workloads isolated. No inbound or outbound communication.</w:t>
            </w:r>
          </w:p>
        </w:tc>
      </w:tr>
    </w:tbl>
    <w:p>
      <w:pPr>
        <w:spacing w:after="80"/>
      </w:pPr>
    </w:p>
    <w:p>
      <w:pPr>
        <w:pStyle w:val="Heading2"/>
        <w:spacing w:before="240" w:after="100"/>
      </w:pPr>
      <w:r>
        <w:rPr>
          <w:rFonts w:ascii="Arial" w:cs="Arial" w:eastAsia="Arial" w:hAnsi="Arial"/>
          <w:b/>
          <w:bCs/>
          <w:color w:val="0F172A"/>
          <w:sz w:val="26"/>
          <w:szCs w:val="26"/>
        </w:rPr>
        <w:t xml:space="preserve">Rollback Trigger Conditions</w:t>
      </w:r>
    </w:p>
    <w:p>
      <w:pPr>
        <w:pStyle w:val="ListParagraph"/>
        <w:numPr>
          <w:ilvl w:val="0"/>
          <w:numId w:val="16"/>
        </w:numPr>
        <w:spacing w:after="60"/>
      </w:pPr>
      <w:r>
        <w:rPr>
          <w:rFonts w:ascii="Arial" w:cs="Arial" w:eastAsia="Arial" w:hAnsi="Arial"/>
          <w:color w:val="334155"/>
          <w:sz w:val="20"/>
          <w:szCs w:val="20"/>
        </w:rPr>
        <w:t xml:space="preserve">Gate halt: Any gate returning HALT triggers rollback to PLAN stage with full context preservation</w:t>
      </w:r>
    </w:p>
    <w:p>
      <w:pPr>
        <w:pStyle w:val="ListParagraph"/>
        <w:numPr>
          <w:ilvl w:val="0"/>
          <w:numId w:val="16"/>
        </w:numPr>
        <w:spacing w:after="60"/>
      </w:pPr>
      <w:r>
        <w:rPr>
          <w:rFonts w:ascii="Arial" w:cs="Arial" w:eastAsia="Arial" w:hAnsi="Arial"/>
          <w:color w:val="334155"/>
          <w:sz w:val="20"/>
          <w:szCs w:val="20"/>
        </w:rPr>
        <w:t xml:space="preserve">Attestation failure: Receipt generation failure triggers mutation rollback and operator alert</w:t>
      </w:r>
    </w:p>
    <w:p>
      <w:pPr>
        <w:pStyle w:val="ListParagraph"/>
        <w:numPr>
          <w:ilvl w:val="0"/>
          <w:numId w:val="16"/>
        </w:numPr>
        <w:spacing w:after="60"/>
      </w:pPr>
      <w:r>
        <w:rPr>
          <w:rFonts w:ascii="Arial" w:cs="Arial" w:eastAsia="Arial" w:hAnsi="Arial"/>
          <w:color w:val="334155"/>
          <w:sz w:val="20"/>
          <w:szCs w:val="20"/>
        </w:rPr>
        <w:t xml:space="preserve">Drift threshold breach: Composite drift score exceeding critical threshold triggers execution freeze</w:t>
      </w:r>
    </w:p>
    <w:p>
      <w:pPr>
        <w:pStyle w:val="ListParagraph"/>
        <w:numPr>
          <w:ilvl w:val="0"/>
          <w:numId w:val="16"/>
        </w:numPr>
        <w:spacing w:after="60"/>
      </w:pPr>
      <w:r>
        <w:rPr>
          <w:rFonts w:ascii="Arial" w:cs="Arial" w:eastAsia="Arial" w:hAnsi="Arial"/>
          <w:color w:val="334155"/>
          <w:sz w:val="20"/>
          <w:szCs w:val="20"/>
        </w:rPr>
        <w:t xml:space="preserve">Operator override: Manual halt command from operator triggers immediate rollback with priority escalation</w:t>
      </w:r>
    </w:p>
    <w:p>
      <w:pPr>
        <w:pStyle w:val="ListParagraph"/>
        <w:numPr>
          <w:ilvl w:val="0"/>
          <w:numId w:val="16"/>
        </w:numPr>
        <w:spacing w:after="60"/>
      </w:pPr>
      <w:r>
        <w:rPr>
          <w:rFonts w:ascii="Arial" w:cs="Arial" w:eastAsia="Arial" w:hAnsi="Arial"/>
          <w:color w:val="334155"/>
          <w:sz w:val="20"/>
          <w:szCs w:val="20"/>
        </w:rPr>
        <w:t xml:space="preserve">Timeout: Gate evaluation exceeding timeout threshold triggers fail-closed halt (not timeout-pass)</w:t>
      </w:r>
    </w:p>
    <w:p>
      <w:pPr>
        <w:spacing w:after="80"/>
      </w:pPr>
    </w:p>
    <w:p>
      <w:pPr>
        <w:pStyle w:val="Heading2"/>
        <w:spacing w:before="240" w:after="100"/>
      </w:pPr>
      <w:r>
        <w:rPr>
          <w:rFonts w:ascii="Arial" w:cs="Arial" w:eastAsia="Arial" w:hAnsi="Arial"/>
          <w:b/>
          <w:bCs/>
          <w:color w:val="0F172A"/>
          <w:sz w:val="26"/>
          <w:szCs w:val="26"/>
        </w:rPr>
        <w:t xml:space="preserve">State Recovery</w:t>
      </w:r>
    </w:p>
    <w:p>
      <w:pPr>
        <w:spacing w:after="120"/>
        <w:jc w:val="left"/>
      </w:pPr>
      <w:r>
        <w:rPr>
          <w:rFonts w:ascii="Arial" w:cs="Arial" w:eastAsia="Arial" w:hAnsi="Arial"/>
          <w:b w:val="false"/>
          <w:bCs w:val="false"/>
          <w:i w:val="false"/>
          <w:iCs w:val="false"/>
          <w:color w:val="334155"/>
          <w:sz w:val="20"/>
          <w:szCs w:val="20"/>
        </w:rPr>
        <w:t xml:space="preserve">State recovery follows the receipt chain in reverse. Each mutation receipt contains sufficient context to reconstruct the pre-mutation state. Recovery is deterministic: the receipt ledger is the single source of truth for state history. No reliance on external backup systems for governance-critical state.</w:t>
      </w:r>
    </w:p>
    <w:p>
      <w:r>
        <w:rPr>
          <w:rFonts w:ascii="Arial" w:cs="Arial" w:eastAsia="Arial" w:hAnsi="Arial"/>
          <w:sz w:val="2"/>
          <w:szCs w:val="2"/>
        </w:rPr>
        <w:t xml:space="preserve"/>
      </w:r>
      <w:r>
        <w:br w:type="page"/>
      </w:r>
    </w:p>
    <w:p>
      <w:pPr>
        <w:pStyle w:val="Heading1"/>
        <w:spacing w:before="300" w:after="120"/>
      </w:pPr>
      <w:r>
        <w:rPr>
          <w:rFonts w:ascii="Arial" w:cs="Arial" w:eastAsia="Arial" w:hAnsi="Arial"/>
          <w:b/>
          <w:bCs/>
          <w:color w:val="0F172A"/>
          <w:sz w:val="32"/>
          <w:szCs w:val="32"/>
        </w:rPr>
        <w:t xml:space="preserve">Integration Reference</w:t>
      </w:r>
    </w:p>
    <w:p>
      <w:pPr>
        <w:spacing w:after="80"/>
      </w:pPr>
    </w:p>
    <w:p>
      <w:pPr>
        <w:spacing w:after="120"/>
        <w:jc w:val="left"/>
      </w:pPr>
      <w:r>
        <w:rPr>
          <w:rFonts w:ascii="Arial" w:cs="Arial" w:eastAsia="Arial" w:hAnsi="Arial"/>
          <w:b w:val="false"/>
          <w:bCs w:val="false"/>
          <w:i w:val="false"/>
          <w:iCs w:val="false"/>
          <w:color w:val="334155"/>
          <w:sz w:val="20"/>
          <w:szCs w:val="20"/>
        </w:rPr>
        <w:t xml:space="preserve">The runtime governance control plane integrates with existing enterprise infrastructure through four primary integration surfaces, each aligned to an enforcement layer.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1E293B" w:sz="1"/>
              <w:left w:val="single" w:color="1E293B" w:sz="1"/>
              <w:bottom w:val="single" w:color="1E293B" w:sz="1"/>
              <w:right w:val="single" w:color="1E293B"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Enforcement Layer</w:t>
            </w:r>
          </w:p>
        </w:tc>
        <w:tc>
          <w:tcPr>
            <w:tcW w:type="dxa" w:w="2600"/>
            <w:tcBorders>
              <w:top w:val="single" w:color="1E293B" w:sz="1"/>
              <w:left w:val="single" w:color="1E293B" w:sz="1"/>
              <w:bottom w:val="single" w:color="1E293B" w:sz="1"/>
              <w:right w:val="single" w:color="1E293B"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Integration Target</w:t>
            </w:r>
          </w:p>
        </w:tc>
        <w:tc>
          <w:tcPr>
            <w:tcW w:type="dxa" w:w="1800"/>
            <w:tcBorders>
              <w:top w:val="single" w:color="1E293B" w:sz="1"/>
              <w:left w:val="single" w:color="1E293B" w:sz="1"/>
              <w:bottom w:val="single" w:color="1E293B" w:sz="1"/>
              <w:right w:val="single" w:color="1E293B"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Protocol</w:t>
            </w:r>
          </w:p>
        </w:tc>
        <w:tc>
          <w:tcPr>
            <w:tcW w:type="dxa" w:w="3160"/>
            <w:tcBorders>
              <w:top w:val="single" w:color="1E293B" w:sz="1"/>
              <w:left w:val="single" w:color="1E293B" w:sz="1"/>
              <w:bottom w:val="single" w:color="1E293B" w:sz="1"/>
              <w:right w:val="single" w:color="1E293B"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Data Flow</w:t>
            </w:r>
          </w:p>
        </w:tc>
      </w:tr>
      <w:tr>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Authority Gate</w:t>
            </w:r>
          </w:p>
        </w:tc>
        <w:tc>
          <w:tcPr>
            <w:tcW w:type="dxa" w:w="2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IAM/SSO (Okta, Azure AD, etc.)</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SAML 2.0 / OIDC</w:t>
            </w:r>
          </w:p>
        </w:tc>
        <w:tc>
          <w:tcPr>
            <w:tcW w:type="dxa" w:w="31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Identity claims → policy evaluation</w:t>
            </w:r>
          </w:p>
        </w:tc>
      </w:tr>
      <w:tr>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Authority Gate</w:t>
            </w:r>
          </w:p>
        </w:tc>
        <w:tc>
          <w:tcPr>
            <w:tcW w:type="dxa" w:w="2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Policy engines (OPA, Cedar)</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REST / gRPC</w:t>
            </w:r>
          </w:p>
        </w:tc>
        <w:tc>
          <w:tcPr>
            <w:tcW w:type="dxa" w:w="31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Policy decisions → gate verdicts</w:t>
            </w:r>
          </w:p>
        </w:tc>
      </w:tr>
      <w:tr>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Receipt Pipeline</w:t>
            </w:r>
          </w:p>
        </w:tc>
        <w:tc>
          <w:tcPr>
            <w:tcW w:type="dxa" w:w="2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SIEM (Splunk, Sentinel, etc.)</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Syslog / CEF / OCSF</w:t>
            </w:r>
          </w:p>
        </w:tc>
        <w:tc>
          <w:tcPr>
            <w:tcW w:type="dxa" w:w="31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Receipts → security event correlation</w:t>
            </w:r>
          </w:p>
        </w:tc>
      </w:tr>
      <w:tr>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Receipt Pipeline</w:t>
            </w:r>
          </w:p>
        </w:tc>
        <w:tc>
          <w:tcPr>
            <w:tcW w:type="dxa" w:w="2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Compliance platforms</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REST API / webhook</w:t>
            </w:r>
          </w:p>
        </w:tc>
        <w:tc>
          <w:tcPr>
            <w:tcW w:type="dxa" w:w="31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Evidence export → audit reports</w:t>
            </w:r>
          </w:p>
        </w:tc>
      </w:tr>
      <w:tr>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Drift Guard</w:t>
            </w:r>
          </w:p>
        </w:tc>
        <w:tc>
          <w:tcPr>
            <w:tcW w:type="dxa" w:w="2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GRC platforms (ServiceNow, Archer)</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REST API</w:t>
            </w:r>
          </w:p>
        </w:tc>
        <w:tc>
          <w:tcPr>
            <w:tcW w:type="dxa" w:w="31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Drift events → risk register updates</w:t>
            </w:r>
          </w:p>
        </w:tc>
      </w:tr>
      <w:tr>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Drift Guard</w:t>
            </w:r>
          </w:p>
        </w:tc>
        <w:tc>
          <w:tcPr>
            <w:tcW w:type="dxa" w:w="2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Monitoring (Datadog, Grafana)</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OpenTelemetry</w:t>
            </w:r>
          </w:p>
        </w:tc>
        <w:tc>
          <w:tcPr>
            <w:tcW w:type="dxa" w:w="31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Behavioral telemetry → dashboards</w:t>
            </w:r>
          </w:p>
        </w:tc>
      </w:tr>
      <w:tr>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Gated Substrate</w:t>
            </w:r>
          </w:p>
        </w:tc>
        <w:tc>
          <w:tcPr>
            <w:tcW w:type="dxa" w:w="2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Container orchestrators (K8s)</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CRI / OCI</w:t>
            </w:r>
          </w:p>
        </w:tc>
        <w:tc>
          <w:tcPr>
            <w:tcW w:type="dxa" w:w="31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Envelope enforcement → workload isolation</w:t>
            </w:r>
          </w:p>
        </w:tc>
      </w:tr>
      <w:tr>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Gated Substrate</w:t>
            </w:r>
          </w:p>
        </w:tc>
        <w:tc>
          <w:tcPr>
            <w:tcW w:type="dxa" w:w="2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Data catalogs (Collibra, Alation)</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REST API</w:t>
            </w:r>
          </w:p>
        </w:tc>
        <w:tc>
          <w:tcPr>
            <w:tcW w:type="dxa" w:w="31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Classification → envelope boundaries</w:t>
            </w:r>
          </w:p>
        </w:tc>
      </w:tr>
    </w:tbl>
    <w:p>
      <w:pPr>
        <w:spacing w:after="80"/>
      </w:pPr>
    </w:p>
    <w:p>
      <w:pPr>
        <w:pStyle w:val="Heading2"/>
        <w:spacing w:before="240" w:after="100"/>
      </w:pPr>
      <w:r>
        <w:rPr>
          <w:rFonts w:ascii="Arial" w:cs="Arial" w:eastAsia="Arial" w:hAnsi="Arial"/>
          <w:b/>
          <w:bCs/>
          <w:color w:val="0F172A"/>
          <w:sz w:val="26"/>
          <w:szCs w:val="26"/>
        </w:rPr>
        <w:t xml:space="preserve">Compatibility Matrix</w:t>
      </w:r>
    </w:p>
    <w:p>
      <w:pPr>
        <w:spacing w:after="120"/>
        <w:jc w:val="left"/>
      </w:pPr>
      <w:r>
        <w:rPr>
          <w:rFonts w:ascii="Arial" w:cs="Arial" w:eastAsia="Arial" w:hAnsi="Arial"/>
          <w:b w:val="false"/>
          <w:bCs w:val="false"/>
          <w:i w:val="false"/>
          <w:iCs w:val="false"/>
          <w:color w:val="334155"/>
          <w:sz w:val="20"/>
          <w:szCs w:val="20"/>
        </w:rPr>
        <w:t xml:space="preserve">The control plane is designed for integration with existing enterprise infrastructure, not replacement. Every integration surface uses standard protocols. No proprietary lock-in. The governance layer sits between the agent runtime and the tool/data surface, intercepting and enforcing without modifying existing systems.</w:t>
      </w:r>
    </w:p>
    <w:p>
      <w:r>
        <w:rPr>
          <w:rFonts w:ascii="Arial" w:cs="Arial" w:eastAsia="Arial" w:hAnsi="Arial"/>
          <w:sz w:val="2"/>
          <w:szCs w:val="2"/>
        </w:rPr>
        <w:t xml:space="preserve"/>
      </w:r>
      <w:r>
        <w:br w:type="page"/>
      </w:r>
    </w:p>
    <w:p>
      <w:pPr>
        <w:pStyle w:val="Heading1"/>
        <w:spacing w:before="300" w:after="120"/>
      </w:pPr>
      <w:r>
        <w:rPr>
          <w:rFonts w:ascii="Arial" w:cs="Arial" w:eastAsia="Arial" w:hAnsi="Arial"/>
          <w:b/>
          <w:bCs/>
          <w:color w:val="0F172A"/>
          <w:sz w:val="32"/>
          <w:szCs w:val="32"/>
        </w:rPr>
        <w:t xml:space="preserve">Implementation Checklist</w:t>
      </w:r>
    </w:p>
    <w:p>
      <w:pPr>
        <w:spacing w:after="80"/>
      </w:pPr>
    </w:p>
    <w:p>
      <w:pPr>
        <w:spacing w:after="120"/>
        <w:jc w:val="left"/>
      </w:pPr>
      <w:r>
        <w:rPr>
          <w:rFonts w:ascii="Arial" w:cs="Arial" w:eastAsia="Arial" w:hAnsi="Arial"/>
          <w:b w:val="false"/>
          <w:bCs w:val="false"/>
          <w:i w:val="false"/>
          <w:iCs w:val="false"/>
          <w:color w:val="334155"/>
          <w:sz w:val="20"/>
          <w:szCs w:val="20"/>
        </w:rPr>
        <w:t xml:space="preserve">Phase-gated implementation. Each phase has explicit prerequisites and measurable exit criteria. No phase proceeds until the prior phase passes its exit gate.</w:t>
      </w:r>
    </w:p>
    <w:p>
      <w:pPr>
        <w:spacing w:after="80"/>
      </w:pPr>
    </w:p>
    <w:p>
      <w:pPr>
        <w:pStyle w:val="Heading2"/>
        <w:spacing w:before="240" w:after="100"/>
      </w:pPr>
      <w:r>
        <w:rPr>
          <w:rFonts w:ascii="Arial" w:cs="Arial" w:eastAsia="Arial" w:hAnsi="Arial"/>
          <w:b/>
          <w:bCs/>
          <w:color w:val="0F172A"/>
          <w:sz w:val="26"/>
          <w:szCs w:val="26"/>
        </w:rPr>
        <w:t xml:space="preserve">Phase 1: Identity and Authority (Weeks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1E293B" w:sz="1"/>
              <w:left w:val="single" w:color="1E293B" w:sz="1"/>
              <w:bottom w:val="single" w:color="1E293B" w:sz="1"/>
              <w:right w:val="single" w:color="1E293B"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6560"/>
            <w:tcBorders>
              <w:top w:val="single" w:color="1E293B" w:sz="1"/>
              <w:left w:val="single" w:color="1E293B" w:sz="1"/>
              <w:bottom w:val="single" w:color="1E293B" w:sz="1"/>
              <w:right w:val="single" w:color="1E293B"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Detail</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1.1 Identity federation</w:t>
            </w:r>
          </w:p>
        </w:tc>
        <w:tc>
          <w:tcPr>
            <w:tcW w:type="dxa" w:w="6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Connect IAM/SSO to Authority Gate. Map identity claims to authority grants.</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1.2 Policy baseline</w:t>
            </w:r>
          </w:p>
        </w:tc>
        <w:tc>
          <w:tcPr>
            <w:tcW w:type="dxa" w:w="6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Define initial policy set: deny-by-default, enumerate permitted action types and resource scopes.</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1.3 Gate deployment</w:t>
            </w:r>
          </w:p>
        </w:tc>
        <w:tc>
          <w:tcPr>
            <w:tcW w:type="dxa" w:w="6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Deploy Authority Gate in audit mode (log-only, no enforcement). Validate gate decisions against expected outcomes.</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1.4 Enforcement activation</w:t>
            </w:r>
          </w:p>
        </w:tc>
        <w:tc>
          <w:tcPr>
            <w:tcW w:type="dxa" w:w="6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Switch Authority Gate from audit mode to enforcement mode. Verify fail-closed behavior.</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Exit Criteria</w:t>
            </w:r>
          </w:p>
        </w:tc>
        <w:tc>
          <w:tcPr>
            <w:tcW w:type="dxa" w:w="6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100% of execution requests evaluated by Authority Gate. Zero bypass paths. Fail-closed verified.</w:t>
            </w:r>
          </w:p>
        </w:tc>
      </w:tr>
    </w:tbl>
    <w:p>
      <w:pPr>
        <w:spacing w:after="80"/>
      </w:pPr>
    </w:p>
    <w:p>
      <w:pPr>
        <w:pStyle w:val="Heading2"/>
        <w:spacing w:before="240" w:after="100"/>
      </w:pPr>
      <w:r>
        <w:rPr>
          <w:rFonts w:ascii="Arial" w:cs="Arial" w:eastAsia="Arial" w:hAnsi="Arial"/>
          <w:b/>
          <w:bCs/>
          <w:color w:val="0F172A"/>
          <w:sz w:val="26"/>
          <w:szCs w:val="26"/>
        </w:rPr>
        <w:t xml:space="preserve">Phase 2: Receipts and Attestation (Weeks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1E293B" w:sz="1"/>
              <w:left w:val="single" w:color="1E293B" w:sz="1"/>
              <w:bottom w:val="single" w:color="1E293B" w:sz="1"/>
              <w:right w:val="single" w:color="1E293B"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6560"/>
            <w:tcBorders>
              <w:top w:val="single" w:color="1E293B" w:sz="1"/>
              <w:left w:val="single" w:color="1E293B" w:sz="1"/>
              <w:bottom w:val="single" w:color="1E293B" w:sz="1"/>
              <w:right w:val="single" w:color="1E293B"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Detail</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2.1 Ledger deployment</w:t>
            </w:r>
          </w:p>
        </w:tc>
        <w:tc>
          <w:tcPr>
            <w:tcW w:type="dxa" w:w="6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Deploy append-only receipt ledger. Configure hash chaining and cryptographic signing.</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2.2 Receipt schema</w:t>
            </w:r>
          </w:p>
        </w:tc>
        <w:tc>
          <w:tcPr>
            <w:tcW w:type="dxa" w:w="6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Implement full receipt schema. Validate all fields populated for every gate decision.</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2.3 SIEM integration</w:t>
            </w:r>
          </w:p>
        </w:tc>
        <w:tc>
          <w:tcPr>
            <w:tcW w:type="dxa" w:w="6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Connect receipt pipeline to SIEM. Verify receipt events appear in security event stream.</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2.4 Attestation verification</w:t>
            </w:r>
          </w:p>
        </w:tc>
        <w:tc>
          <w:tcPr>
            <w:tcW w:type="dxa" w:w="6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Run tamper detection tests. Verify hash chain integrity checks pass. Confirm non-repudiation.</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Exit Criteria</w:t>
            </w:r>
          </w:p>
        </w:tc>
        <w:tc>
          <w:tcPr>
            <w:tcW w:type="dxa" w:w="6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100% of mutations attested. Hash chain integrity verified. SIEM receiving receipt events.</w:t>
            </w:r>
          </w:p>
        </w:tc>
      </w:tr>
    </w:tbl>
    <w:p>
      <w:pPr>
        <w:spacing w:after="80"/>
      </w:pPr>
    </w:p>
    <w:p>
      <w:pPr>
        <w:pStyle w:val="Heading2"/>
        <w:spacing w:before="240" w:after="100"/>
      </w:pPr>
      <w:r>
        <w:rPr>
          <w:rFonts w:ascii="Arial" w:cs="Arial" w:eastAsia="Arial" w:hAnsi="Arial"/>
          <w:b/>
          <w:bCs/>
          <w:color w:val="0F172A"/>
          <w:sz w:val="26"/>
          <w:szCs w:val="26"/>
        </w:rPr>
        <w:t xml:space="preserve">Phase 3: Drift Detection (Weeks 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1E293B" w:sz="1"/>
              <w:left w:val="single" w:color="1E293B" w:sz="1"/>
              <w:bottom w:val="single" w:color="1E293B" w:sz="1"/>
              <w:right w:val="single" w:color="1E293B"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6560"/>
            <w:tcBorders>
              <w:top w:val="single" w:color="1E293B" w:sz="1"/>
              <w:left w:val="single" w:color="1E293B" w:sz="1"/>
              <w:bottom w:val="single" w:color="1E293B" w:sz="1"/>
              <w:right w:val="single" w:color="1E293B"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Detail</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3.1 Baseline construction</w:t>
            </w:r>
          </w:p>
        </w:tc>
        <w:tc>
          <w:tcPr>
            <w:tcW w:type="dxa" w:w="6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Run behavioral observation period (72-hour default). Establish baseline profiles per workload.</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3.2 Threshold configuration</w:t>
            </w:r>
          </w:p>
        </w:tc>
        <w:tc>
          <w:tcPr>
            <w:tcW w:type="dxa" w:w="6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Set deviation thresholds per behavioral dimension. Configure compound drift scoring.</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3.3 Authority decay</w:t>
            </w:r>
          </w:p>
        </w:tc>
        <w:tc>
          <w:tcPr>
            <w:tcW w:type="dxa" w:w="6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Implement time-bounded grants. Configure scope decay rates. Test renewal flows.</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3.4 Containment testing</w:t>
            </w:r>
          </w:p>
        </w:tc>
        <w:tc>
          <w:tcPr>
            <w:tcW w:type="dxa" w:w="6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Simulate drift scenarios. Verify containment triggers fire correctly. Test escalation paths.</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Exit Criteria</w:t>
            </w:r>
          </w:p>
        </w:tc>
        <w:tc>
          <w:tcPr>
            <w:tcW w:type="dxa" w:w="6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Baselines established. Drift detection operational. Authority decay enforced. Containment tested.</w:t>
            </w:r>
          </w:p>
        </w:tc>
      </w:tr>
    </w:tbl>
    <w:p>
      <w:pPr>
        <w:spacing w:after="80"/>
      </w:pPr>
    </w:p>
    <w:p>
      <w:pPr>
        <w:pStyle w:val="Heading2"/>
        <w:spacing w:before="240" w:after="100"/>
      </w:pPr>
      <w:r>
        <w:rPr>
          <w:rFonts w:ascii="Arial" w:cs="Arial" w:eastAsia="Arial" w:hAnsi="Arial"/>
          <w:b/>
          <w:bCs/>
          <w:color w:val="0F172A"/>
          <w:sz w:val="26"/>
          <w:szCs w:val="26"/>
        </w:rPr>
        <w:t xml:space="preserve">Phase 4: Substrate Isolation (Weeks 7-8)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1E293B" w:sz="1"/>
              <w:left w:val="single" w:color="1E293B" w:sz="1"/>
              <w:bottom w:val="single" w:color="1E293B" w:sz="1"/>
              <w:right w:val="single" w:color="1E293B"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6560"/>
            <w:tcBorders>
              <w:top w:val="single" w:color="1E293B" w:sz="1"/>
              <w:left w:val="single" w:color="1E293B" w:sz="1"/>
              <w:bottom w:val="single" w:color="1E293B" w:sz="1"/>
              <w:right w:val="single" w:color="1E293B"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Detail</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4.1 Envelope design</w:t>
            </w:r>
          </w:p>
        </w:tc>
        <w:tc>
          <w:tcPr>
            <w:tcW w:type="dxa" w:w="6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Define execution envelopes per workload. Map tool/API/data boundaries.</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4.2 Proxy deployment</w:t>
            </w:r>
          </w:p>
        </w:tc>
        <w:tc>
          <w:tcPr>
            <w:tcW w:type="dxa" w:w="6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Deploy governance-aware tool proxies. Validate capability enumeration.</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4.3 Isolation enforcement</w:t>
            </w:r>
          </w:p>
        </w:tc>
        <w:tc>
          <w:tcPr>
            <w:tcW w:type="dxa" w:w="6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Enable substrate isolation. Verify no lateral movement. Test envelope immutability.</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4.4 Full stack validation</w:t>
            </w:r>
          </w:p>
        </w:tc>
        <w:tc>
          <w:tcPr>
            <w:tcW w:type="dxa" w:w="6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End-to-end test: Authority Gate → Receipt Pipeline → Drift Guard → Gated Substrate. All layers operational.</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Exit Criteria</w:t>
            </w:r>
          </w:p>
        </w:tc>
        <w:tc>
          <w:tcPr>
            <w:tcW w:type="dxa" w:w="6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334155"/>
                <w:sz w:val="18"/>
                <w:szCs w:val="18"/>
              </w:rPr>
              <w:t xml:space="preserve">Full 4-layer enforcement stack operational. All gates enforcing. All receipts attesting. All baselines constraining. All substrates isolated.</w:t>
            </w:r>
          </w:p>
        </w:tc>
      </w:tr>
    </w:tbl>
    <w:p>
      <w:pPr>
        <w:spacing w:after="80"/>
      </w:pPr>
    </w:p>
    <w:p>
      <w:pPr>
        <w:spacing w:after="120"/>
        <w:jc w:val="left"/>
      </w:pPr>
      <w:r>
        <w:rPr>
          <w:rFonts w:ascii="Arial" w:cs="Arial" w:eastAsia="Arial" w:hAnsi="Arial"/>
          <w:b/>
          <w:bCs/>
          <w:i w:val="false"/>
          <w:iCs w:val="false"/>
          <w:color w:val="B87333"/>
          <w:sz w:val="20"/>
          <w:szCs w:val="20"/>
        </w:rPr>
        <w:t xml:space="preserve">Minimum Viable Control Plane: Identity → Policy → Tools → Logging → Evals</w:t>
      </w:r>
    </w:p>
    <w:p>
      <w:r>
        <w:rPr>
          <w:rFonts w:ascii="Arial" w:cs="Arial" w:eastAsia="Arial" w:hAnsi="Arial"/>
          <w:sz w:val="2"/>
          <w:szCs w:val="2"/>
        </w:rPr>
        <w:t xml:space="preserve"/>
      </w:r>
      <w:r>
        <w:br w:type="page"/>
      </w:r>
    </w:p>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0F172A"/>
          <w:sz w:val="40"/>
          <w:szCs w:val="40"/>
        </w:rPr>
        <w:t xml:space="preserve">READY TO ENFORCE?</w:t>
      </w:r>
    </w:p>
    <w:p>
      <w:pPr>
        <w:spacing w:after="80"/>
      </w:pPr>
    </w:p>
    <w:p>
      <w:pPr>
        <w:spacing w:after="120"/>
        <w:jc w:val="center"/>
      </w:pPr>
      <w:r>
        <w:rPr>
          <w:rFonts w:ascii="Arial" w:cs="Arial" w:eastAsia="Arial" w:hAnsi="Arial"/>
          <w:b w:val="false"/>
          <w:bCs w:val="false"/>
          <w:i w:val="false"/>
          <w:iCs w:val="false"/>
          <w:color w:val="334155"/>
          <w:sz w:val="20"/>
          <w:szCs w:val="20"/>
        </w:rPr>
        <w:t xml:space="preserve">The Runtime Governance Readiness Scan evaluates your current enforcement posture across all four architectural layers and delivers a prioritized hardening roadmap.</w:t>
      </w:r>
    </w:p>
    <w:p>
      <w:pPr>
        <w:spacing w:after="80"/>
      </w:pPr>
    </w:p>
    <w:p>
      <w:pPr>
        <w:spacing w:after="80"/>
      </w:pPr>
    </w:p>
    <w:p>
      <w:pPr>
        <w:spacing w:after="60"/>
        <w:jc w:val="center"/>
      </w:pPr>
      <w:r>
        <w:rPr>
          <w:rFonts w:ascii="Arial" w:cs="Arial" w:eastAsia="Arial" w:hAnsi="Arial"/>
          <w:b/>
          <w:bCs/>
          <w:color w:val="B87333"/>
          <w:sz w:val="26"/>
          <w:szCs w:val="26"/>
        </w:rPr>
        <w:t xml:space="preserve">Schedule Your Readiness Scan</w:t>
      </w:r>
    </w:p>
    <w:p>
      <w:pPr>
        <w:spacing w:after="200"/>
        <w:jc w:val="center"/>
      </w:pPr>
      <w:r>
        <w:rPr>
          <w:rFonts w:ascii="Arial" w:cs="Arial" w:eastAsia="Arial" w:hAnsi="Arial"/>
          <w:color w:val="334155"/>
          <w:sz w:val="20"/>
          <w:szCs w:val="20"/>
        </w:rPr>
        <w:t xml:space="preserve">orionintelligenceagency.com/book</w:t>
      </w:r>
    </w:p>
    <w:p>
      <w:pPr>
        <w:spacing w:after="80"/>
      </w:pPr>
    </w:p>
    <w:p>
      <w:pPr>
        <w:spacing w:after="80"/>
      </w:pPr>
    </w:p>
    <w:p>
      <w:pPr>
        <w:spacing w:after="60"/>
        <w:jc w:val="center"/>
      </w:pPr>
      <w:r>
        <w:rPr>
          <w:rFonts w:ascii="Arial" w:cs="Arial" w:eastAsia="Arial" w:hAnsi="Arial"/>
          <w:b/>
          <w:bCs/>
          <w:color w:val="0F172A"/>
          <w:sz w:val="22"/>
          <w:szCs w:val="22"/>
        </w:rPr>
        <w:t xml:space="preserve">Engagement Tiers</w:t>
      </w:r>
    </w:p>
    <w:p>
      <w:pPr>
        <w:spacing w:after="40"/>
        <w:jc w:val="center"/>
      </w:pPr>
      <w:r>
        <w:rPr>
          <w:rFonts w:ascii="Arial" w:cs="Arial" w:eastAsia="Arial" w:hAnsi="Arial"/>
          <w:color w:val="334155"/>
          <w:sz w:val="20"/>
          <w:szCs w:val="20"/>
        </w:rPr>
        <w:t xml:space="preserve">AI Readiness Sprint: $7,500 / 2 weeks</w:t>
      </w:r>
    </w:p>
    <w:p>
      <w:pPr>
        <w:spacing w:after="200"/>
        <w:jc w:val="center"/>
      </w:pPr>
      <w:r>
        <w:rPr>
          <w:rFonts w:ascii="Arial" w:cs="Arial" w:eastAsia="Arial" w:hAnsi="Arial"/>
          <w:color w:val="334155"/>
          <w:sz w:val="20"/>
          <w:szCs w:val="20"/>
        </w:rPr>
        <w:t xml:space="preserve">AI Hardening Engagement: $25K–$40K / 6–10 weeks</w:t>
      </w:r>
    </w:p>
    <w:p>
      <w:pPr>
        <w:spacing w:after="80"/>
      </w:pPr>
    </w:p>
    <w:p>
      <w:pPr>
        <w:spacing w:after="80"/>
      </w:pPr>
    </w:p>
    <w:p>
      <w:pPr>
        <w:spacing w:after="80"/>
      </w:pPr>
    </w:p>
    <w:p>
      <w:pPr>
        <w:spacing w:after="60"/>
        <w:jc w:val="center"/>
      </w:pPr>
      <w:r>
        <w:rPr>
          <w:rFonts w:ascii="Arial" w:cs="Arial" w:eastAsia="Arial" w:hAnsi="Arial"/>
          <w:b/>
          <w:bCs/>
          <w:color w:val="0F172A"/>
          <w:sz w:val="22"/>
          <w:szCs w:val="22"/>
        </w:rPr>
        <w:t xml:space="preserve">Dan Mercede</w:t>
      </w:r>
    </w:p>
    <w:p>
      <w:pPr>
        <w:spacing w:after="40"/>
        <w:jc w:val="center"/>
      </w:pPr>
      <w:r>
        <w:rPr>
          <w:rFonts w:ascii="Arial" w:cs="Arial" w:eastAsia="Arial" w:hAnsi="Arial"/>
          <w:color w:val="334155"/>
          <w:sz w:val="18"/>
          <w:szCs w:val="18"/>
        </w:rPr>
        <w:t xml:space="preserve">Founder &amp; Systems Architect</w:t>
      </w:r>
    </w:p>
    <w:p>
      <w:pPr>
        <w:spacing w:after="40"/>
        <w:jc w:val="center"/>
      </w:pPr>
      <w:r>
        <w:rPr>
          <w:rFonts w:ascii="Arial" w:cs="Arial" w:eastAsia="Arial" w:hAnsi="Arial"/>
          <w:color w:val="334155"/>
          <w:sz w:val="18"/>
          <w:szCs w:val="18"/>
        </w:rPr>
        <w:t xml:space="preserve">danmercede.com</w:t>
      </w:r>
    </w:p>
    <w:p>
      <w:pPr>
        <w:spacing w:after="80"/>
      </w:pPr>
    </w:p>
    <w:p>
      <w:pPr>
        <w:spacing w:after="80"/>
      </w:pPr>
    </w:p>
    <w:p>
      <w:pPr>
        <w:jc w:val="center"/>
      </w:pPr>
      <w:r>
        <w:rPr>
          <w:rFonts w:ascii="Arial" w:cs="Arial" w:eastAsia="Arial" w:hAnsi="Arial"/>
          <w:color w:val="334155"/>
          <w:sz w:val="16"/>
          <w:szCs w:val="16"/>
        </w:rPr>
        <w:t xml:space="preserve">Orion Apex Capital  |  Cosmocrat  |  Orion Intelligence Agency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334155"/>
        <w:sz w:val="14"/>
        <w:szCs w:val="14"/>
      </w:rPr>
      <w:t xml:space="preserve">danmercede.com  |  orionintelligenceagency.com/book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B87333"/>
        <w:sz w:val="14"/>
        <w:szCs w:val="14"/>
      </w:rPr>
      <w:t xml:space="preserve">CONTROL-PLANE BLUEPRINT</w:t>
    </w:r>
    <w:r>
      <w:rPr>
        <w:rFonts w:ascii="Arial" w:cs="Arial" w:eastAsia="Arial" w:hAnsi="Arial"/>
        <w:color w:val="334155"/>
        <w:sz w:val="14"/>
        <w:szCs w:val="14"/>
      </w:rPr>
      <w:t xml:space="preserve">  |  Dan Mercede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bullet"/>
      <w:lvlText w:val="•"/>
      <w:lvlJc w:val="left"/>
      <w:pPr>
        <w:ind w:left="360" w:hanging="180"/>
      </w:pPr>
    </w:lvl>
  </w:abstractNum>
  <w:abstractNum w:abstractNumId="4" w15:restartNumberingAfterBreak="0">
    <w:multiLevelType w:val="hybridMultilevel"/>
    <w:lvl w:ilvl="0" w15:tentative="1">
      <w:start w:val="1"/>
      <w:numFmt w:val="bullet"/>
      <w:lvlText w:val="•"/>
      <w:lvlJc w:val="left"/>
      <w:pPr>
        <w:ind w:left="360" w:hanging="180"/>
      </w:pPr>
    </w:lvl>
  </w:abstractNum>
  <w:abstractNum w:abstractNumId="5" w15:restartNumberingAfterBreak="0">
    <w:multiLevelType w:val="hybridMultilevel"/>
    <w:lvl w:ilvl="0" w15:tentative="1">
      <w:start w:val="1"/>
      <w:numFmt w:val="bullet"/>
      <w:lvlText w:val="•"/>
      <w:lvlJc w:val="left"/>
      <w:pPr>
        <w:ind w:left="360" w:hanging="180"/>
      </w:pPr>
    </w:lvl>
  </w:abstractNum>
  <w:abstractNum w:abstractNumId="6" w15:restartNumberingAfterBreak="0">
    <w:multiLevelType w:val="hybridMultilevel"/>
    <w:lvl w:ilvl="0" w15:tentative="1">
      <w:start w:val="1"/>
      <w:numFmt w:val="bullet"/>
      <w:lvlText w:val="•"/>
      <w:lvlJc w:val="left"/>
      <w:pPr>
        <w:ind w:left="360" w:hanging="180"/>
      </w:pPr>
    </w:lvl>
  </w:abstractNum>
  <w:abstractNum w:abstractNumId="7" w15:restartNumberingAfterBreak="0">
    <w:multiLevelType w:val="hybridMultilevel"/>
    <w:lvl w:ilvl="0" w15:tentative="1">
      <w:start w:val="1"/>
      <w:numFmt w:val="bullet"/>
      <w:lvlText w:val="•"/>
      <w:lvlJc w:val="left"/>
      <w:pPr>
        <w:ind w:left="360" w:hanging="180"/>
      </w:pPr>
    </w:lvl>
  </w:abstractNum>
  <w:abstractNum w:abstractNumId="8" w15:restartNumberingAfterBreak="0">
    <w:multiLevelType w:val="hybridMultilevel"/>
    <w:lvl w:ilvl="0" w15:tentative="1">
      <w:start w:val="1"/>
      <w:numFmt w:val="bullet"/>
      <w:lvlText w:val="•"/>
      <w:lvlJc w:val="left"/>
      <w:pPr>
        <w:ind w:left="360" w:hanging="180"/>
      </w:pPr>
    </w:lvl>
  </w:abstractNum>
  <w:abstractNum w:abstractNumId="9" w15:restartNumberingAfterBreak="0">
    <w:multiLevelType w:val="hybridMultilevel"/>
    <w:lvl w:ilvl="0" w15:tentative="1">
      <w:start w:val="1"/>
      <w:numFmt w:val="bullet"/>
      <w:lvlText w:val="•"/>
      <w:lvlJc w:val="left"/>
      <w:pPr>
        <w:ind w:left="360" w:hanging="180"/>
      </w:pPr>
    </w:lvl>
  </w:abstractNum>
  <w:abstractNum w:abstractNumId="10" w15:restartNumberingAfterBreak="0">
    <w:multiLevelType w:val="hybridMultilevel"/>
    <w:lvl w:ilvl="0" w15:tentative="1">
      <w:start w:val="1"/>
      <w:numFmt w:val="bullet"/>
      <w:lvlText w:val="•"/>
      <w:lvlJc w:val="left"/>
      <w:pPr>
        <w:ind w:left="360" w:hanging="180"/>
      </w:pPr>
    </w:lvl>
  </w:abstractNum>
  <w:abstractNum w:abstractNumId="11" w15:restartNumberingAfterBreak="0">
    <w:multiLevelType w:val="hybridMultilevel"/>
    <w:lvl w:ilvl="0" w15:tentative="1">
      <w:start w:val="1"/>
      <w:numFmt w:val="bullet"/>
      <w:lvlText w:val="•"/>
      <w:lvlJc w:val="left"/>
      <w:pPr>
        <w:ind w:left="360" w:hanging="180"/>
      </w:pPr>
    </w:lvl>
  </w:abstractNum>
  <w:abstractNum w:abstractNumId="12" w15:restartNumberingAfterBreak="0">
    <w:multiLevelType w:val="hybridMultilevel"/>
    <w:lvl w:ilvl="0" w15:tentative="1">
      <w:start w:val="1"/>
      <w:numFmt w:val="bullet"/>
      <w:lvlText w:val="•"/>
      <w:lvlJc w:val="left"/>
      <w:pPr>
        <w:ind w:left="360" w:hanging="180"/>
      </w:pPr>
    </w:lvl>
  </w:abstractNum>
  <w:abstractNum w:abstractNumId="13" w15:restartNumberingAfterBreak="0">
    <w:multiLevelType w:val="hybridMultilevel"/>
    <w:lvl w:ilvl="0" w15:tentative="1">
      <w:start w:val="1"/>
      <w:numFmt w:val="bullet"/>
      <w:lvlText w:val="•"/>
      <w:lvlJc w:val="left"/>
      <w:pPr>
        <w:ind w:left="360" w:hanging="180"/>
      </w:pPr>
    </w:lvl>
  </w:abstractNum>
  <w:abstractNum w:abstractNumId="14" w15:restartNumberingAfterBreak="0">
    <w:multiLevelType w:val="hybridMultilevel"/>
    <w:lvl w:ilvl="0" w15:tentative="1">
      <w:start w:val="1"/>
      <w:numFmt w:val="bullet"/>
      <w:lvlText w:val="•"/>
      <w:lvlJc w:val="left"/>
      <w:pPr>
        <w:ind w:left="360" w:hanging="180"/>
      </w:pPr>
    </w:lvl>
  </w:abstractNum>
  <w:abstractNum w:abstractNumId="15" w15:restartNumberingAfterBreak="0">
    <w:multiLevelType w:val="hybridMultilevel"/>
    <w:lvl w:ilvl="0" w15:tentative="1">
      <w:start w:val="1"/>
      <w:numFmt w:val="bullet"/>
      <w:lvlText w:val="•"/>
      <w:lvlJc w:val="left"/>
      <w:pPr>
        <w:ind w:left="360" w:hanging="180"/>
      </w:pPr>
    </w:lvl>
  </w:abstractNum>
  <w:abstractNum w:abstractNumId="16"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F172A"/>
      <w:sz w:val="32"/>
      <w:szCs w:val="32"/>
    </w:rPr>
  </w:style>
  <w:style w:type="paragraph" w:styleId="Heading2">
    <w:name w:val="Heading 2"/>
    <w:basedOn w:val="Normal"/>
    <w:next w:val="Normal"/>
    <w:qFormat/>
    <w:rPr>
      <w:rFonts w:ascii="Arial" w:cs="Arial" w:eastAsia="Arial" w:hAnsi="Arial"/>
      <w:b/>
      <w:bCs/>
      <w:color w:val="0F172A"/>
      <w:sz w:val="26"/>
      <w:szCs w:val="26"/>
    </w:rPr>
  </w:style>
  <w:style w:type="paragraph" w:styleId="Heading3">
    <w:name w:val="Heading 3"/>
    <w:basedOn w:val="Normal"/>
    <w:next w:val="Normal"/>
    <w:qFormat/>
    <w:rPr>
      <w:rFonts w:ascii="Arial" w:cs="Arial" w:eastAsia="Arial" w:hAnsi="Arial"/>
      <w:b/>
      <w:bCs/>
      <w:color w:val="334155"/>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2026-02-17T07:28:07.621Z</dcterms:created>
  <dcterms:modified xsi:type="dcterms:W3CDTF">2026-02-17T07:28:07.621Z</dcterms:modified>
</cp:coreProperties>
</file>

<file path=docProps/custom.xml><?xml version="1.0" encoding="utf-8"?>
<Properties xmlns="http://schemas.openxmlformats.org/officeDocument/2006/custom-properties" xmlns:vt="http://schemas.openxmlformats.org/officeDocument/2006/docPropsVTypes"/>
</file>