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80"/>
        <w:jc w:val="center"/>
      </w:pPr>
      <w:r>
        <w:rPr>
          <w:rFonts w:ascii="Arial" w:cs="Arial" w:eastAsia="Arial" w:hAnsi="Arial"/>
          <w:b/>
          <w:bCs/>
          <w:color w:val="0F172A"/>
          <w:sz w:val="48"/>
          <w:szCs w:val="48"/>
        </w:rPr>
        <w:t xml:space="preserve">GOVERNANCE READINESS</w:t>
      </w:r>
    </w:p>
    <w:p>
      <w:pPr>
        <w:spacing w:after="80"/>
        <w:jc w:val="center"/>
      </w:pPr>
      <w:r>
        <w:rPr>
          <w:rFonts w:ascii="Arial" w:cs="Arial" w:eastAsia="Arial" w:hAnsi="Arial"/>
          <w:b/>
          <w:bCs/>
          <w:color w:val="B87333"/>
          <w:sz w:val="48"/>
          <w:szCs w:val="48"/>
        </w:rPr>
        <w:t xml:space="preserve">EVIDENCE PACK</w:t>
      </w:r>
    </w:p>
    <w:p>
      <w:pPr>
        <w:spacing w:after="200"/>
      </w:pPr>
    </w:p>
    <w:p>
      <w:pPr>
        <w:spacing w:after="60"/>
        <w:jc w:val="center"/>
      </w:pPr>
      <w:r>
        <w:rPr>
          <w:rFonts w:ascii="Arial" w:cs="Arial" w:eastAsia="Arial" w:hAnsi="Arial"/>
          <w:color w:val="334155"/>
          <w:sz w:val="24"/>
          <w:szCs w:val="24"/>
        </w:rPr>
        <w:t xml:space="preserve">Risk registers, controls mappings, and evidence checklists</w:t>
      </w:r>
    </w:p>
    <w:p>
      <w:pPr>
        <w:spacing w:after="60"/>
        <w:jc w:val="center"/>
      </w:pPr>
      <w:r>
        <w:rPr>
          <w:rFonts w:ascii="Arial" w:cs="Arial" w:eastAsia="Arial" w:hAnsi="Arial"/>
          <w:color w:val="334155"/>
          <w:sz w:val="24"/>
          <w:szCs w:val="24"/>
        </w:rPr>
        <w:t xml:space="preserve">for runtime-enforced AI governance.</w:t>
      </w:r>
    </w:p>
    <w:p>
      <w:pPr>
        <w:spacing w:after="400"/>
      </w:pPr>
    </w:p>
    <w:p>
      <w:pPr>
        <w:spacing w:after="100"/>
        <w:jc w:val="center"/>
      </w:pPr>
      <w:r>
        <w:rPr>
          <w:rFonts w:ascii="Arial" w:cs="Arial" w:eastAsia="Arial" w:hAnsi="Arial"/>
          <w:b/>
          <w:bCs/>
          <w:color w:val="0F172A"/>
          <w:sz w:val="28"/>
          <w:szCs w:val="28"/>
        </w:rPr>
        <w:t xml:space="preserve">DAN MERCEDE</w:t>
      </w:r>
    </w:p>
    <w:p>
      <w:pPr>
        <w:spacing w:after="60"/>
        <w:jc w:val="center"/>
      </w:pPr>
      <w:r>
        <w:rPr>
          <w:rFonts w:ascii="Arial" w:cs="Arial" w:eastAsia="Arial" w:hAnsi="Arial"/>
          <w:color w:val="334155"/>
          <w:sz w:val="20"/>
          <w:szCs w:val="20"/>
        </w:rPr>
        <w:t xml:space="preserve">Founder &amp; Systems Architect  |  Governed AI Operating Systems</w:t>
      </w:r>
    </w:p>
    <w:p>
      <w:pPr>
        <w:spacing w:after="300"/>
      </w:pPr>
    </w:p>
    <w:p>
      <w:pPr>
        <w:spacing w:after="60"/>
        <w:jc w:val="center"/>
      </w:pPr>
      <w:r>
        <w:rPr>
          <w:rFonts w:ascii="Arial" w:cs="Arial" w:eastAsia="Arial" w:hAnsi="Arial"/>
          <w:b/>
          <w:bCs/>
          <w:color w:val="B87333"/>
          <w:sz w:val="22"/>
          <w:szCs w:val="22"/>
        </w:rPr>
        <w:t xml:space="preserve">Schedule Your Runtime Governance Readiness Scan</w:t>
      </w:r>
    </w:p>
    <w:p>
      <w:pPr>
        <w:jc w:val="center"/>
      </w:pPr>
      <w:r>
        <w:rPr>
          <w:rFonts w:ascii="Arial" w:cs="Arial" w:eastAsia="Arial" w:hAnsi="Arial"/>
          <w:color w:val="334155"/>
          <w:sz w:val="20"/>
          <w:szCs w:val="20"/>
        </w:rPr>
        <w:t xml:space="preserve">orionintelligenceagency.com/book</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rPr>
          <w:color w:val="0F172A"/>
        </w:rPr>
        <w:t xml:space="preserve">Executive Framing</w:t>
      </w:r>
    </w:p>
    <w:p>
      <w:pPr>
        <w:spacing w:after="80"/>
      </w:pPr>
    </w:p>
    <w:p>
      <w:pPr>
        <w:spacing w:after="100"/>
      </w:pPr>
      <w:r>
        <w:rPr>
          <w:rFonts w:ascii="Arial" w:cs="Arial" w:eastAsia="Arial" w:hAnsi="Arial"/>
          <w:b/>
          <w:bCs/>
          <w:color w:val="B87333"/>
          <w:sz w:val="22"/>
          <w:szCs w:val="22"/>
        </w:rPr>
        <w:t xml:space="preserve">Enterprise AI does not fail on capability. It fails on control.</w:t>
      </w:r>
    </w:p>
    <w:p>
      <w:pPr>
        <w:spacing w:after="40"/>
      </w:pPr>
    </w:p>
    <w:p>
      <w:pPr>
        <w:spacing w:after="120"/>
      </w:pPr>
      <w:r>
        <w:rPr>
          <w:rFonts w:ascii="Arial" w:cs="Arial" w:eastAsia="Arial" w:hAnsi="Arial"/>
          <w:color w:val="334155"/>
          <w:sz w:val="22"/>
          <w:szCs w:val="22"/>
        </w:rPr>
        <w:t xml:space="preserve">Agentic AI systems execute autonomously, mutate state without attestation, drift without constraint, and operate on shared substrates without isolation. The result: compounding risk, audit exposure, regulatory liability, and operational blast radius with no deterministic containment.</w:t>
      </w:r>
    </w:p>
    <w:p>
      <w:pPr>
        <w:spacing w:after="120"/>
      </w:pPr>
      <w:r>
        <w:rPr>
          <w:rFonts w:ascii="Arial" w:cs="Arial" w:eastAsia="Arial" w:hAnsi="Arial"/>
          <w:color w:val="334155"/>
          <w:sz w:val="22"/>
          <w:szCs w:val="22"/>
        </w:rPr>
        <w:t xml:space="preserve">Runtime governance is the missing operating layer. Governance enforced at runtime, before state mutation, in a fail-closed configuration, with cryptographic attestation, at the execution substrate, is the prerequisite for safe, scalable agentic workflows.</w:t>
      </w:r>
    </w:p>
    <w:p>
      <w:pPr>
        <w:spacing w:after="80"/>
      </w:pPr>
    </w:p>
    <w:p>
      <w:pPr>
        <w:pStyle w:val="Heading2"/>
      </w:pPr>
      <w:r>
        <w:rPr>
          <w:color w:val="0F172A"/>
        </w:rPr>
        <w:t xml:space="preserve">The Four-Layer Enforcement Stack</w:t>
      </w:r>
    </w:p>
    <w:p>
      <w:pPr>
        <w:spacing w:after="120"/>
      </w:pPr>
      <w:r>
        <w:rPr>
          <w:rFonts w:ascii="Arial" w:cs="Arial" w:eastAsia="Arial" w:hAnsi="Arial"/>
          <w:color w:val="334155"/>
          <w:sz w:val="22"/>
          <w:szCs w:val="22"/>
        </w:rPr>
        <w:t xml:space="preserve">The stack forms a deterministic enforcement cascade. Each layer is necessary. None is sufficient alone.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Enforcement Point</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Invariant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1. Authority Gate</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Pre-execution intent boundary evaluation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Execution depends on authority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 Immutable Receipts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Cryptographic attestation of every state change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Mutation depends on attestation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 Drift Guard</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Behavioral constraint across time, not just per-action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Behavior constrained across time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4. Gated Substrate</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Physical isolation at the execution environment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Capability removed, not restricted</w:t>
            </w:r>
          </w:p>
        </w:tc>
      </w:tr>
    </w:tbl>
    <w:p>
      <w:pPr>
        <w:spacing w:after="80"/>
      </w:pPr>
    </w:p>
    <w:p>
      <w:pPr>
        <w:spacing w:after="120"/>
      </w:pPr>
      <w:r>
        <w:rPr>
          <w:rFonts w:ascii="Arial" w:cs="Arial" w:eastAsia="Arial" w:hAnsi="Arial"/>
          <w:color w:val="334155"/>
          <w:sz w:val="22"/>
          <w:szCs w:val="22"/>
        </w:rPr>
        <w:t xml:space="preserve">This Evidence Pack provides the templates and checklists to assess your organization's readiness across all four layers. Use it as a self-assessment before scheduling a Readiness Scan, or bring it to your next governance review.</w:t>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pPr>
      <w:r>
        <w:rPr>
          <w:color w:val="0F172A"/>
        </w:rPr>
        <w:t xml:space="preserve">Risk Register Template</w:t>
      </w:r>
    </w:p>
    <w:p>
      <w:pPr>
        <w:spacing w:after="120"/>
      </w:pPr>
      <w:r>
        <w:rPr>
          <w:rFonts w:ascii="Arial" w:cs="Arial" w:eastAsia="Arial" w:hAnsi="Arial"/>
          <w:color w:val="334155"/>
          <w:sz w:val="22"/>
          <w:szCs w:val="22"/>
        </w:rPr>
        <w:t xml:space="preserve">Pre-populated risk categories mapped to the four enforcement layers. Use this register to assess current state, identify gaps, and prioritize remediation. Add organization-specific risks as needed.</w:t>
      </w:r>
    </w:p>
    <w:p>
      <w:pPr>
        <w:spacing w:after="40"/>
      </w:pPr>
    </w:p>
    <w:p>
      <w:pPr>
        <w:spacing w:after="100"/>
      </w:pPr>
      <w:r>
        <w:rPr>
          <w:rFonts w:ascii="Arial" w:cs="Arial" w:eastAsia="Arial" w:hAnsi="Arial"/>
          <w:b/>
          <w:bCs/>
          <w:color w:val="B87333"/>
          <w:sz w:val="22"/>
          <w:szCs w:val="22"/>
        </w:rPr>
        <w:t xml:space="preserve">Instructions: Mark Current State (Enforced / Partial / None), identify Gap severity (Critical / High / Medium / Low), assign Priority and Owner.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300"/>
        <w:gridCol w:w="2260"/>
        <w:gridCol w:w="800"/>
        <w:gridCol w:w="800"/>
        <w:gridCol w:w="130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1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RG-001</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Unauthorized autonomous execution</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Authority Gate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Actions executed without explicit authority verification</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RG-002</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State mutation without attestation</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Immutable Receipts</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Changes to data/config with no cryptographic receipt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RG-003</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Privilege escalation by agentic systems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Authority Gate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AI agent acquires capabilities beyond authorized scope</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RG-004</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Behavioral drift over time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Drift Guard</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Gradual deviation from authorized behavioral baseline</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RG-005</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Standing execution paths (no authority decay)</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Drift Guard</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Persistent permissions without time-bounded re-evaluation</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RG-006</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Cross-workload contamination</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Gated Substrate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One AI workload affecting another through shared resources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RG-007</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Audit trail gaps (logs without proof)</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Immutable Receipts</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Observation-only logging without non-repudiation guarantees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RG-008</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Tool boundary violations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Gated Substrate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AI agent accessing tools or APIs outside designated boundary</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RG-009</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Irreversible state change without rollback path</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Authority Gate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Actions that cannot be undone with no pre-execution halt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RG-010</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Compliance evidence insufficiency</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Immutable Receipts</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Inability to produce audit-grade proof for regulators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RG-011</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Escalation path failure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Drift Guard</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 deterministic escalation when behavioral thresholds breach</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RG-012</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Shared substrate routing exploitation</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Gated Substrate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Intelligence routing itself to bypass governance controls</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RG-013</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Policy-execution mismatch</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Authority Gate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Stated policy not enforced at runtime execution boundary</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RG-014</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Compounded deviation across sessions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Drift Guard</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Small per-action deviations accumulating to material drift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0F172A"/>
                <w:sz w:val="20"/>
                <w:szCs w:val="20"/>
              </w:rPr>
              <w:t xml:space="preserve">RG-015</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Blast radius expansion from ungoverned automation</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Gated Substrate</w:t>
            </w:r>
          </w:p>
        </w:tc>
        <w:tc>
          <w:tcPr>
            <w:tcW w:type="dxa" w:w="22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Failure in one agent cascading across execution environment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 ]</w:t>
            </w:r>
          </w:p>
        </w:tc>
      </w:tr>
    </w:tbl>
    <w:p>
      <w:pPr>
        <w:spacing w:after="80"/>
      </w:pPr>
    </w:p>
    <w:p>
      <w:pPr>
        <w:spacing w:after="120"/>
      </w:pPr>
      <w:r>
        <w:rPr>
          <w:rFonts w:ascii="Arial" w:cs="Arial" w:eastAsia="Arial" w:hAnsi="Arial"/>
          <w:color w:val="334155"/>
          <w:sz w:val="22"/>
          <w:szCs w:val="22"/>
        </w:rPr>
        <w:t xml:space="preserve">A score of 'None' on any Authority Gate or Immutable Receipts risk indicates a critical governance gap requiring immediate attention before production AI deployment.</w:t>
      </w:r>
    </w:p>
    <w:p>
      <w:r>
        <w:br w:type="page"/>
      </w:r>
    </w:p>
    <w:p>
      <w:pPr>
        <w:pStyle w:val="Heading1"/>
      </w:pPr>
      <w:r>
        <w:rPr>
          <w:color w:val="0F172A"/>
        </w:rPr>
        <w:t xml:space="preserve">Controls Mapping Matrix</w:t>
      </w:r>
    </w:p>
    <w:p>
      <w:pPr>
        <w:spacing w:after="120"/>
      </w:pPr>
      <w:r>
        <w:rPr>
          <w:rFonts w:ascii="Arial" w:cs="Arial" w:eastAsia="Arial" w:hAnsi="Arial"/>
          <w:color w:val="334155"/>
          <w:sz w:val="22"/>
          <w:szCs w:val="22"/>
        </w:rPr>
        <w:t xml:space="preserve">NIST AI RMF and ISO 42001 controls mapped to the four-layer enforcement stack. This matrix demonstrates which runtime enforcement layer addresses each regulatory control, providing a structural bridge between compliance requirements and architectural enforcement.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Control Name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Enforcement Layer</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Runtime Enforcement Mechanism</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MAP.1.1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AI Risk Management Framing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Authority Gate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Policy resolution defines risk boundaries before execution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MAP.1.2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AI System Impact Assessment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Authority Gate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Pre-execution evaluation of action impact and authority chain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GOV.1.1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Legal and Regulatory Compliance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Immutable Receipts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Cryptographic evidence of compliance at point of action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GOV.1.2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AI Risk Governance Structure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Drift Guard</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Continuous behavioral monitoring against governance structure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GOV.2.1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Accountability Structures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Immutable Receipts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Non-repudiation receipts establishing action-authority linkage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MAN.2.1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Data Privacy and Security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Gated Substrate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Workload isolation preventing unauthorized data access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MAN.2.2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Data Quality Management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Drift Guard</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Baseline integrity checks detecting data quality degradation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MAN.3.1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AI Model Monitoring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Drift Guard</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Behavioral baseline + deviation detection across time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MAN.4.1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Incident Response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Authority Gate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Deterministic escalation and fail-closed halt on anomaly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MAN.4.2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Continuous Improvement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Immutable Receipts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Receipt-based audit trail enabling root cause analysis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ISO.6.1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Actions to Address Risks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Authority Gate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Runtime enforcement of risk mitigation at intent boundary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ISO.6.2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AI Risk Assessment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Drift Guard</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Time-series constraint enforcement for ongoing risk assessment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ISO.8.1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Operational Planning and Control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Gated Substrate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Substrate isolation for operational boundary enforcement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ISO.9.1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Monitoring, Measurement, Analysis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Immutable Receipts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Cryptographic receipt pipeline for measurement integrity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ISO.10.1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Corrective Actions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Drift Guard</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Automated containment triggers on threshold breach</w:t>
            </w:r>
          </w:p>
        </w:tc>
      </w:tr>
    </w:tbl>
    <w:p>
      <w:pPr>
        <w:spacing w:after="80"/>
      </w:pPr>
    </w:p>
    <w:p>
      <w:pPr>
        <w:spacing w:after="120"/>
      </w:pPr>
      <w:r>
        <w:rPr>
          <w:rFonts w:ascii="Arial" w:cs="Arial" w:eastAsia="Arial" w:hAnsi="Arial"/>
          <w:color w:val="334155"/>
          <w:sz w:val="22"/>
          <w:szCs w:val="22"/>
        </w:rPr>
        <w:t xml:space="preserve">This mapping is not exhaustive. A Readiness Scan produces a complete, organization-specific controls mapping aligned to your regulatory environment and existing compliance posture.</w:t>
      </w:r>
    </w:p>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pPr>
      <w:r>
        <w:rPr>
          <w:color w:val="0F172A"/>
        </w:rPr>
        <w:t xml:space="preserve">Evidence Capture Checklist</w:t>
      </w:r>
    </w:p>
    <w:p>
      <w:pPr>
        <w:spacing w:after="120"/>
      </w:pPr>
      <w:r>
        <w:rPr>
          <w:rFonts w:ascii="Arial" w:cs="Arial" w:eastAsia="Arial" w:hAnsi="Arial"/>
          <w:color w:val="334155"/>
          <w:sz w:val="22"/>
          <w:szCs w:val="22"/>
        </w:rPr>
        <w:t xml:space="preserve">Organized by enforcement layer. Each item represents an evidence artifact that demonstrates governance enforcement at runtime. Check items that your organization can currently produce. Gaps indicate areas requiring remediation before production AI deployment.</w:t>
      </w:r>
    </w:p>
    <w:p>
      <w:pPr>
        <w:spacing w:after="40"/>
      </w:pPr>
    </w:p>
    <w:p>
      <w:pPr>
        <w:pStyle w:val="Heading2"/>
      </w:pPr>
      <w:r>
        <w:rPr>
          <w:color w:val="0F172A"/>
        </w:rPr>
        <w:t xml:space="preserve">Authority Gate</w:t>
      </w:r>
    </w:p>
    <w:p>
      <w:pPr>
        <w:pStyle w:val="ListParagraph"/>
        <w:numPr>
          <w:ilvl w:val="0"/>
          <w:numId w:val="2"/>
        </w:numPr>
        <w:spacing w:after="60"/>
      </w:pPr>
      <w:r>
        <w:rPr>
          <w:rFonts w:ascii="Arial" w:cs="Arial" w:eastAsia="Arial" w:hAnsi="Arial"/>
          <w:color w:val="334155"/>
          <w:sz w:val="22"/>
          <w:szCs w:val="22"/>
        </w:rPr>
        <w:t xml:space="preserve">[ ]  Policy attestation records for each execution path</w:t>
      </w:r>
    </w:p>
    <w:p>
      <w:pPr>
        <w:pStyle w:val="ListParagraph"/>
        <w:numPr>
          <w:ilvl w:val="0"/>
          <w:numId w:val="2"/>
        </w:numPr>
        <w:spacing w:after="60"/>
      </w:pPr>
      <w:r>
        <w:rPr>
          <w:rFonts w:ascii="Arial" w:cs="Arial" w:eastAsia="Arial" w:hAnsi="Arial"/>
          <w:color w:val="334155"/>
          <w:sz w:val="22"/>
          <w:szCs w:val="22"/>
        </w:rPr>
        <w:t xml:space="preserve">[ ]  Authority chain documentation (who approved what)</w:t>
      </w:r>
    </w:p>
    <w:p>
      <w:pPr>
        <w:pStyle w:val="ListParagraph"/>
        <w:numPr>
          <w:ilvl w:val="0"/>
          <w:numId w:val="2"/>
        </w:numPr>
        <w:spacing w:after="60"/>
      </w:pPr>
      <w:r>
        <w:rPr>
          <w:rFonts w:ascii="Arial" w:cs="Arial" w:eastAsia="Arial" w:hAnsi="Arial"/>
          <w:color w:val="334155"/>
          <w:sz w:val="22"/>
          <w:szCs w:val="22"/>
        </w:rPr>
        <w:t xml:space="preserve">[ ]  Pre-execution evaluation logs with pass/fail outcomes</w:t>
      </w:r>
    </w:p>
    <w:p>
      <w:pPr>
        <w:pStyle w:val="ListParagraph"/>
        <w:numPr>
          <w:ilvl w:val="0"/>
          <w:numId w:val="2"/>
        </w:numPr>
        <w:spacing w:after="60"/>
      </w:pPr>
      <w:r>
        <w:rPr>
          <w:rFonts w:ascii="Arial" w:cs="Arial" w:eastAsia="Arial" w:hAnsi="Arial"/>
          <w:color w:val="334155"/>
          <w:sz w:val="22"/>
          <w:szCs w:val="22"/>
        </w:rPr>
        <w:t xml:space="preserve">[ ]  Fail-closed halt records (blocked execution attempts)</w:t>
      </w:r>
    </w:p>
    <w:p>
      <w:pPr>
        <w:pStyle w:val="ListParagraph"/>
        <w:numPr>
          <w:ilvl w:val="0"/>
          <w:numId w:val="2"/>
        </w:numPr>
        <w:spacing w:after="60"/>
      </w:pPr>
      <w:r>
        <w:rPr>
          <w:rFonts w:ascii="Arial" w:cs="Arial" w:eastAsia="Arial" w:hAnsi="Arial"/>
          <w:color w:val="334155"/>
          <w:sz w:val="22"/>
          <w:szCs w:val="22"/>
        </w:rPr>
        <w:t xml:space="preserve">[ ]  IAM/SSO integration evidence for authority verification</w:t>
      </w:r>
    </w:p>
    <w:p>
      <w:pPr>
        <w:pStyle w:val="ListParagraph"/>
        <w:numPr>
          <w:ilvl w:val="0"/>
          <w:numId w:val="2"/>
        </w:numPr>
        <w:spacing w:after="60"/>
      </w:pPr>
      <w:r>
        <w:rPr>
          <w:rFonts w:ascii="Arial" w:cs="Arial" w:eastAsia="Arial" w:hAnsi="Arial"/>
          <w:color w:val="334155"/>
          <w:sz w:val="22"/>
          <w:szCs w:val="22"/>
        </w:rPr>
        <w:t xml:space="preserve">[ ]  Policy resolution algorithm documentation</w:t>
      </w:r>
    </w:p>
    <w:p>
      <w:pPr>
        <w:pStyle w:val="ListParagraph"/>
        <w:numPr>
          <w:ilvl w:val="0"/>
          <w:numId w:val="2"/>
        </w:numPr>
        <w:spacing w:after="60"/>
      </w:pPr>
      <w:r>
        <w:rPr>
          <w:rFonts w:ascii="Arial" w:cs="Arial" w:eastAsia="Arial" w:hAnsi="Arial"/>
          <w:color w:val="334155"/>
          <w:sz w:val="22"/>
          <w:szCs w:val="22"/>
        </w:rPr>
        <w:t xml:space="preserve">[ ]  Authority scope definitions per agent/workflow</w:t>
      </w:r>
    </w:p>
    <w:p>
      <w:pPr>
        <w:pStyle w:val="ListParagraph"/>
        <w:numPr>
          <w:ilvl w:val="0"/>
          <w:numId w:val="2"/>
        </w:numPr>
        <w:spacing w:after="60"/>
      </w:pPr>
      <w:r>
        <w:rPr>
          <w:rFonts w:ascii="Arial" w:cs="Arial" w:eastAsia="Arial" w:hAnsi="Arial"/>
          <w:color w:val="334155"/>
          <w:sz w:val="22"/>
          <w:szCs w:val="22"/>
        </w:rPr>
        <w:t xml:space="preserve">[ ]  Override and exception records with justification</w:t>
      </w:r>
    </w:p>
    <w:p>
      <w:pPr>
        <w:spacing w:after="80"/>
      </w:pPr>
    </w:p>
    <w:p>
      <w:pPr>
        <w:pStyle w:val="Heading2"/>
      </w:pPr>
      <w:r>
        <w:rPr>
          <w:color w:val="0F172A"/>
        </w:rPr>
        <w:t xml:space="preserve">Immutable Receipts</w:t>
      </w:r>
    </w:p>
    <w:p>
      <w:pPr>
        <w:pStyle w:val="ListParagraph"/>
        <w:numPr>
          <w:ilvl w:val="0"/>
          <w:numId w:val="3"/>
        </w:numPr>
        <w:spacing w:after="60"/>
      </w:pPr>
      <w:r>
        <w:rPr>
          <w:rFonts w:ascii="Arial" w:cs="Arial" w:eastAsia="Arial" w:hAnsi="Arial"/>
          <w:color w:val="334155"/>
          <w:sz w:val="22"/>
          <w:szCs w:val="22"/>
        </w:rPr>
        <w:t xml:space="preserve">[ ]  Cryptographic hash records for every state mutation</w:t>
      </w:r>
    </w:p>
    <w:p>
      <w:pPr>
        <w:pStyle w:val="ListParagraph"/>
        <w:numPr>
          <w:ilvl w:val="0"/>
          <w:numId w:val="3"/>
        </w:numPr>
        <w:spacing w:after="60"/>
      </w:pPr>
      <w:r>
        <w:rPr>
          <w:rFonts w:ascii="Arial" w:cs="Arial" w:eastAsia="Arial" w:hAnsi="Arial"/>
          <w:color w:val="334155"/>
          <w:sz w:val="22"/>
          <w:szCs w:val="22"/>
        </w:rPr>
        <w:t xml:space="preserve">[ ]  Append-only ledger integrity verification reports</w:t>
      </w:r>
    </w:p>
    <w:p>
      <w:pPr>
        <w:pStyle w:val="ListParagraph"/>
        <w:numPr>
          <w:ilvl w:val="0"/>
          <w:numId w:val="3"/>
        </w:numPr>
        <w:spacing w:after="60"/>
      </w:pPr>
      <w:r>
        <w:rPr>
          <w:rFonts w:ascii="Arial" w:cs="Arial" w:eastAsia="Arial" w:hAnsi="Arial"/>
          <w:color w:val="334155"/>
          <w:sz w:val="22"/>
          <w:szCs w:val="22"/>
        </w:rPr>
        <w:t xml:space="preserve">[ ]  Receipt schema documentation (action ID, authority chain, timestamp, hash, payload fingerprint)</w:t>
      </w:r>
    </w:p>
    <w:p>
      <w:pPr>
        <w:pStyle w:val="ListParagraph"/>
        <w:numPr>
          <w:ilvl w:val="0"/>
          <w:numId w:val="3"/>
        </w:numPr>
        <w:spacing w:after="60"/>
      </w:pPr>
      <w:r>
        <w:rPr>
          <w:rFonts w:ascii="Arial" w:cs="Arial" w:eastAsia="Arial" w:hAnsi="Arial"/>
          <w:color w:val="334155"/>
          <w:sz w:val="22"/>
          <w:szCs w:val="22"/>
        </w:rPr>
        <w:t xml:space="preserve">[ ]  Non-repudiation guarantee evidence</w:t>
      </w:r>
    </w:p>
    <w:p>
      <w:pPr>
        <w:pStyle w:val="ListParagraph"/>
        <w:numPr>
          <w:ilvl w:val="0"/>
          <w:numId w:val="3"/>
        </w:numPr>
        <w:spacing w:after="60"/>
      </w:pPr>
      <w:r>
        <w:rPr>
          <w:rFonts w:ascii="Arial" w:cs="Arial" w:eastAsia="Arial" w:hAnsi="Arial"/>
          <w:color w:val="334155"/>
          <w:sz w:val="22"/>
          <w:szCs w:val="22"/>
        </w:rPr>
        <w:t xml:space="preserve">[ ]  Receipt pipeline uptime and completeness metrics</w:t>
      </w:r>
    </w:p>
    <w:p>
      <w:pPr>
        <w:pStyle w:val="ListParagraph"/>
        <w:numPr>
          <w:ilvl w:val="0"/>
          <w:numId w:val="3"/>
        </w:numPr>
        <w:spacing w:after="60"/>
      </w:pPr>
      <w:r>
        <w:rPr>
          <w:rFonts w:ascii="Arial" w:cs="Arial" w:eastAsia="Arial" w:hAnsi="Arial"/>
          <w:color w:val="334155"/>
          <w:sz w:val="22"/>
          <w:szCs w:val="22"/>
        </w:rPr>
        <w:t xml:space="preserve">[ ]  Cross-reference logs linking receipts to authority decisions</w:t>
      </w:r>
    </w:p>
    <w:p>
      <w:pPr>
        <w:pStyle w:val="ListParagraph"/>
        <w:numPr>
          <w:ilvl w:val="0"/>
          <w:numId w:val="3"/>
        </w:numPr>
        <w:spacing w:after="60"/>
      </w:pPr>
      <w:r>
        <w:rPr>
          <w:rFonts w:ascii="Arial" w:cs="Arial" w:eastAsia="Arial" w:hAnsi="Arial"/>
          <w:color w:val="334155"/>
          <w:sz w:val="22"/>
          <w:szCs w:val="22"/>
        </w:rPr>
        <w:t xml:space="preserve">[ ]  Tamper detection audit results</w:t>
      </w:r>
    </w:p>
    <w:p>
      <w:pPr>
        <w:pStyle w:val="ListParagraph"/>
        <w:numPr>
          <w:ilvl w:val="0"/>
          <w:numId w:val="3"/>
        </w:numPr>
        <w:spacing w:after="60"/>
      </w:pPr>
      <w:r>
        <w:rPr>
          <w:rFonts w:ascii="Arial" w:cs="Arial" w:eastAsia="Arial" w:hAnsi="Arial"/>
          <w:color w:val="334155"/>
          <w:sz w:val="22"/>
          <w:szCs w:val="22"/>
        </w:rPr>
        <w:t xml:space="preserve">[ ]  Receipt retention and archival policy compliance evidence</w:t>
      </w:r>
    </w:p>
    <w:p>
      <w:pPr>
        <w:spacing w:after="80"/>
      </w:pPr>
    </w:p>
    <w:p>
      <w:pPr>
        <w:pStyle w:val="Heading2"/>
      </w:pPr>
      <w:r>
        <w:rPr>
          <w:color w:val="0F172A"/>
        </w:rPr>
        <w:t xml:space="preserve">Drift Guard</w:t>
      </w:r>
    </w:p>
    <w:p>
      <w:pPr>
        <w:pStyle w:val="ListParagraph"/>
        <w:numPr>
          <w:ilvl w:val="0"/>
          <w:numId w:val="4"/>
        </w:numPr>
        <w:spacing w:after="60"/>
      </w:pPr>
      <w:r>
        <w:rPr>
          <w:rFonts w:ascii="Arial" w:cs="Arial" w:eastAsia="Arial" w:hAnsi="Arial"/>
          <w:color w:val="334155"/>
          <w:sz w:val="22"/>
          <w:szCs w:val="22"/>
        </w:rPr>
        <w:t xml:space="preserve">[ ]  Behavioral baseline snapshot documentation</w:t>
      </w:r>
    </w:p>
    <w:p>
      <w:pPr>
        <w:pStyle w:val="ListParagraph"/>
        <w:numPr>
          <w:ilvl w:val="0"/>
          <w:numId w:val="4"/>
        </w:numPr>
        <w:spacing w:after="60"/>
      </w:pPr>
      <w:r>
        <w:rPr>
          <w:rFonts w:ascii="Arial" w:cs="Arial" w:eastAsia="Arial" w:hAnsi="Arial"/>
          <w:color w:val="334155"/>
          <w:sz w:val="22"/>
          <w:szCs w:val="22"/>
        </w:rPr>
        <w:t xml:space="preserve">[ ]  Deviation detection threshold configuration records</w:t>
      </w:r>
    </w:p>
    <w:p>
      <w:pPr>
        <w:pStyle w:val="ListParagraph"/>
        <w:numPr>
          <w:ilvl w:val="0"/>
          <w:numId w:val="4"/>
        </w:numPr>
        <w:spacing w:after="60"/>
      </w:pPr>
      <w:r>
        <w:rPr>
          <w:rFonts w:ascii="Arial" w:cs="Arial" w:eastAsia="Arial" w:hAnsi="Arial"/>
          <w:color w:val="334155"/>
          <w:sz w:val="22"/>
          <w:szCs w:val="22"/>
        </w:rPr>
        <w:t xml:space="preserve">[ ]  Authority decay schedule and re-evaluation logs</w:t>
      </w:r>
    </w:p>
    <w:p>
      <w:pPr>
        <w:pStyle w:val="ListParagraph"/>
        <w:numPr>
          <w:ilvl w:val="0"/>
          <w:numId w:val="4"/>
        </w:numPr>
        <w:spacing w:after="60"/>
      </w:pPr>
      <w:r>
        <w:rPr>
          <w:rFonts w:ascii="Arial" w:cs="Arial" w:eastAsia="Arial" w:hAnsi="Arial"/>
          <w:color w:val="334155"/>
          <w:sz w:val="22"/>
          <w:szCs w:val="22"/>
        </w:rPr>
        <w:t xml:space="preserve">[ ]  Containment trigger activation records</w:t>
      </w:r>
    </w:p>
    <w:p>
      <w:pPr>
        <w:pStyle w:val="ListParagraph"/>
        <w:numPr>
          <w:ilvl w:val="0"/>
          <w:numId w:val="4"/>
        </w:numPr>
        <w:spacing w:after="60"/>
      </w:pPr>
      <w:r>
        <w:rPr>
          <w:rFonts w:ascii="Arial" w:cs="Arial" w:eastAsia="Arial" w:hAnsi="Arial"/>
          <w:color w:val="334155"/>
          <w:sz w:val="22"/>
          <w:szCs w:val="22"/>
        </w:rPr>
        <w:t xml:space="preserve">[ ]  Time-series constraint enforcement reports</w:t>
      </w:r>
    </w:p>
    <w:p>
      <w:pPr>
        <w:pStyle w:val="ListParagraph"/>
        <w:numPr>
          <w:ilvl w:val="0"/>
          <w:numId w:val="4"/>
        </w:numPr>
        <w:spacing w:after="60"/>
      </w:pPr>
      <w:r>
        <w:rPr>
          <w:rFonts w:ascii="Arial" w:cs="Arial" w:eastAsia="Arial" w:hAnsi="Arial"/>
          <w:color w:val="334155"/>
          <w:sz w:val="22"/>
          <w:szCs w:val="22"/>
        </w:rPr>
        <w:t xml:space="preserve">[ ]  Escalation path documentation and test results</w:t>
      </w:r>
    </w:p>
    <w:p>
      <w:pPr>
        <w:pStyle w:val="ListParagraph"/>
        <w:numPr>
          <w:ilvl w:val="0"/>
          <w:numId w:val="4"/>
        </w:numPr>
        <w:spacing w:after="60"/>
      </w:pPr>
      <w:r>
        <w:rPr>
          <w:rFonts w:ascii="Arial" w:cs="Arial" w:eastAsia="Arial" w:hAnsi="Arial"/>
          <w:color w:val="334155"/>
          <w:sz w:val="22"/>
          <w:szCs w:val="22"/>
        </w:rPr>
        <w:t xml:space="preserve">[ ]  Behavioral drift trend analysis over deployment lifetime</w:t>
      </w:r>
    </w:p>
    <w:p>
      <w:pPr>
        <w:pStyle w:val="ListParagraph"/>
        <w:numPr>
          <w:ilvl w:val="0"/>
          <w:numId w:val="4"/>
        </w:numPr>
        <w:spacing w:after="60"/>
      </w:pPr>
      <w:r>
        <w:rPr>
          <w:rFonts w:ascii="Arial" w:cs="Arial" w:eastAsia="Arial" w:hAnsi="Arial"/>
          <w:color w:val="334155"/>
          <w:sz w:val="22"/>
          <w:szCs w:val="22"/>
        </w:rPr>
        <w:t xml:space="preserve">[ ]  Standing execution path elimination evidence</w:t>
      </w:r>
    </w:p>
    <w:p>
      <w:pPr>
        <w:spacing w:after="80"/>
      </w:pPr>
    </w:p>
    <w:p>
      <w:pPr>
        <w:pStyle w:val="Heading2"/>
      </w:pPr>
      <w:r>
        <w:rPr>
          <w:color w:val="0F172A"/>
        </w:rPr>
        <w:t xml:space="preserve">Gated Substrate</w:t>
      </w:r>
    </w:p>
    <w:p>
      <w:pPr>
        <w:pStyle w:val="ListParagraph"/>
        <w:numPr>
          <w:ilvl w:val="0"/>
          <w:numId w:val="5"/>
        </w:numPr>
        <w:spacing w:after="60"/>
      </w:pPr>
      <w:r>
        <w:rPr>
          <w:rFonts w:ascii="Arial" w:cs="Arial" w:eastAsia="Arial" w:hAnsi="Arial"/>
          <w:color w:val="334155"/>
          <w:sz w:val="22"/>
          <w:szCs w:val="22"/>
        </w:rPr>
        <w:t xml:space="preserve">[ ]  Workload isolation configuration documentation</w:t>
      </w:r>
    </w:p>
    <w:p>
      <w:pPr>
        <w:pStyle w:val="ListParagraph"/>
        <w:numPr>
          <w:ilvl w:val="0"/>
          <w:numId w:val="5"/>
        </w:numPr>
        <w:spacing w:after="60"/>
      </w:pPr>
      <w:r>
        <w:rPr>
          <w:rFonts w:ascii="Arial" w:cs="Arial" w:eastAsia="Arial" w:hAnsi="Arial"/>
          <w:color w:val="334155"/>
          <w:sz w:val="22"/>
          <w:szCs w:val="22"/>
        </w:rPr>
        <w:t xml:space="preserve">[ ]  Tool boundary definitions and enforcement evidence</w:t>
      </w:r>
    </w:p>
    <w:p>
      <w:pPr>
        <w:pStyle w:val="ListParagraph"/>
        <w:numPr>
          <w:ilvl w:val="0"/>
          <w:numId w:val="5"/>
        </w:numPr>
        <w:spacing w:after="60"/>
      </w:pPr>
      <w:r>
        <w:rPr>
          <w:rFonts w:ascii="Arial" w:cs="Arial" w:eastAsia="Arial" w:hAnsi="Arial"/>
          <w:color w:val="334155"/>
          <w:sz w:val="22"/>
          <w:szCs w:val="22"/>
        </w:rPr>
        <w:t xml:space="preserve">[ ]  Capability removal verification (vs. restriction)</w:t>
      </w:r>
    </w:p>
    <w:p>
      <w:pPr>
        <w:pStyle w:val="ListParagraph"/>
        <w:numPr>
          <w:ilvl w:val="0"/>
          <w:numId w:val="5"/>
        </w:numPr>
        <w:spacing w:after="60"/>
      </w:pPr>
      <w:r>
        <w:rPr>
          <w:rFonts w:ascii="Arial" w:cs="Arial" w:eastAsia="Arial" w:hAnsi="Arial"/>
          <w:color w:val="334155"/>
          <w:sz w:val="22"/>
          <w:szCs w:val="22"/>
        </w:rPr>
        <w:t xml:space="preserve">[ ]  Cross-workload contamination test results</w:t>
      </w:r>
    </w:p>
    <w:p>
      <w:pPr>
        <w:pStyle w:val="ListParagraph"/>
        <w:numPr>
          <w:ilvl w:val="0"/>
          <w:numId w:val="5"/>
        </w:numPr>
        <w:spacing w:after="60"/>
      </w:pPr>
      <w:r>
        <w:rPr>
          <w:rFonts w:ascii="Arial" w:cs="Arial" w:eastAsia="Arial" w:hAnsi="Arial"/>
          <w:color w:val="334155"/>
          <w:sz w:val="22"/>
          <w:szCs w:val="22"/>
        </w:rPr>
        <w:t xml:space="preserve">[ ]  Substrate routing control evidence</w:t>
      </w:r>
    </w:p>
    <w:p>
      <w:pPr>
        <w:pStyle w:val="ListParagraph"/>
        <w:numPr>
          <w:ilvl w:val="0"/>
          <w:numId w:val="5"/>
        </w:numPr>
        <w:spacing w:after="60"/>
      </w:pPr>
      <w:r>
        <w:rPr>
          <w:rFonts w:ascii="Arial" w:cs="Arial" w:eastAsia="Arial" w:hAnsi="Arial"/>
          <w:color w:val="334155"/>
          <w:sz w:val="22"/>
          <w:szCs w:val="22"/>
        </w:rPr>
        <w:t xml:space="preserve">[ ]  Execution environment containment audit reports</w:t>
      </w:r>
    </w:p>
    <w:p>
      <w:pPr>
        <w:pStyle w:val="ListParagraph"/>
        <w:numPr>
          <w:ilvl w:val="0"/>
          <w:numId w:val="5"/>
        </w:numPr>
        <w:spacing w:after="60"/>
      </w:pPr>
      <w:r>
        <w:rPr>
          <w:rFonts w:ascii="Arial" w:cs="Arial" w:eastAsia="Arial" w:hAnsi="Arial"/>
          <w:color w:val="334155"/>
          <w:sz w:val="22"/>
          <w:szCs w:val="22"/>
        </w:rPr>
        <w:t xml:space="preserve">[ ]  Physical isolation architecture documentation</w:t>
      </w:r>
    </w:p>
    <w:p>
      <w:pPr>
        <w:pStyle w:val="ListParagraph"/>
        <w:numPr>
          <w:ilvl w:val="0"/>
          <w:numId w:val="5"/>
        </w:numPr>
        <w:spacing w:after="60"/>
      </w:pPr>
      <w:r>
        <w:rPr>
          <w:rFonts w:ascii="Arial" w:cs="Arial" w:eastAsia="Arial" w:hAnsi="Arial"/>
          <w:color w:val="334155"/>
          <w:sz w:val="22"/>
          <w:szCs w:val="22"/>
        </w:rPr>
        <w:t xml:space="preserve">[ ]  Blast radius containment test results</w:t>
      </w:r>
    </w:p>
    <w:p>
      <w:pPr>
        <w:spacing w:after="80"/>
      </w:pPr>
    </w:p>
    <w:p>
      <w:pPr>
        <w:spacing w:after="120"/>
      </w:pPr>
      <w:r>
        <w:rPr>
          <w:rFonts w:ascii="Arial" w:cs="Arial" w:eastAsia="Arial" w:hAnsi="Arial"/>
          <w:color w:val="334155"/>
          <w:sz w:val="22"/>
          <w:szCs w:val="22"/>
        </w:rPr>
        <w:t xml:space="preserve">Total evidence items: 32. Organizations producing fewer than 20 items should consider a Readiness Scan to identify critical gaps and prioritize remediation.</w:t>
      </w:r>
    </w:p>
    <w:p>
      <w:r>
        <w:br w:type="page"/>
      </w:r>
    </w:p>
    <w:p>
      <w:pPr>
        <w:pStyle w:val="Heading1"/>
      </w:pPr>
      <w:r>
        <w:rPr>
          <w:color w:val="0F172A"/>
        </w:rPr>
        <w:t xml:space="preserve">Go / No-Go Rubric</w:t>
      </w:r>
    </w:p>
    <w:p>
      <w:pPr>
        <w:spacing w:after="120"/>
      </w:pPr>
      <w:r>
        <w:rPr>
          <w:rFonts w:ascii="Arial" w:cs="Arial" w:eastAsia="Arial" w:hAnsi="Arial"/>
          <w:color w:val="334155"/>
          <w:sz w:val="22"/>
          <w:szCs w:val="22"/>
        </w:rPr>
        <w:t xml:space="preserve">Score each dimension 1-5 using the scale below. A total score below 24 (out of 40) indicates the organization is not ready for production AI deployment without significant governance hardening.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8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 enforcement exists. Advisory or manual process only.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8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Partial enforcement. Significant gaps. Non-deterministic.</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8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Enforcement exists but is not comprehensive or tested.</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8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Strong enforcement with minor gaps. Tested under normal conditions.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8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Full deterministic enforcement. Tested under adversarial conditions. Audit-grade.</w:t>
            </w:r>
          </w:p>
        </w:tc>
      </w:tr>
    </w:tbl>
    <w:p>
      <w:pPr>
        <w:spacing w:after="80"/>
      </w:pPr>
    </w:p>
    <w:p>
      <w:pPr>
        <w:pStyle w:val="Heading2"/>
      </w:pPr>
      <w:r>
        <w:rPr>
          <w:color w:val="0F172A"/>
        </w:rPr>
        <w:t xml:space="preserve">Scoring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Score (1-5)</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Authority Verification</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Pre-execution authority evaluation exists, is deterministic, and cannot be bypassed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Mutation Attestation</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Every state change produces a cryptographic receipt in an append-only ledger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Drift Detection</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Behavioral baselines exist and deviations trigger containment automatically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Substrate Isolation</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Execution environments are physically isolated with capability removal enforced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Audit Trail Completeness</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Full chain from authority decision through execution to receipt is reconstructable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Escalation Path Clarity</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Deterministic escalation paths exist for every threshold breach condition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Rollback Capability</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State recovery procedures exist and have been tested under failure conditions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Compliance Mapping</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Regulatory controls are mapped to enforcement layers with evidence artifacts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____</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32-40</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Governance-ready for production AI deployment</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Proceed with Readiness Scan for validation and optimization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24-31</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Partial readiness with addressable gaps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Readiness Scan recommended to identify and prioritize remediation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Below 24</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Not ready for production AI deployment</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Readiness Scan required before any production deployment</w:t>
            </w:r>
          </w:p>
        </w:tc>
      </w:tr>
    </w:tbl>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1"/>
      </w:pPr>
      <w:r>
        <w:rPr>
          <w:color w:val="0F172A"/>
        </w:rPr>
        <w:t xml:space="preserve">30 / 60 / 90 Hardening Roadmap</w:t>
      </w:r>
    </w:p>
    <w:p>
      <w:pPr>
        <w:spacing w:after="120"/>
      </w:pPr>
      <w:r>
        <w:rPr>
          <w:rFonts w:ascii="Arial" w:cs="Arial" w:eastAsia="Arial" w:hAnsi="Arial"/>
          <w:color w:val="334155"/>
          <w:sz w:val="22"/>
          <w:szCs w:val="22"/>
        </w:rPr>
        <w:t xml:space="preserve">Phased remediation plan aligned to the four-layer enforcement stack. Each phase builds on the prior, establishing enforcement primitives before expanding constraint scope. Adjust timelines based on organizational complexity and existing infrastructure.</w:t>
      </w:r>
    </w:p>
    <w:p>
      <w:pPr>
        <w:spacing w:after="40"/>
      </w:pPr>
    </w:p>
    <w:p>
      <w:pPr>
        <w:pStyle w:val="Heading2"/>
      </w:pPr>
      <w:r>
        <w:rPr>
          <w:color w:val="0F172A"/>
        </w:rPr>
        <w:t xml:space="preserve">Phase 1: Days 1-30  |  Foundation</w:t>
      </w:r>
    </w:p>
    <w:p>
      <w:pPr>
        <w:spacing w:after="100"/>
      </w:pPr>
      <w:r>
        <w:rPr>
          <w:rFonts w:ascii="Arial" w:cs="Arial" w:eastAsia="Arial" w:hAnsi="Arial"/>
          <w:b/>
          <w:bCs/>
          <w:color w:val="B87333"/>
          <w:sz w:val="22"/>
          <w:szCs w:val="22"/>
        </w:rPr>
        <w:t xml:space="preserve">Authority Gate + Receipt Infrastructure</w:t>
      </w:r>
    </w:p>
    <w:p>
      <w:pPr>
        <w:pStyle w:val="ListParagraph"/>
        <w:numPr>
          <w:ilvl w:val="0"/>
          <w:numId w:val="6"/>
        </w:numPr>
        <w:spacing w:after="60"/>
      </w:pPr>
      <w:r>
        <w:rPr>
          <w:rFonts w:ascii="Arial" w:cs="Arial" w:eastAsia="Arial" w:hAnsi="Arial"/>
          <w:color w:val="334155"/>
          <w:sz w:val="22"/>
          <w:szCs w:val="22"/>
        </w:rPr>
        <w:t xml:space="preserve">Audit all autonomous execution paths and identify ungoverned actions</w:t>
      </w:r>
    </w:p>
    <w:p>
      <w:pPr>
        <w:pStyle w:val="ListParagraph"/>
        <w:numPr>
          <w:ilvl w:val="0"/>
          <w:numId w:val="6"/>
        </w:numPr>
        <w:spacing w:after="60"/>
      </w:pPr>
      <w:r>
        <w:rPr>
          <w:rFonts w:ascii="Arial" w:cs="Arial" w:eastAsia="Arial" w:hAnsi="Arial"/>
          <w:color w:val="334155"/>
          <w:sz w:val="22"/>
          <w:szCs w:val="22"/>
        </w:rPr>
        <w:t xml:space="preserve">Implement pre-execution authority evaluation for highest-risk workflows</w:t>
      </w:r>
    </w:p>
    <w:p>
      <w:pPr>
        <w:pStyle w:val="ListParagraph"/>
        <w:numPr>
          <w:ilvl w:val="0"/>
          <w:numId w:val="6"/>
        </w:numPr>
        <w:spacing w:after="60"/>
      </w:pPr>
      <w:r>
        <w:rPr>
          <w:rFonts w:ascii="Arial" w:cs="Arial" w:eastAsia="Arial" w:hAnsi="Arial"/>
          <w:color w:val="334155"/>
          <w:sz w:val="22"/>
          <w:szCs w:val="22"/>
        </w:rPr>
        <w:t xml:space="preserve">Deploy fail-closed halt for actions without verified authority</w:t>
      </w:r>
    </w:p>
    <w:p>
      <w:pPr>
        <w:pStyle w:val="ListParagraph"/>
        <w:numPr>
          <w:ilvl w:val="0"/>
          <w:numId w:val="6"/>
        </w:numPr>
        <w:spacing w:after="60"/>
      </w:pPr>
      <w:r>
        <w:rPr>
          <w:rFonts w:ascii="Arial" w:cs="Arial" w:eastAsia="Arial" w:hAnsi="Arial"/>
          <w:color w:val="334155"/>
          <w:sz w:val="22"/>
          <w:szCs w:val="22"/>
        </w:rPr>
        <w:t xml:space="preserve">Establish append-only receipt ledger for state mutations</w:t>
      </w:r>
    </w:p>
    <w:p>
      <w:pPr>
        <w:pStyle w:val="ListParagraph"/>
        <w:numPr>
          <w:ilvl w:val="0"/>
          <w:numId w:val="6"/>
        </w:numPr>
        <w:spacing w:after="60"/>
      </w:pPr>
      <w:r>
        <w:rPr>
          <w:rFonts w:ascii="Arial" w:cs="Arial" w:eastAsia="Arial" w:hAnsi="Arial"/>
          <w:color w:val="334155"/>
          <w:sz w:val="22"/>
          <w:szCs w:val="22"/>
        </w:rPr>
        <w:t xml:space="preserve">Define receipt schema (action ID, authority chain, timestamp, hash, payload fingerprint)</w:t>
      </w:r>
    </w:p>
    <w:p>
      <w:pPr>
        <w:pStyle w:val="ListParagraph"/>
        <w:numPr>
          <w:ilvl w:val="0"/>
          <w:numId w:val="6"/>
        </w:numPr>
        <w:spacing w:after="60"/>
      </w:pPr>
      <w:r>
        <w:rPr>
          <w:rFonts w:ascii="Arial" w:cs="Arial" w:eastAsia="Arial" w:hAnsi="Arial"/>
          <w:color w:val="334155"/>
          <w:sz w:val="22"/>
          <w:szCs w:val="22"/>
        </w:rPr>
        <w:t xml:space="preserve">Integrate authority verification with existing IAM/SSO infrastructure</w:t>
      </w:r>
    </w:p>
    <w:p>
      <w:pPr>
        <w:pStyle w:val="ListParagraph"/>
        <w:numPr>
          <w:ilvl w:val="0"/>
          <w:numId w:val="6"/>
        </w:numPr>
        <w:spacing w:after="60"/>
      </w:pPr>
      <w:r>
        <w:rPr>
          <w:rFonts w:ascii="Arial" w:cs="Arial" w:eastAsia="Arial" w:hAnsi="Arial"/>
          <w:color w:val="334155"/>
          <w:sz w:val="22"/>
          <w:szCs w:val="22"/>
        </w:rPr>
        <w:t xml:space="preserve">Produce first compliance evidence artifacts from the Authority Gate layer</w:t>
      </w:r>
    </w:p>
    <w:p>
      <w:pPr>
        <w:spacing w:after="80"/>
      </w:pPr>
    </w:p>
    <w:p>
      <w:pPr>
        <w:pStyle w:val="Heading2"/>
      </w:pPr>
      <w:r>
        <w:rPr>
          <w:color w:val="0F172A"/>
        </w:rPr>
        <w:t xml:space="preserve">Phase 2: Days 31-60  |  Behavioral Constraint</w:t>
      </w:r>
    </w:p>
    <w:p>
      <w:pPr>
        <w:spacing w:after="100"/>
      </w:pPr>
      <w:r>
        <w:rPr>
          <w:rFonts w:ascii="Arial" w:cs="Arial" w:eastAsia="Arial" w:hAnsi="Arial"/>
          <w:b/>
          <w:bCs/>
          <w:color w:val="B87333"/>
          <w:sz w:val="22"/>
          <w:szCs w:val="22"/>
        </w:rPr>
        <w:t xml:space="preserve">Drift Guard + Behavioral Baselines</w:t>
      </w:r>
    </w:p>
    <w:p>
      <w:pPr>
        <w:pStyle w:val="ListParagraph"/>
        <w:numPr>
          <w:ilvl w:val="0"/>
          <w:numId w:val="7"/>
        </w:numPr>
        <w:spacing w:after="60"/>
      </w:pPr>
      <w:r>
        <w:rPr>
          <w:rFonts w:ascii="Arial" w:cs="Arial" w:eastAsia="Arial" w:hAnsi="Arial"/>
          <w:color w:val="334155"/>
          <w:sz w:val="22"/>
          <w:szCs w:val="22"/>
        </w:rPr>
        <w:t xml:space="preserve">Establish behavioral baselines for all governed AI workflows</w:t>
      </w:r>
    </w:p>
    <w:p>
      <w:pPr>
        <w:pStyle w:val="ListParagraph"/>
        <w:numPr>
          <w:ilvl w:val="0"/>
          <w:numId w:val="7"/>
        </w:numPr>
        <w:spacing w:after="60"/>
      </w:pPr>
      <w:r>
        <w:rPr>
          <w:rFonts w:ascii="Arial" w:cs="Arial" w:eastAsia="Arial" w:hAnsi="Arial"/>
          <w:color w:val="334155"/>
          <w:sz w:val="22"/>
          <w:szCs w:val="22"/>
        </w:rPr>
        <w:t xml:space="preserve">Configure deviation detection thresholds per workflow and risk tier</w:t>
      </w:r>
    </w:p>
    <w:p>
      <w:pPr>
        <w:pStyle w:val="ListParagraph"/>
        <w:numPr>
          <w:ilvl w:val="0"/>
          <w:numId w:val="7"/>
        </w:numPr>
        <w:spacing w:after="60"/>
      </w:pPr>
      <w:r>
        <w:rPr>
          <w:rFonts w:ascii="Arial" w:cs="Arial" w:eastAsia="Arial" w:hAnsi="Arial"/>
          <w:color w:val="334155"/>
          <w:sz w:val="22"/>
          <w:szCs w:val="22"/>
        </w:rPr>
        <w:t xml:space="preserve">Implement authority decay: no standing execution paths beyond defined TTL</w:t>
      </w:r>
    </w:p>
    <w:p>
      <w:pPr>
        <w:pStyle w:val="ListParagraph"/>
        <w:numPr>
          <w:ilvl w:val="0"/>
          <w:numId w:val="7"/>
        </w:numPr>
        <w:spacing w:after="60"/>
      </w:pPr>
      <w:r>
        <w:rPr>
          <w:rFonts w:ascii="Arial" w:cs="Arial" w:eastAsia="Arial" w:hAnsi="Arial"/>
          <w:color w:val="334155"/>
          <w:sz w:val="22"/>
          <w:szCs w:val="22"/>
        </w:rPr>
        <w:t xml:space="preserve">Deploy containment triggers for threshold breach conditions</w:t>
      </w:r>
    </w:p>
    <w:p>
      <w:pPr>
        <w:pStyle w:val="ListParagraph"/>
        <w:numPr>
          <w:ilvl w:val="0"/>
          <w:numId w:val="7"/>
        </w:numPr>
        <w:spacing w:after="60"/>
      </w:pPr>
      <w:r>
        <w:rPr>
          <w:rFonts w:ascii="Arial" w:cs="Arial" w:eastAsia="Arial" w:hAnsi="Arial"/>
          <w:color w:val="334155"/>
          <w:sz w:val="22"/>
          <w:szCs w:val="22"/>
        </w:rPr>
        <w:t xml:space="preserve">Define and test deterministic escalation paths for every anomaly class</w:t>
      </w:r>
    </w:p>
    <w:p>
      <w:pPr>
        <w:pStyle w:val="ListParagraph"/>
        <w:numPr>
          <w:ilvl w:val="0"/>
          <w:numId w:val="7"/>
        </w:numPr>
        <w:spacing w:after="60"/>
      </w:pPr>
      <w:r>
        <w:rPr>
          <w:rFonts w:ascii="Arial" w:cs="Arial" w:eastAsia="Arial" w:hAnsi="Arial"/>
          <w:color w:val="334155"/>
          <w:sz w:val="22"/>
          <w:szCs w:val="22"/>
        </w:rPr>
        <w:t xml:space="preserve">Extend receipt coverage to include behavioral deviation events</w:t>
      </w:r>
    </w:p>
    <w:p>
      <w:pPr>
        <w:pStyle w:val="ListParagraph"/>
        <w:numPr>
          <w:ilvl w:val="0"/>
          <w:numId w:val="7"/>
        </w:numPr>
        <w:spacing w:after="60"/>
      </w:pPr>
      <w:r>
        <w:rPr>
          <w:rFonts w:ascii="Arial" w:cs="Arial" w:eastAsia="Arial" w:hAnsi="Arial"/>
          <w:color w:val="334155"/>
          <w:sz w:val="22"/>
          <w:szCs w:val="22"/>
        </w:rPr>
        <w:t xml:space="preserve">Conduct first behavioral drift analysis across governed workflows</w:t>
      </w:r>
    </w:p>
    <w:p>
      <w:pPr>
        <w:spacing w:after="80"/>
      </w:pPr>
    </w:p>
    <w:p>
      <w:pPr>
        <w:pStyle w:val="Heading2"/>
      </w:pPr>
      <w:r>
        <w:rPr>
          <w:color w:val="0F172A"/>
        </w:rPr>
        <w:t xml:space="preserve">Phase 3: Days 61-90  |  Full Isolation</w:t>
      </w:r>
    </w:p>
    <w:p>
      <w:pPr>
        <w:spacing w:after="100"/>
      </w:pPr>
      <w:r>
        <w:rPr>
          <w:rFonts w:ascii="Arial" w:cs="Arial" w:eastAsia="Arial" w:hAnsi="Arial"/>
          <w:b/>
          <w:bCs/>
          <w:color w:val="B87333"/>
          <w:sz w:val="22"/>
          <w:szCs w:val="22"/>
        </w:rPr>
        <w:t xml:space="preserve">Gated Substrate + Complete Audit Trail</w:t>
      </w:r>
    </w:p>
    <w:p>
      <w:pPr>
        <w:pStyle w:val="ListParagraph"/>
        <w:numPr>
          <w:ilvl w:val="0"/>
          <w:numId w:val="8"/>
        </w:numPr>
        <w:spacing w:after="60"/>
      </w:pPr>
      <w:r>
        <w:rPr>
          <w:rFonts w:ascii="Arial" w:cs="Arial" w:eastAsia="Arial" w:hAnsi="Arial"/>
          <w:color w:val="334155"/>
          <w:sz w:val="22"/>
          <w:szCs w:val="22"/>
        </w:rPr>
        <w:t xml:space="preserve">Implement workload isolation for all production AI execution environments</w:t>
      </w:r>
    </w:p>
    <w:p>
      <w:pPr>
        <w:pStyle w:val="ListParagraph"/>
        <w:numPr>
          <w:ilvl w:val="0"/>
          <w:numId w:val="8"/>
        </w:numPr>
        <w:spacing w:after="60"/>
      </w:pPr>
      <w:r>
        <w:rPr>
          <w:rFonts w:ascii="Arial" w:cs="Arial" w:eastAsia="Arial" w:hAnsi="Arial"/>
          <w:color w:val="334155"/>
          <w:sz w:val="22"/>
          <w:szCs w:val="22"/>
        </w:rPr>
        <w:t xml:space="preserve">Enforce tool boundary definitions: capability removal, not restriction</w:t>
      </w:r>
    </w:p>
    <w:p>
      <w:pPr>
        <w:pStyle w:val="ListParagraph"/>
        <w:numPr>
          <w:ilvl w:val="0"/>
          <w:numId w:val="8"/>
        </w:numPr>
        <w:spacing w:after="60"/>
      </w:pPr>
      <w:r>
        <w:rPr>
          <w:rFonts w:ascii="Arial" w:cs="Arial" w:eastAsia="Arial" w:hAnsi="Arial"/>
          <w:color w:val="334155"/>
          <w:sz w:val="22"/>
          <w:szCs w:val="22"/>
        </w:rPr>
        <w:t xml:space="preserve">Test cross-workload contamination resistance under adversarial conditions</w:t>
      </w:r>
    </w:p>
    <w:p>
      <w:pPr>
        <w:pStyle w:val="ListParagraph"/>
        <w:numPr>
          <w:ilvl w:val="0"/>
          <w:numId w:val="8"/>
        </w:numPr>
        <w:spacing w:after="60"/>
      </w:pPr>
      <w:r>
        <w:rPr>
          <w:rFonts w:ascii="Arial" w:cs="Arial" w:eastAsia="Arial" w:hAnsi="Arial"/>
          <w:color w:val="334155"/>
          <w:sz w:val="22"/>
          <w:szCs w:val="22"/>
        </w:rPr>
        <w:t xml:space="preserve">Validate end-to-end audit trail from authority decision through receipt</w:t>
      </w:r>
    </w:p>
    <w:p>
      <w:pPr>
        <w:pStyle w:val="ListParagraph"/>
        <w:numPr>
          <w:ilvl w:val="0"/>
          <w:numId w:val="8"/>
        </w:numPr>
        <w:spacing w:after="60"/>
      </w:pPr>
      <w:r>
        <w:rPr>
          <w:rFonts w:ascii="Arial" w:cs="Arial" w:eastAsia="Arial" w:hAnsi="Arial"/>
          <w:color w:val="334155"/>
          <w:sz w:val="22"/>
          <w:szCs w:val="22"/>
        </w:rPr>
        <w:t xml:space="preserve">Map complete regulatory controls to enforcement layers with evidence</w:t>
      </w:r>
    </w:p>
    <w:p>
      <w:pPr>
        <w:pStyle w:val="ListParagraph"/>
        <w:numPr>
          <w:ilvl w:val="0"/>
          <w:numId w:val="8"/>
        </w:numPr>
        <w:spacing w:after="60"/>
      </w:pPr>
      <w:r>
        <w:rPr>
          <w:rFonts w:ascii="Arial" w:cs="Arial" w:eastAsia="Arial" w:hAnsi="Arial"/>
          <w:color w:val="334155"/>
          <w:sz w:val="22"/>
          <w:szCs w:val="22"/>
        </w:rPr>
        <w:t xml:space="preserve">Conduct full Go/No-Go rubric assessment (target score: 32+)</w:t>
      </w:r>
    </w:p>
    <w:p>
      <w:pPr>
        <w:pStyle w:val="ListParagraph"/>
        <w:numPr>
          <w:ilvl w:val="0"/>
          <w:numId w:val="8"/>
        </w:numPr>
        <w:spacing w:after="60"/>
      </w:pPr>
      <w:r>
        <w:rPr>
          <w:rFonts w:ascii="Arial" w:cs="Arial" w:eastAsia="Arial" w:hAnsi="Arial"/>
          <w:color w:val="334155"/>
          <w:sz w:val="22"/>
          <w:szCs w:val="22"/>
        </w:rPr>
        <w:t xml:space="preserve">Produce Governance Readiness Evidence Pack for compliance and board review</w:t>
      </w:r>
    </w:p>
    <w:p>
      <w:pPr>
        <w:spacing w:after="80"/>
      </w:pPr>
    </w:p>
    <w:p>
      <w:pPr>
        <w:spacing w:after="120"/>
      </w:pPr>
      <w:r>
        <w:rPr>
          <w:rFonts w:ascii="Arial" w:cs="Arial" w:eastAsia="Arial" w:hAnsi="Arial"/>
          <w:color w:val="334155"/>
          <w:sz w:val="22"/>
          <w:szCs w:val="22"/>
        </w:rPr>
        <w:t xml:space="preserve">This roadmap is a template. A Readiness Scan produces a customized, prioritized version based on your organization's specific infrastructure, risk posture, and regulatory requirements.</w:t>
      </w:r>
    </w:p>
    <w:p>
      <w:r>
        <w:br w:type="page"/>
      </w:r>
    </w:p>
    <w:p>
      <w:pPr>
        <w:pStyle w:val="Heading1"/>
      </w:pPr>
      <w:r>
        <w:rPr>
          <w:color w:val="0F172A"/>
        </w:rPr>
        <w:t xml:space="preserve">Runtime Governance Readiness Scan</w:t>
      </w:r>
    </w:p>
    <w:p>
      <w:pPr>
        <w:spacing w:after="120"/>
      </w:pPr>
      <w:r>
        <w:rPr>
          <w:rFonts w:ascii="Arial" w:cs="Arial" w:eastAsia="Arial" w:hAnsi="Arial"/>
          <w:color w:val="334155"/>
          <w:sz w:val="22"/>
          <w:szCs w:val="22"/>
        </w:rPr>
        <w:t xml:space="preserve">The Readiness Scan is a structured assessment that maps your organization's current AI governance posture against the four-layer enforcement stack, producing actionable remediation priorities and a customized hardening roadmap.</w:t>
      </w:r>
    </w:p>
    <w:p>
      <w:pPr>
        <w:spacing w:after="40"/>
      </w:pPr>
    </w:p>
    <w:p>
      <w:pPr>
        <w:pStyle w:val="Heading2"/>
      </w:pPr>
      <w:r>
        <w:rPr>
          <w:color w:val="0F172A"/>
        </w:rPr>
        <w:t xml:space="preserve">What the Scan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Control-Plane Gap Map</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Complete inventory of governed and ungoverned execution paths, mapped to enforcement layers with severity ratings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Failure-Mode Heatmap</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Visual map of failure modes by layer, probability, and blast radius. Identifies highest-risk ungoverned actions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Enforcement Checklist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Prioritized evidence and control requirements customized to your regulatory environment and infrastructure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30/60/90 Hardening Roadmap</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Phased remediation plan with specific milestones, resource estimates, and success criteria per enforcement layer</w:t>
            </w:r>
          </w:p>
        </w:tc>
      </w:tr>
    </w:tbl>
    <w:p>
      <w:pPr>
        <w:spacing w:after="80"/>
      </w:pPr>
    </w:p>
    <w:p>
      <w:pPr>
        <w:pStyle w:val="Heading2"/>
      </w:pPr>
      <w:r>
        <w:rPr>
          <w:color w:val="0F172A"/>
        </w:rPr>
        <w:t xml:space="preserve">Engagement Path</w:t>
      </w:r>
    </w:p>
    <w:p>
      <w:pPr>
        <w:spacing w:after="120"/>
      </w:pPr>
      <w:r>
        <w:rPr>
          <w:rFonts w:ascii="Arial" w:cs="Arial" w:eastAsia="Arial" w:hAnsi="Arial"/>
          <w:color w:val="334155"/>
          <w:sz w:val="22"/>
          <w:szCs w:val="22"/>
        </w:rPr>
        <w:t xml:space="preserve">The Readiness Scan routes into the Orion Intelligence Agency (OIA) implementation path: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960"/>
        <w:gridCol w:w="16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Engagement</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Investment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AI Readiness Sprint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 weeks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Gap assessment, prioritized remediation plan, enforcement architecture review</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$7,500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AI Hardening Engagement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6-10 weeks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Full enforcement stack implementation, testing, and compliance evidence production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$25K-$40K</w:t>
            </w:r>
          </w:p>
        </w:tc>
      </w:tr>
    </w:tbl>
    <w:p>
      <w:pPr>
        <w:spacing w:after="80"/>
      </w:pPr>
    </w:p>
    <w:p>
      <w:pPr>
        <w:pStyle w:val="Heading2"/>
      </w:pPr>
      <w:r>
        <w:rPr>
          <w:color w:val="0F172A"/>
        </w:rPr>
        <w:t xml:space="preserve">How to Book</w:t>
      </w:r>
    </w:p>
    <w:p>
      <w:pPr>
        <w:spacing w:after="100"/>
      </w:pPr>
      <w:r>
        <w:rPr>
          <w:rFonts w:ascii="Arial" w:cs="Arial" w:eastAsia="Arial" w:hAnsi="Arial"/>
          <w:b/>
          <w:bCs/>
          <w:color w:val="B87333"/>
          <w:sz w:val="22"/>
          <w:szCs w:val="22"/>
        </w:rPr>
        <w:t xml:space="preserve">Schedule your Readiness Scan at orionintelligenceagency.com/book</w:t>
      </w:r>
    </w:p>
    <w:p>
      <w:pPr>
        <w:spacing w:after="120"/>
      </w:pPr>
      <w:r>
        <w:rPr>
          <w:rFonts w:ascii="Arial" w:cs="Arial" w:eastAsia="Arial" w:hAnsi="Arial"/>
          <w:color w:val="334155"/>
          <w:sz w:val="22"/>
          <w:szCs w:val="22"/>
        </w:rPr>
        <w:t xml:space="preserve">Or contact Dan Mercede directly for enterprise scheduling.</w:t>
      </w:r>
    </w:p>
    <w:p>
      <w:pPr>
        <w:sectPr>
          <w:headerReference w:type="default" r:id="rId14"/>
          <w:footerReference w:type="default" r:id="rId15"/>
          <w:pgSz w:w="12240" w:h="15840" w:orient="portrait"/>
          <w:pgMar w:top="1440" w:right="1440" w:bottom="1440" w:left="1440" w:header="708" w:footer="708" w:gutter="0"/>
          <w:pgNumType/>
          <w:docGrid w:linePitch="360"/>
        </w:sectPr>
      </w:pPr>
    </w:p>
    <w:p>
      <w:pPr>
        <w:spacing w:after="600"/>
      </w:pPr>
    </w:p>
    <w:p>
      <w:pPr>
        <w:spacing w:after="600"/>
      </w:pPr>
    </w:p>
    <w:p>
      <w:pPr>
        <w:spacing w:after="100"/>
        <w:jc w:val="center"/>
      </w:pPr>
      <w:r>
        <w:rPr>
          <w:rFonts w:ascii="Arial" w:cs="Arial" w:eastAsia="Arial" w:hAnsi="Arial"/>
          <w:b/>
          <w:bCs/>
          <w:color w:val="0F172A"/>
          <w:sz w:val="36"/>
          <w:szCs w:val="36"/>
        </w:rPr>
        <w:t xml:space="preserve">DAN MERCEDE</w:t>
      </w:r>
    </w:p>
    <w:p>
      <w:pPr>
        <w:spacing w:after="60"/>
        <w:jc w:val="center"/>
      </w:pPr>
      <w:r>
        <w:rPr>
          <w:rFonts w:ascii="Arial" w:cs="Arial" w:eastAsia="Arial" w:hAnsi="Arial"/>
          <w:color w:val="334155"/>
          <w:sz w:val="22"/>
          <w:szCs w:val="22"/>
        </w:rPr>
        <w:t xml:space="preserve">Founder &amp; Systems Architect</w:t>
      </w:r>
    </w:p>
    <w:p>
      <w:pPr>
        <w:spacing w:after="200"/>
      </w:pPr>
    </w:p>
    <w:p>
      <w:pPr>
        <w:spacing w:after="80"/>
        <w:jc w:val="center"/>
      </w:pPr>
      <w:r>
        <w:rPr>
          <w:rFonts w:ascii="Arial" w:cs="Arial" w:eastAsia="Arial" w:hAnsi="Arial"/>
          <w:b/>
          <w:bCs/>
          <w:color w:val="B87333"/>
          <w:sz w:val="28"/>
          <w:szCs w:val="28"/>
        </w:rPr>
        <w:t xml:space="preserve">COSMOCRAT</w:t>
      </w:r>
    </w:p>
    <w:p>
      <w:pPr>
        <w:spacing w:after="60"/>
        <w:jc w:val="center"/>
      </w:pPr>
      <w:r>
        <w:rPr>
          <w:rFonts w:ascii="Arial" w:cs="Arial" w:eastAsia="Arial" w:hAnsi="Arial"/>
          <w:color w:val="334155"/>
          <w:sz w:val="20"/>
          <w:szCs w:val="20"/>
        </w:rPr>
        <w:t xml:space="preserve">Governed AI Operating System</w:t>
      </w:r>
    </w:p>
    <w:p>
      <w:pPr>
        <w:spacing w:after="20"/>
        <w:jc w:val="center"/>
      </w:pPr>
      <w:r>
        <w:rPr>
          <w:rFonts w:ascii="Arial" w:cs="Arial" w:eastAsia="Arial" w:hAnsi="Arial"/>
          <w:color w:val="334155"/>
          <w:sz w:val="20"/>
          <w:szCs w:val="20"/>
        </w:rPr>
        <w:t xml:space="preserve">cosmocrat.ai</w:t>
      </w:r>
    </w:p>
    <w:p>
      <w:pPr>
        <w:spacing w:after="100"/>
      </w:pPr>
    </w:p>
    <w:p>
      <w:pPr>
        <w:spacing w:after="80"/>
        <w:jc w:val="center"/>
      </w:pPr>
      <w:r>
        <w:rPr>
          <w:rFonts w:ascii="Arial" w:cs="Arial" w:eastAsia="Arial" w:hAnsi="Arial"/>
          <w:b/>
          <w:bCs/>
          <w:color w:val="B87333"/>
          <w:sz w:val="28"/>
          <w:szCs w:val="28"/>
        </w:rPr>
        <w:t xml:space="preserve">ORION INTELLIGENCE AGENCY</w:t>
      </w:r>
    </w:p>
    <w:p>
      <w:pPr>
        <w:spacing w:after="60"/>
        <w:jc w:val="center"/>
      </w:pPr>
      <w:r>
        <w:rPr>
          <w:rFonts w:ascii="Arial" w:cs="Arial" w:eastAsia="Arial" w:hAnsi="Arial"/>
          <w:color w:val="334155"/>
          <w:sz w:val="20"/>
          <w:szCs w:val="20"/>
        </w:rPr>
        <w:t xml:space="preserve">Enterprise AI Reliability Engineering</w:t>
      </w:r>
    </w:p>
    <w:p>
      <w:pPr>
        <w:spacing w:after="20"/>
        <w:jc w:val="center"/>
      </w:pPr>
      <w:r>
        <w:rPr>
          <w:rFonts w:ascii="Arial" w:cs="Arial" w:eastAsia="Arial" w:hAnsi="Arial"/>
          <w:color w:val="334155"/>
          <w:sz w:val="20"/>
          <w:szCs w:val="20"/>
        </w:rPr>
        <w:t xml:space="preserve">orionintelligenceagency.com</w:t>
      </w:r>
    </w:p>
    <w:p>
      <w:pPr>
        <w:spacing w:after="200"/>
      </w:pPr>
    </w:p>
    <w:p>
      <w:pPr>
        <w:spacing w:after="80"/>
        <w:jc w:val="center"/>
      </w:pPr>
      <w:r>
        <w:rPr>
          <w:rFonts w:ascii="Arial" w:cs="Arial" w:eastAsia="Arial" w:hAnsi="Arial"/>
          <w:b/>
          <w:bCs/>
          <w:color w:val="B87333"/>
          <w:sz w:val="24"/>
          <w:szCs w:val="24"/>
        </w:rPr>
        <w:t xml:space="preserve">Schedule Your Runtime Governance Readiness Scan</w:t>
      </w:r>
    </w:p>
    <w:p>
      <w:pPr>
        <w:spacing w:after="60"/>
        <w:jc w:val="center"/>
      </w:pPr>
      <w:r>
        <w:rPr>
          <w:rFonts w:ascii="Arial" w:cs="Arial" w:eastAsia="Arial" w:hAnsi="Arial"/>
          <w:color w:val="334155"/>
          <w:sz w:val="22"/>
          <w:szCs w:val="22"/>
        </w:rPr>
        <w:t xml:space="preserve">orionintelligenceagency.com/book</w:t>
      </w:r>
    </w:p>
    <w:p>
      <w:pPr>
        <w:spacing w:after="300"/>
      </w:pPr>
    </w:p>
    <w:p>
      <w:pPr>
        <w:spacing w:after="40"/>
        <w:jc w:val="center"/>
      </w:pPr>
      <w:r>
        <w:rPr>
          <w:rFonts w:ascii="Arial" w:cs="Arial" w:eastAsia="Arial" w:hAnsi="Arial"/>
          <w:color w:val="94A3B8"/>
          <w:sz w:val="18"/>
          <w:szCs w:val="18"/>
        </w:rPr>
        <w:t xml:space="preserve">danmercede.com  |  dan@orionapexcapital.com</w:t>
      </w:r>
    </w:p>
    <w:p>
      <w:pPr>
        <w:jc w:val="center"/>
      </w:pPr>
      <w:r>
        <w:rPr>
          <w:rFonts w:ascii="Arial" w:cs="Arial" w:eastAsia="Arial" w:hAnsi="Arial"/>
          <w:i/>
          <w:iCs/>
          <w:color w:val="B87333"/>
          <w:sz w:val="18"/>
          <w:szCs w:val="18"/>
        </w:rPr>
        <w:t xml:space="preserve">If governance is not enforced at runtime, it is not governance.</w:t>
      </w:r>
    </w:p>
    <w:sectPr>
      <w:headerReference w:type="default" r:id="rId16"/>
      <w:footerReference w:type="default" r:id="rId1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Dan Mercede  |  Governed AI OS  |  </w:t>
    </w:r>
    <w:r>
      <w:rPr>
        <w:color w:val="94A3B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Dan Mercede  |  Governed AI OS  |  </w:t>
    </w:r>
    <w:r>
      <w:rPr>
        <w:color w:val="94A3B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Dan Mercede  |  Governed AI OS  |  </w:t>
    </w:r>
    <w:r>
      <w:rPr>
        <w:color w:val="94A3B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Dan Mercede  |  Governed AI OS  |  </w:t>
    </w:r>
    <w:r>
      <w:rPr>
        <w:color w:val="94A3B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Dan Mercede  |  Governed AI OS  |  </w:t>
    </w:r>
    <w:r>
      <w:rPr>
        <w:color w:val="94A3B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Dan Mercede  |  Governed AI OS  |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GOVERNANCE READINESS EVIDENCE PACK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GOVERNANCE READINESS EVIDENCE PACK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GOVERNANCE READINESS EVIDENCE PACK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GOVERNANCE READINESS EVIDENCE PACK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GOVERNANCE READINESS EVIDENCE PACK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GOVERNANCE READINESS EVIDENCE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B87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2026-02-17T07:22:03.869Z</dcterms:created>
  <dcterms:modified xsi:type="dcterms:W3CDTF">2026-02-17T07:22:03.869Z</dcterms:modified>
</cp:coreProperties>
</file>

<file path=docProps/custom.xml><?xml version="1.0" encoding="utf-8"?>
<Properties xmlns="http://schemas.openxmlformats.org/officeDocument/2006/custom-properties" xmlns:vt="http://schemas.openxmlformats.org/officeDocument/2006/docPropsVTypes"/>
</file>