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center"/>
      </w:pPr>
      <w:r>
        <w:rPr>
          <w:rFonts w:ascii="Arial" w:cs="Arial" w:eastAsia="Arial" w:hAnsi="Arial"/>
          <w:b/>
          <w:bCs/>
          <w:caps/>
          <w:color w:val="B87333"/>
          <w:sz w:val="28"/>
          <w:szCs w:val="28"/>
        </w:rPr>
        <w:t xml:space="preserve">RUNTIME GOVERNANCE CASE STUDY</w:t>
      </w:r>
    </w:p>
    <w:p>
      <w:pPr>
        <w:spacing w:after="40"/>
        <w:jc w:val="center"/>
      </w:pPr>
      <w:r>
        <w:rPr>
          <w:rFonts w:ascii="Arial" w:cs="Arial" w:eastAsia="Arial" w:hAnsi="Arial"/>
          <w:b/>
          <w:bCs/>
          <w:color w:val="0F172A"/>
          <w:sz w:val="44"/>
          <w:szCs w:val="44"/>
        </w:rPr>
        <w:t xml:space="preserve">Financial Services</w:t>
      </w:r>
    </w:p>
    <w:p>
      <w:pPr>
        <w:spacing w:after="40"/>
        <w:jc w:val="center"/>
      </w:pPr>
      <w:r>
        <w:rPr>
          <w:rFonts w:ascii="Arial" w:cs="Arial" w:eastAsia="Arial" w:hAnsi="Arial"/>
          <w:color w:val="334155"/>
          <w:sz w:val="26"/>
          <w:szCs w:val="26"/>
        </w:rPr>
        <w:t xml:space="preserve">Agentic Document Processing</w:t>
      </w:r>
    </w:p>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none" w:color="FFFFFF" w:sz="0"/>
              <w:left w:val="none" w:color="FFFFFF" w:sz="0"/>
              <w:bottom w:val="single" w:color="B87333" w:sz="3"/>
              <w:right w:val="none" w:color="FFFFFF" w:sz="0"/>
            </w:tcBorders>
            <w:shd w:fill="FFFFFF" w:val="clear"/>
          </w:tcPr>
          <w:p>
            <w:pPr>
              <w:spacing w:after="0"/>
            </w:pPr>
          </w:p>
        </w:tc>
      </w:tr>
    </w:tbl>
    <w:p>
      <w:pPr>
        <w:spacing w:after="120"/>
      </w:pPr>
    </w:p>
    <w:p>
      <w:pPr>
        <w:jc w:val="center"/>
      </w:pPr>
      <w:r>
        <w:rPr>
          <w:rFonts w:ascii="Arial" w:cs="Arial" w:eastAsia="Arial" w:hAnsi="Arial"/>
          <w:color w:val="334155"/>
          <w:sz w:val="18"/>
          <w:szCs w:val="18"/>
        </w:rPr>
        <w:t xml:space="preserve">Anonymized  |  Dan Mercede  |  Orion Intelligence Agency</w:t>
      </w:r>
    </w:p>
    <w:p>
      <w:r>
        <w:br w:type="page"/>
      </w:r>
    </w:p>
    <w:p>
      <w:pPr>
        <w:pStyle w:val="Heading1"/>
        <w:spacing w:before="240" w:after="160"/>
      </w:pPr>
      <w:r>
        <w:rPr>
          <w:rFonts w:ascii="Arial" w:cs="Arial" w:eastAsia="Arial" w:hAnsi="Arial"/>
          <w:b/>
          <w:bCs/>
          <w:color w:val="B87333"/>
          <w:sz w:val="32"/>
          <w:szCs w:val="32"/>
        </w:rPr>
        <w:t xml:space="preserve">1. Problem Statement</w:t>
      </w:r>
    </w:p>
    <w:p>
      <w:pPr>
        <w:spacing w:after="120"/>
      </w:pPr>
      <w:r>
        <w:rPr>
          <w:rFonts w:ascii="Arial" w:cs="Arial" w:eastAsia="Arial" w:hAnsi="Arial"/>
          <w:color w:val="0F172A"/>
          <w:sz w:val="20"/>
          <w:szCs w:val="20"/>
        </w:rPr>
        <w:t xml:space="preserve">A mid-market financial services firm deployed agentic workflows for loan document processing with autonomous decisioning capabilities. The system processed applications, extracted data, validated documents, and triggered downstream mutations including credit checks and preliminary approvals.</w:t>
      </w:r>
    </w:p>
    <w:p>
      <w:pPr>
        <w:spacing w:after="200"/>
      </w:pPr>
    </w:p>
    <w:p>
      <w:pPr>
        <w:spacing w:after="120"/>
      </w:pPr>
      <w:r>
        <w:rPr>
          <w:rFonts w:ascii="Arial" w:cs="Arial" w:eastAsia="Arial" w:hAnsi="Arial"/>
          <w:b/>
          <w:bCs/>
          <w:color w:val="0F172A"/>
          <w:sz w:val="20"/>
          <w:szCs w:val="20"/>
        </w:rPr>
        <w:t xml:space="preserve">Governance Gap: </w:t>
      </w:r>
      <w:r>
        <w:rPr>
          <w:rFonts w:ascii="Arial" w:cs="Arial" w:eastAsia="Arial" w:hAnsi="Arial"/>
          <w:color w:val="334155"/>
          <w:sz w:val="20"/>
          <w:szCs w:val="20"/>
        </w:rPr>
        <w:t xml:space="preserve">No authority gate existed between agent intent and state mutation. Agents executed document processing actions without verifiable authorization. Mutation receipts were limited to application-level logs with no cryptographic attestation. The compliance team discovered unauthorized data mutations only during quarterly audits.</w:t>
      </w:r>
    </w:p>
    <w:p>
      <w:pPr>
        <w:spacing w:after="200"/>
      </w:pPr>
    </w:p>
    <w:p>
      <w:pPr>
        <w:spacing w:after="120"/>
      </w:pPr>
      <w:r>
        <w:rPr>
          <w:rFonts w:ascii="Arial" w:cs="Arial" w:eastAsia="Arial" w:hAnsi="Arial"/>
          <w:b/>
          <w:bCs/>
          <w:color w:val="0F172A"/>
          <w:sz w:val="20"/>
          <w:szCs w:val="20"/>
        </w:rPr>
        <w:t xml:space="preserve">Business Impact: </w:t>
      </w:r>
      <w:r>
        <w:rPr>
          <w:rFonts w:ascii="Arial" w:cs="Arial" w:eastAsia="Arial" w:hAnsi="Arial"/>
          <w:color w:val="334155"/>
          <w:sz w:val="20"/>
          <w:szCs w:val="20"/>
        </w:rPr>
        <w:t xml:space="preserve">Uncontrolled document processing created SOC 2 Type II audit exposure, regulatory liability for unauthorized data mutations on customer financial records, and a growing escalation burden as the compliance team manually reviewed agent actions post-hoc.</w:t>
      </w:r>
    </w:p>
    <w:p>
      <w:r>
        <w:br w:type="page"/>
      </w:r>
    </w:p>
    <w:p>
      <w:pPr>
        <w:pStyle w:val="Heading1"/>
        <w:spacing w:before="240" w:after="160"/>
      </w:pPr>
      <w:r>
        <w:rPr>
          <w:rFonts w:ascii="Arial" w:cs="Arial" w:eastAsia="Arial" w:hAnsi="Arial"/>
          <w:b/>
          <w:bCs/>
          <w:color w:val="B87333"/>
          <w:sz w:val="32"/>
          <w:szCs w:val="32"/>
        </w:rPr>
        <w:t xml:space="preserve">2. Risk Constraints</w:t>
      </w:r>
    </w:p>
    <w:p>
      <w:pPr>
        <w:pStyle w:val="ListParagraph"/>
        <w:numPr>
          <w:ilvl w:val="0"/>
          <w:numId w:val="2"/>
        </w:numPr>
        <w:spacing w:after="80"/>
      </w:pPr>
      <w:r>
        <w:rPr>
          <w:rFonts w:ascii="Arial" w:cs="Arial" w:eastAsia="Arial" w:hAnsi="Arial"/>
          <w:color w:val="0F172A"/>
          <w:sz w:val="20"/>
          <w:szCs w:val="20"/>
        </w:rPr>
        <w:t xml:space="preserve">SOC 2 Type II certification at risk due to insufficient AI execution controls</w:t>
      </w:r>
    </w:p>
    <w:p>
      <w:pPr>
        <w:pStyle w:val="ListParagraph"/>
        <w:numPr>
          <w:ilvl w:val="0"/>
          <w:numId w:val="2"/>
        </w:numPr>
        <w:spacing w:after="80"/>
      </w:pPr>
      <w:r>
        <w:rPr>
          <w:rFonts w:ascii="Arial" w:cs="Arial" w:eastAsia="Arial" w:hAnsi="Arial"/>
          <w:color w:val="0F172A"/>
          <w:sz w:val="20"/>
          <w:szCs w:val="20"/>
        </w:rPr>
        <w:t xml:space="preserve">Federal financial services regulations governing automated decisioning on customer data</w:t>
      </w:r>
    </w:p>
    <w:p>
      <w:pPr>
        <w:pStyle w:val="ListParagraph"/>
        <w:numPr>
          <w:ilvl w:val="0"/>
          <w:numId w:val="2"/>
        </w:numPr>
        <w:spacing w:after="80"/>
      </w:pPr>
      <w:r>
        <w:rPr>
          <w:rFonts w:ascii="Arial" w:cs="Arial" w:eastAsia="Arial" w:hAnsi="Arial"/>
          <w:color w:val="0F172A"/>
          <w:sz w:val="20"/>
          <w:szCs w:val="20"/>
        </w:rPr>
        <w:t xml:space="preserve">Customer data integrity risk across loan documents containing PII and financial records</w:t>
      </w:r>
    </w:p>
    <w:p>
      <w:pPr>
        <w:pStyle w:val="ListParagraph"/>
        <w:numPr>
          <w:ilvl w:val="0"/>
          <w:numId w:val="2"/>
        </w:numPr>
        <w:spacing w:after="80"/>
      </w:pPr>
      <w:r>
        <w:rPr>
          <w:rFonts w:ascii="Arial" w:cs="Arial" w:eastAsia="Arial" w:hAnsi="Arial"/>
          <w:color w:val="0F172A"/>
          <w:sz w:val="20"/>
          <w:szCs w:val="20"/>
        </w:rPr>
        <w:t xml:space="preserve">Blast radius: unauthorized mutation of loan data affecting downstream approval pipelines</w:t>
      </w:r>
    </w:p>
    <w:p>
      <w:pPr>
        <w:spacing w:after="200"/>
      </w:pPr>
    </w:p>
    <w:p>
      <w:pPr>
        <w:spacing w:after="120"/>
      </w:pPr>
      <w:r>
        <w:rPr>
          <w:rFonts w:ascii="Arial" w:cs="Arial" w:eastAsia="Arial" w:hAnsi="Arial"/>
          <w:b/>
          <w:bCs/>
          <w:color w:val="0F172A"/>
          <w:sz w:val="20"/>
          <w:szCs w:val="20"/>
        </w:rPr>
        <w:t xml:space="preserve">Financial Exposure Estimate: </w:t>
      </w:r>
      <w:r>
        <w:rPr>
          <w:rFonts w:ascii="Arial" w:cs="Arial" w:eastAsia="Arial" w:hAnsi="Arial"/>
          <w:color w:val="334155"/>
          <w:sz w:val="20"/>
          <w:szCs w:val="20"/>
        </w:rPr>
        <w:t xml:space="preserve">$3.2M annualized risk across regulatory fines, audit remediation costs, and potential customer data breach liability.</w:t>
      </w:r>
    </w:p>
    <w:p>
      <w:r>
        <w:br w:type="page"/>
      </w:r>
    </w:p>
    <w:p>
      <w:pPr>
        <w:pStyle w:val="Heading1"/>
        <w:spacing w:before="240" w:after="160"/>
      </w:pPr>
      <w:r>
        <w:rPr>
          <w:rFonts w:ascii="Arial" w:cs="Arial" w:eastAsia="Arial" w:hAnsi="Arial"/>
          <w:b/>
          <w:bCs/>
          <w:color w:val="B87333"/>
          <w:sz w:val="32"/>
          <w:szCs w:val="32"/>
        </w:rPr>
        <w:t xml:space="preserve">3. Baseline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BD5E1" w:sz="1"/>
              <w:left w:val="single" w:color="CBD5E1" w:sz="1"/>
              <w:bottom w:val="single" w:color="CBD5E1" w:sz="1"/>
              <w:right w:val="single" w:color="CBD5E1" w:sz="1"/>
            </w:tcBorders>
            <w:shd w:fill="1E293B" w:val="clear"/>
          </w:tcPr>
          <w:p>
            <w:pPr>
              <w:spacing w:before="40" w:after="40"/>
              <w:jc w:val="center"/>
            </w:pPr>
            <w:r>
              <w:rPr>
                <w:rFonts w:ascii="Arial" w:cs="Arial" w:eastAsia="Arial" w:hAnsi="Arial"/>
                <w:b/>
                <w:bCs/>
                <w:color w:val="FFFFFF"/>
                <w:sz w:val="18"/>
                <w:szCs w:val="18"/>
              </w:rPr>
              <w:t xml:space="preserve">Metric</w:t>
            </w:r>
          </w:p>
        </w:tc>
        <w:tc>
          <w:tcPr>
            <w:tcW w:type="dxa" w:w="2340"/>
            <w:tcBorders>
              <w:top w:val="single" w:color="CBD5E1" w:sz="1"/>
              <w:left w:val="single" w:color="CBD5E1" w:sz="1"/>
              <w:bottom w:val="single" w:color="CBD5E1" w:sz="1"/>
              <w:right w:val="single" w:color="CBD5E1" w:sz="1"/>
            </w:tcBorders>
            <w:shd w:fill="1E293B" w:val="clear"/>
          </w:tcPr>
          <w:p>
            <w:pPr>
              <w:spacing w:before="40" w:after="40"/>
              <w:jc w:val="center"/>
            </w:pPr>
            <w:r>
              <w:rPr>
                <w:rFonts w:ascii="Arial" w:cs="Arial" w:eastAsia="Arial" w:hAnsi="Arial"/>
                <w:b/>
                <w:bCs/>
                <w:color w:val="FFFFFF"/>
                <w:sz w:val="18"/>
                <w:szCs w:val="18"/>
              </w:rPr>
              <w:t xml:space="preserve">Baseline</w:t>
            </w:r>
          </w:p>
        </w:tc>
        <w:tc>
          <w:tcPr>
            <w:tcW w:type="dxa" w:w="2340"/>
            <w:tcBorders>
              <w:top w:val="single" w:color="CBD5E1" w:sz="1"/>
              <w:left w:val="single" w:color="CBD5E1" w:sz="1"/>
              <w:bottom w:val="single" w:color="CBD5E1" w:sz="1"/>
              <w:right w:val="single" w:color="CBD5E1" w:sz="1"/>
            </w:tcBorders>
            <w:shd w:fill="1E293B" w:val="clear"/>
          </w:tcPr>
          <w:p>
            <w:pPr>
              <w:spacing w:before="40" w:after="40"/>
              <w:jc w:val="center"/>
            </w:pPr>
            <w:r>
              <w:rPr>
                <w:rFonts w:ascii="Arial" w:cs="Arial" w:eastAsia="Arial" w:hAnsi="Arial"/>
                <w:b/>
                <w:bCs/>
                <w:color w:val="FFFFFF"/>
                <w:sz w:val="18"/>
                <w:szCs w:val="18"/>
              </w:rPr>
              <w:t xml:space="preserve">Post-Engagement</w:t>
            </w:r>
          </w:p>
        </w:tc>
        <w:tc>
          <w:tcPr>
            <w:tcW w:type="dxa" w:w="2340"/>
            <w:tcBorders>
              <w:top w:val="single" w:color="CBD5E1" w:sz="1"/>
              <w:left w:val="single" w:color="CBD5E1" w:sz="1"/>
              <w:bottom w:val="single" w:color="CBD5E1" w:sz="1"/>
              <w:right w:val="single" w:color="CBD5E1" w:sz="1"/>
            </w:tcBorders>
            <w:shd w:fill="1E293B" w:val="clear"/>
          </w:tcPr>
          <w:p>
            <w:pPr>
              <w:spacing w:before="40" w:after="40"/>
              <w:jc w:val="center"/>
            </w:pPr>
            <w:r>
              <w:rPr>
                <w:rFonts w:ascii="Arial" w:cs="Arial" w:eastAsia="Arial" w:hAnsi="Arial"/>
                <w:b/>
                <w:bCs/>
                <w:color w:val="FFFFFF"/>
                <w:sz w:val="18"/>
                <w:szCs w:val="18"/>
              </w:rPr>
              <w:t xml:space="preserve">Delta</w:t>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Cost Per Successful Task</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$12.40</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Escalation Rate</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34%</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Cycle Time</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4.2 hours</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Audit Coverage</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12%</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Drift Incidents / Month</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6</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Manual Oversight Hours / Week</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28</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
            </w:r>
          </w:p>
        </w:tc>
      </w:tr>
    </w:tbl>
    <w:p>
      <w:r>
        <w:br w:type="page"/>
      </w:r>
    </w:p>
    <w:p>
      <w:pPr>
        <w:pStyle w:val="Heading1"/>
        <w:spacing w:before="240" w:after="160"/>
      </w:pPr>
      <w:r>
        <w:rPr>
          <w:rFonts w:ascii="Arial" w:cs="Arial" w:eastAsia="Arial" w:hAnsi="Arial"/>
          <w:b/>
          <w:bCs/>
          <w:color w:val="B87333"/>
          <w:sz w:val="32"/>
          <w:szCs w:val="32"/>
        </w:rPr>
        <w:t xml:space="preserve">4. Failure-Mode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BD5E1" w:sz="1"/>
              <w:left w:val="single" w:color="CBD5E1" w:sz="1"/>
              <w:bottom w:val="single" w:color="CBD5E1" w:sz="1"/>
              <w:right w:val="single" w:color="CBD5E1" w:sz="1"/>
            </w:tcBorders>
            <w:shd w:fill="1E293B" w:val="clear"/>
          </w:tcPr>
          <w:p>
            <w:pPr>
              <w:spacing w:before="40" w:after="40"/>
            </w:pPr>
            <w:r>
              <w:rPr>
                <w:rFonts w:ascii="Arial" w:cs="Arial" w:eastAsia="Arial" w:hAnsi="Arial"/>
                <w:b/>
                <w:bCs/>
                <w:color w:val="FFFFFF"/>
                <w:sz w:val="18"/>
                <w:szCs w:val="18"/>
              </w:rPr>
              <w:t xml:space="preserve">Layer / Severity</w:t>
            </w:r>
          </w:p>
        </w:tc>
        <w:tc>
          <w:tcPr>
            <w:tcW w:type="dxa" w:w="6560"/>
            <w:tcBorders>
              <w:top w:val="single" w:color="CBD5E1" w:sz="1"/>
              <w:left w:val="single" w:color="CBD5E1" w:sz="1"/>
              <w:bottom w:val="single" w:color="CBD5E1" w:sz="1"/>
              <w:right w:val="single" w:color="CBD5E1" w:sz="1"/>
            </w:tcBorders>
            <w:shd w:fill="1E293B" w:val="clear"/>
          </w:tcPr>
          <w:p>
            <w:pPr>
              <w:spacing w:before="40" w:after="40"/>
            </w:pPr>
            <w:r>
              <w:rPr>
                <w:rFonts w:ascii="Arial" w:cs="Arial" w:eastAsia="Arial" w:hAnsi="Arial"/>
                <w:b/>
                <w:bCs/>
                <w:color w:val="FFFFFF"/>
                <w:sz w:val="18"/>
                <w:szCs w:val="18"/>
              </w:rPr>
              <w:t xml:space="preserve">Failure Modes</w:t>
            </w:r>
          </w:p>
        </w:tc>
      </w:tr>
      <w:tr>
        <w:tc>
          <w:tcPr>
            <w:tcW w:type="dxa" w:w="28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Authority Gate / CRITICAL</w:t>
            </w:r>
          </w:p>
        </w:tc>
        <w:tc>
          <w:tcPr>
            <w:tcW w:type="dxa" w:w="65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Agents executing loan mutations without IAM-verified authorization. No intent boundary between document extraction and downstream state changes.</w:t>
            </w:r>
          </w:p>
        </w:tc>
      </w:tr>
      <w:tr>
        <w:tc>
          <w:tcPr>
            <w:tcW w:type="dxa" w:w="28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Immutable Receipts / HIGH</w:t>
            </w:r>
          </w:p>
        </w:tc>
        <w:tc>
          <w:tcPr>
            <w:tcW w:type="dxa" w:w="65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Application logs only. No cryptographic attestation. Compliance team unable to prove non-repudiation for specific mutations.</w:t>
            </w:r>
          </w:p>
        </w:tc>
      </w:tr>
      <w:tr>
        <w:tc>
          <w:tcPr>
            <w:tcW w:type="dxa" w:w="28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Drift Guard / HIGH</w:t>
            </w:r>
          </w:p>
        </w:tc>
        <w:tc>
          <w:tcPr>
            <w:tcW w:type="dxa" w:w="65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Agent behavioral baselines never established. 90-day drift window with no detection. Privilege creep across document types.</w:t>
            </w:r>
          </w:p>
        </w:tc>
      </w:tr>
      <w:tr>
        <w:tc>
          <w:tcPr>
            <w:tcW w:type="dxa" w:w="28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Gated Substrate / MEDIUM</w:t>
            </w:r>
          </w:p>
        </w:tc>
        <w:tc>
          <w:tcPr>
            <w:tcW w:type="dxa" w:w="65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PII workloads shared execution environment with non-PII processing. No workload isolation.</w:t>
            </w:r>
          </w:p>
        </w:tc>
      </w:tr>
    </w:tbl>
    <w:p>
      <w:r>
        <w:br w:type="page"/>
      </w:r>
    </w:p>
    <w:p>
      <w:pPr>
        <w:pStyle w:val="Heading1"/>
        <w:spacing w:before="240" w:after="160"/>
      </w:pPr>
      <w:r>
        <w:rPr>
          <w:rFonts w:ascii="Arial" w:cs="Arial" w:eastAsia="Arial" w:hAnsi="Arial"/>
          <w:b/>
          <w:bCs/>
          <w:color w:val="B87333"/>
          <w:sz w:val="32"/>
          <w:szCs w:val="32"/>
        </w:rPr>
        <w:t xml:space="preserve">5. Gates / Guardrails Added</w:t>
      </w:r>
    </w:p>
    <w:p>
      <w:pPr>
        <w:pStyle w:val="Heading3"/>
        <w:spacing w:before="160" w:after="80"/>
      </w:pPr>
      <w:r>
        <w:rPr>
          <w:rFonts w:ascii="Arial" w:cs="Arial" w:eastAsia="Arial" w:hAnsi="Arial"/>
          <w:b/>
          <w:bCs/>
          <w:color w:val="334155"/>
          <w:sz w:val="22"/>
          <w:szCs w:val="22"/>
        </w:rPr>
        <w:t xml:space="preserve">Authority Gate (Layer 1)</w:t>
      </w:r>
    </w:p>
    <w:p>
      <w:pPr>
        <w:pStyle w:val="ListParagraph"/>
        <w:numPr>
          <w:ilvl w:val="0"/>
          <w:numId w:val="2"/>
        </w:numPr>
        <w:spacing w:after="80"/>
      </w:pPr>
      <w:r>
        <w:rPr>
          <w:rFonts w:ascii="Arial" w:cs="Arial" w:eastAsia="Arial" w:hAnsi="Arial"/>
          <w:color w:val="0F172A"/>
          <w:sz w:val="20"/>
          <w:szCs w:val="20"/>
        </w:rPr>
        <w:t xml:space="preserve">Integrated policy gating engine with existing IAM infrastructure</w:t>
      </w:r>
    </w:p>
    <w:p>
      <w:pPr>
        <w:pStyle w:val="ListParagraph"/>
        <w:numPr>
          <w:ilvl w:val="0"/>
          <w:numId w:val="2"/>
        </w:numPr>
        <w:spacing w:after="80"/>
      </w:pPr>
      <w:r>
        <w:rPr>
          <w:rFonts w:ascii="Arial" w:cs="Arial" w:eastAsia="Arial" w:hAnsi="Arial"/>
          <w:color w:val="0F172A"/>
          <w:sz w:val="20"/>
          <w:szCs w:val="20"/>
        </w:rPr>
        <w:t xml:space="preserve">Every loan document mutation requires verified authority token before execution</w:t>
      </w:r>
    </w:p>
    <w:p>
      <w:pPr>
        <w:pStyle w:val="ListParagraph"/>
        <w:numPr>
          <w:ilvl w:val="0"/>
          <w:numId w:val="2"/>
        </w:numPr>
        <w:spacing w:after="80"/>
      </w:pPr>
      <w:r>
        <w:rPr>
          <w:rFonts w:ascii="Arial" w:cs="Arial" w:eastAsia="Arial" w:hAnsi="Arial"/>
          <w:color w:val="0F172A"/>
          <w:sz w:val="20"/>
          <w:szCs w:val="20"/>
        </w:rPr>
        <w:t xml:space="preserve">Fail-closed configuration: unverified intent halts execution pipeline</w:t>
      </w:r>
    </w:p>
    <w:p>
      <w:pPr>
        <w:spacing w:after="200"/>
      </w:pPr>
    </w:p>
    <w:p>
      <w:pPr>
        <w:pStyle w:val="Heading3"/>
        <w:spacing w:before="160" w:after="80"/>
      </w:pPr>
      <w:r>
        <w:rPr>
          <w:rFonts w:ascii="Arial" w:cs="Arial" w:eastAsia="Arial" w:hAnsi="Arial"/>
          <w:b/>
          <w:bCs/>
          <w:color w:val="334155"/>
          <w:sz w:val="22"/>
          <w:szCs w:val="22"/>
        </w:rPr>
        <w:t xml:space="preserve">Immutable Receipts (Layer 2)</w:t>
      </w:r>
    </w:p>
    <w:p>
      <w:pPr>
        <w:pStyle w:val="ListParagraph"/>
        <w:numPr>
          <w:ilvl w:val="0"/>
          <w:numId w:val="2"/>
        </w:numPr>
        <w:spacing w:after="80"/>
      </w:pPr>
      <w:r>
        <w:rPr>
          <w:rFonts w:ascii="Arial" w:cs="Arial" w:eastAsia="Arial" w:hAnsi="Arial"/>
          <w:color w:val="0F172A"/>
          <w:sz w:val="20"/>
          <w:szCs w:val="20"/>
        </w:rPr>
        <w:t xml:space="preserve">Receipt pipeline deployed with cryptographic attestation for every state change</w:t>
      </w:r>
    </w:p>
    <w:p>
      <w:pPr>
        <w:pStyle w:val="ListParagraph"/>
        <w:numPr>
          <w:ilvl w:val="0"/>
          <w:numId w:val="2"/>
        </w:numPr>
        <w:spacing w:after="80"/>
      </w:pPr>
      <w:r>
        <w:rPr>
          <w:rFonts w:ascii="Arial" w:cs="Arial" w:eastAsia="Arial" w:hAnsi="Arial"/>
          <w:color w:val="0F172A"/>
          <w:sz w:val="20"/>
          <w:szCs w:val="20"/>
        </w:rPr>
        <w:t xml:space="preserve">SIEM integration for real-time receipt ingestion and alerting</w:t>
      </w:r>
    </w:p>
    <w:p>
      <w:pPr>
        <w:pStyle w:val="ListParagraph"/>
        <w:numPr>
          <w:ilvl w:val="0"/>
          <w:numId w:val="2"/>
        </w:numPr>
        <w:spacing w:after="80"/>
      </w:pPr>
      <w:r>
        <w:rPr>
          <w:rFonts w:ascii="Arial" w:cs="Arial" w:eastAsia="Arial" w:hAnsi="Arial"/>
          <w:color w:val="0F172A"/>
          <w:sz w:val="20"/>
          <w:szCs w:val="20"/>
        </w:rPr>
        <w:t xml:space="preserve">Non-repudiation chain established: every mutation traceable to authorizing principal</w:t>
      </w:r>
    </w:p>
    <w:p>
      <w:pPr>
        <w:spacing w:after="200"/>
      </w:pPr>
    </w:p>
    <w:p>
      <w:pPr>
        <w:pStyle w:val="Heading3"/>
        <w:spacing w:before="160" w:after="80"/>
      </w:pPr>
      <w:r>
        <w:rPr>
          <w:rFonts w:ascii="Arial" w:cs="Arial" w:eastAsia="Arial" w:hAnsi="Arial"/>
          <w:b/>
          <w:bCs/>
          <w:color w:val="334155"/>
          <w:sz w:val="22"/>
          <w:szCs w:val="22"/>
        </w:rPr>
        <w:t xml:space="preserve">Drift Guard (Layer 3)</w:t>
      </w:r>
    </w:p>
    <w:p>
      <w:pPr>
        <w:pStyle w:val="ListParagraph"/>
        <w:numPr>
          <w:ilvl w:val="0"/>
          <w:numId w:val="2"/>
        </w:numPr>
        <w:spacing w:after="80"/>
      </w:pPr>
      <w:r>
        <w:rPr>
          <w:rFonts w:ascii="Arial" w:cs="Arial" w:eastAsia="Arial" w:hAnsi="Arial"/>
          <w:color w:val="0F172A"/>
          <w:sz w:val="20"/>
          <w:szCs w:val="20"/>
        </w:rPr>
        <w:t xml:space="preserve">72-hour behavioral baselines established per agent workflow</w:t>
      </w:r>
    </w:p>
    <w:p>
      <w:pPr>
        <w:pStyle w:val="ListParagraph"/>
        <w:numPr>
          <w:ilvl w:val="0"/>
          <w:numId w:val="2"/>
        </w:numPr>
        <w:spacing w:after="80"/>
      </w:pPr>
      <w:r>
        <w:rPr>
          <w:rFonts w:ascii="Arial" w:cs="Arial" w:eastAsia="Arial" w:hAnsi="Arial"/>
          <w:color w:val="0F172A"/>
          <w:sz w:val="20"/>
          <w:szCs w:val="20"/>
        </w:rPr>
        <w:t xml:space="preserve">Authority decay intervals enforced: no standing execution paths beyond baseline window</w:t>
      </w:r>
    </w:p>
    <w:p>
      <w:pPr>
        <w:pStyle w:val="ListParagraph"/>
        <w:numPr>
          <w:ilvl w:val="0"/>
          <w:numId w:val="2"/>
        </w:numPr>
        <w:spacing w:after="80"/>
      </w:pPr>
      <w:r>
        <w:rPr>
          <w:rFonts w:ascii="Arial" w:cs="Arial" w:eastAsia="Arial" w:hAnsi="Arial"/>
          <w:color w:val="0F172A"/>
          <w:sz w:val="20"/>
          <w:szCs w:val="20"/>
        </w:rPr>
        <w:t xml:space="preserve">Automated freeze triggers on behavioral deviation beyond threshold</w:t>
      </w:r>
    </w:p>
    <w:p>
      <w:pPr>
        <w:spacing w:after="200"/>
      </w:pPr>
    </w:p>
    <w:p>
      <w:pPr>
        <w:pStyle w:val="Heading3"/>
        <w:spacing w:before="160" w:after="80"/>
      </w:pPr>
      <w:r>
        <w:rPr>
          <w:rFonts w:ascii="Arial" w:cs="Arial" w:eastAsia="Arial" w:hAnsi="Arial"/>
          <w:b/>
          <w:bCs/>
          <w:color w:val="334155"/>
          <w:sz w:val="22"/>
          <w:szCs w:val="22"/>
        </w:rPr>
        <w:t xml:space="preserve">Gated Substrate (Layer 4)</w:t>
      </w:r>
    </w:p>
    <w:p>
      <w:pPr>
        <w:pStyle w:val="ListParagraph"/>
        <w:numPr>
          <w:ilvl w:val="0"/>
          <w:numId w:val="2"/>
        </w:numPr>
        <w:spacing w:after="80"/>
      </w:pPr>
      <w:r>
        <w:rPr>
          <w:rFonts w:ascii="Arial" w:cs="Arial" w:eastAsia="Arial" w:hAnsi="Arial"/>
          <w:color w:val="0F172A"/>
          <w:sz w:val="20"/>
          <w:szCs w:val="20"/>
        </w:rPr>
        <w:t xml:space="preserve">PII workloads isolated to dedicated execution substrate</w:t>
      </w:r>
    </w:p>
    <w:p>
      <w:pPr>
        <w:pStyle w:val="ListParagraph"/>
        <w:numPr>
          <w:ilvl w:val="0"/>
          <w:numId w:val="2"/>
        </w:numPr>
        <w:spacing w:after="80"/>
      </w:pPr>
      <w:r>
        <w:rPr>
          <w:rFonts w:ascii="Arial" w:cs="Arial" w:eastAsia="Arial" w:hAnsi="Arial"/>
          <w:color w:val="0F172A"/>
          <w:sz w:val="20"/>
          <w:szCs w:val="20"/>
        </w:rPr>
        <w:t xml:space="preserve">Tool boundary redesign: document extraction agents cannot directly invoke approval pipelines</w:t>
      </w:r>
    </w:p>
    <w:p>
      <w:pPr>
        <w:pStyle w:val="ListParagraph"/>
        <w:numPr>
          <w:ilvl w:val="0"/>
          <w:numId w:val="2"/>
        </w:numPr>
        <w:spacing w:after="80"/>
      </w:pPr>
      <w:r>
        <w:rPr>
          <w:rFonts w:ascii="Arial" w:cs="Arial" w:eastAsia="Arial" w:hAnsi="Arial"/>
          <w:color w:val="0F172A"/>
          <w:sz w:val="20"/>
          <w:szCs w:val="20"/>
        </w:rPr>
        <w:t xml:space="preserve">Capability inventory: unused tool access revoked across all agent profiles</w:t>
      </w:r>
    </w:p>
    <w:p>
      <w:r>
        <w:br w:type="page"/>
      </w:r>
    </w:p>
    <w:p>
      <w:pPr>
        <w:pStyle w:val="Heading1"/>
        <w:spacing w:before="240" w:after="160"/>
      </w:pPr>
      <w:r>
        <w:rPr>
          <w:rFonts w:ascii="Arial" w:cs="Arial" w:eastAsia="Arial" w:hAnsi="Arial"/>
          <w:b/>
          <w:bCs/>
          <w:color w:val="B87333"/>
          <w:sz w:val="32"/>
          <w:szCs w:val="32"/>
        </w:rPr>
        <w:t xml:space="preserve">6. Evidence Shipped</w:t>
      </w:r>
    </w:p>
    <w:p>
      <w:pPr>
        <w:pStyle w:val="ListParagraph"/>
        <w:numPr>
          <w:ilvl w:val="0"/>
          <w:numId w:val="2"/>
        </w:numPr>
        <w:spacing w:after="80"/>
      </w:pPr>
      <w:r>
        <w:rPr>
          <w:rFonts w:ascii="Arial" w:cs="Arial" w:eastAsia="Arial" w:hAnsi="Arial"/>
          <w:color w:val="0F172A"/>
          <w:sz w:val="20"/>
          <w:szCs w:val="20"/>
        </w:rPr>
        <w:t xml:space="preserve">Risk register: 23 failure modes scored across four enforcement layers</w:t>
      </w:r>
    </w:p>
    <w:p>
      <w:pPr>
        <w:pStyle w:val="ListParagraph"/>
        <w:numPr>
          <w:ilvl w:val="0"/>
          <w:numId w:val="2"/>
        </w:numPr>
        <w:spacing w:after="80"/>
      </w:pPr>
      <w:r>
        <w:rPr>
          <w:rFonts w:ascii="Arial" w:cs="Arial" w:eastAsia="Arial" w:hAnsi="Arial"/>
          <w:color w:val="0F172A"/>
          <w:sz w:val="20"/>
          <w:szCs w:val="20"/>
        </w:rPr>
        <w:t xml:space="preserve">Controls map: 14 enforcement points mapped to SOC 2 control objectives</w:t>
      </w:r>
    </w:p>
    <w:p>
      <w:pPr>
        <w:pStyle w:val="ListParagraph"/>
        <w:numPr>
          <w:ilvl w:val="0"/>
          <w:numId w:val="2"/>
        </w:numPr>
        <w:spacing w:after="80"/>
      </w:pPr>
      <w:r>
        <w:rPr>
          <w:rFonts w:ascii="Arial" w:cs="Arial" w:eastAsia="Arial" w:hAnsi="Arial"/>
          <w:color w:val="0F172A"/>
          <w:sz w:val="20"/>
          <w:szCs w:val="20"/>
        </w:rPr>
        <w:t xml:space="preserve">Evidence checklist: 31 audit-ready artifacts cataloged and indexed</w:t>
      </w:r>
    </w:p>
    <w:p>
      <w:pPr>
        <w:pStyle w:val="ListParagraph"/>
        <w:numPr>
          <w:ilvl w:val="0"/>
          <w:numId w:val="2"/>
        </w:numPr>
        <w:spacing w:after="80"/>
      </w:pPr>
      <w:r>
        <w:rPr>
          <w:rFonts w:ascii="Arial" w:cs="Arial" w:eastAsia="Arial" w:hAnsi="Arial"/>
          <w:color w:val="0F172A"/>
          <w:sz w:val="20"/>
          <w:szCs w:val="20"/>
        </w:rPr>
        <w:t xml:space="preserve">Go/no-go deployment rubric with enforcement gate status per layer</w:t>
      </w:r>
    </w:p>
    <w:p>
      <w:pPr>
        <w:pStyle w:val="ListParagraph"/>
        <w:numPr>
          <w:ilvl w:val="0"/>
          <w:numId w:val="2"/>
        </w:numPr>
        <w:spacing w:after="80"/>
      </w:pPr>
      <w:r>
        <w:rPr>
          <w:rFonts w:ascii="Arial" w:cs="Arial" w:eastAsia="Arial" w:hAnsi="Arial"/>
          <w:color w:val="0F172A"/>
          <w:sz w:val="20"/>
          <w:szCs w:val="20"/>
        </w:rPr>
        <w:t xml:space="preserve">30/60/90-day hardening roadmap with phased enforcement milestones</w:t>
      </w:r>
    </w:p>
    <w:p>
      <w:pPr>
        <w:pStyle w:val="ListParagraph"/>
        <w:numPr>
          <w:ilvl w:val="0"/>
          <w:numId w:val="2"/>
        </w:numPr>
        <w:spacing w:after="80"/>
      </w:pPr>
      <w:r>
        <w:rPr>
          <w:rFonts w:ascii="Arial" w:cs="Arial" w:eastAsia="Arial" w:hAnsi="Arial"/>
          <w:color w:val="0F172A"/>
          <w:sz w:val="20"/>
          <w:szCs w:val="20"/>
        </w:rPr>
        <w:t xml:space="preserve">Receipt samples: 12 attestation chain examples for auditor review</w:t>
      </w:r>
    </w:p>
    <w:p>
      <w:pPr>
        <w:pStyle w:val="ListParagraph"/>
        <w:numPr>
          <w:ilvl w:val="0"/>
          <w:numId w:val="2"/>
        </w:numPr>
        <w:spacing w:after="80"/>
      </w:pPr>
      <w:r>
        <w:rPr>
          <w:rFonts w:ascii="Arial" w:cs="Arial" w:eastAsia="Arial" w:hAnsi="Arial"/>
          <w:color w:val="0F172A"/>
          <w:sz w:val="20"/>
          <w:szCs w:val="20"/>
        </w:rPr>
        <w:t xml:space="preserve">Drift Guard configuration documentation with baseline parameters</w:t>
      </w:r>
    </w:p>
    <w:p>
      <w:r>
        <w:br w:type="page"/>
      </w:r>
    </w:p>
    <w:p>
      <w:pPr>
        <w:pStyle w:val="Heading1"/>
        <w:spacing w:before="240" w:after="160"/>
      </w:pPr>
      <w:r>
        <w:rPr>
          <w:rFonts w:ascii="Arial" w:cs="Arial" w:eastAsia="Arial" w:hAnsi="Arial"/>
          <w:b/>
          <w:bCs/>
          <w:color w:val="B87333"/>
          <w:sz w:val="32"/>
          <w:szCs w:val="32"/>
        </w:rPr>
        <w:t xml:space="preserve">7. Post-Engagement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BD5E1" w:sz="1"/>
              <w:left w:val="single" w:color="CBD5E1" w:sz="1"/>
              <w:bottom w:val="single" w:color="CBD5E1" w:sz="1"/>
              <w:right w:val="single" w:color="CBD5E1" w:sz="1"/>
            </w:tcBorders>
            <w:shd w:fill="1E293B" w:val="clear"/>
          </w:tcPr>
          <w:p>
            <w:pPr>
              <w:spacing w:before="40" w:after="40"/>
              <w:jc w:val="center"/>
            </w:pPr>
            <w:r>
              <w:rPr>
                <w:rFonts w:ascii="Arial" w:cs="Arial" w:eastAsia="Arial" w:hAnsi="Arial"/>
                <w:b/>
                <w:bCs/>
                <w:color w:val="FFFFFF"/>
                <w:sz w:val="18"/>
                <w:szCs w:val="18"/>
              </w:rPr>
              <w:t xml:space="preserve">Metric</w:t>
            </w:r>
          </w:p>
        </w:tc>
        <w:tc>
          <w:tcPr>
            <w:tcW w:type="dxa" w:w="2340"/>
            <w:tcBorders>
              <w:top w:val="single" w:color="CBD5E1" w:sz="1"/>
              <w:left w:val="single" w:color="CBD5E1" w:sz="1"/>
              <w:bottom w:val="single" w:color="CBD5E1" w:sz="1"/>
              <w:right w:val="single" w:color="CBD5E1" w:sz="1"/>
            </w:tcBorders>
            <w:shd w:fill="1E293B" w:val="clear"/>
          </w:tcPr>
          <w:p>
            <w:pPr>
              <w:spacing w:before="40" w:after="40"/>
              <w:jc w:val="center"/>
            </w:pPr>
            <w:r>
              <w:rPr>
                <w:rFonts w:ascii="Arial" w:cs="Arial" w:eastAsia="Arial" w:hAnsi="Arial"/>
                <w:b/>
                <w:bCs/>
                <w:color w:val="FFFFFF"/>
                <w:sz w:val="18"/>
                <w:szCs w:val="18"/>
              </w:rPr>
              <w:t xml:space="preserve">Baseline</w:t>
            </w:r>
          </w:p>
        </w:tc>
        <w:tc>
          <w:tcPr>
            <w:tcW w:type="dxa" w:w="2340"/>
            <w:tcBorders>
              <w:top w:val="single" w:color="CBD5E1" w:sz="1"/>
              <w:left w:val="single" w:color="CBD5E1" w:sz="1"/>
              <w:bottom w:val="single" w:color="CBD5E1" w:sz="1"/>
              <w:right w:val="single" w:color="CBD5E1" w:sz="1"/>
            </w:tcBorders>
            <w:shd w:fill="1E293B" w:val="clear"/>
          </w:tcPr>
          <w:p>
            <w:pPr>
              <w:spacing w:before="40" w:after="40"/>
              <w:jc w:val="center"/>
            </w:pPr>
            <w:r>
              <w:rPr>
                <w:rFonts w:ascii="Arial" w:cs="Arial" w:eastAsia="Arial" w:hAnsi="Arial"/>
                <w:b/>
                <w:bCs/>
                <w:color w:val="FFFFFF"/>
                <w:sz w:val="18"/>
                <w:szCs w:val="18"/>
              </w:rPr>
              <w:t xml:space="preserve">Post-Engagement</w:t>
            </w:r>
          </w:p>
        </w:tc>
        <w:tc>
          <w:tcPr>
            <w:tcW w:type="dxa" w:w="2340"/>
            <w:tcBorders>
              <w:top w:val="single" w:color="CBD5E1" w:sz="1"/>
              <w:left w:val="single" w:color="CBD5E1" w:sz="1"/>
              <w:bottom w:val="single" w:color="CBD5E1" w:sz="1"/>
              <w:right w:val="single" w:color="CBD5E1" w:sz="1"/>
            </w:tcBorders>
            <w:shd w:fill="1E293B" w:val="clear"/>
          </w:tcPr>
          <w:p>
            <w:pPr>
              <w:spacing w:before="40" w:after="40"/>
              <w:jc w:val="center"/>
            </w:pPr>
            <w:r>
              <w:rPr>
                <w:rFonts w:ascii="Arial" w:cs="Arial" w:eastAsia="Arial" w:hAnsi="Arial"/>
                <w:b/>
                <w:bCs/>
                <w:color w:val="FFFFFF"/>
                <w:sz w:val="18"/>
                <w:szCs w:val="18"/>
              </w:rPr>
              <w:t xml:space="preserve">Delta</w:t>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Cost Per Successful Task</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$12.40</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$4.80</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-61%</w:t>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Escalation Rate</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34%</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8%</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-76%</w:t>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Cycle Time</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4.2 hours</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1.8 hours</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-57%</w:t>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Audit Coverage</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12%</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97%</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+85 pts</w:t>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Drift Incidents / Month</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6</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0</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-100%</w:t>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Manual Oversight Hours / Week</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28</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6</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-79%</w:t>
            </w:r>
          </w:p>
        </w:tc>
      </w:tr>
    </w:tbl>
    <w:p>
      <w:pPr>
        <w:spacing w:after="200"/>
      </w:pPr>
    </w:p>
    <w:p>
      <w:pPr>
        <w:pStyle w:val="Heading3"/>
        <w:spacing w:before="160" w:after="80"/>
      </w:pPr>
      <w:r>
        <w:rPr>
          <w:rFonts w:ascii="Arial" w:cs="Arial" w:eastAsia="Arial" w:hAnsi="Arial"/>
          <w:b/>
          <w:bCs/>
          <w:color w:val="334155"/>
          <w:sz w:val="22"/>
          <w:szCs w:val="22"/>
        </w:rPr>
        <w:t xml:space="preserve">ROI Scorecard</w:t>
      </w:r>
    </w:p>
    <w:p>
      <w:pPr>
        <w:spacing w:after="120"/>
      </w:pPr>
      <w:r>
        <w:rPr>
          <w:rFonts w:ascii="Arial" w:cs="Arial" w:eastAsia="Arial" w:hAnsi="Arial"/>
          <w:b/>
          <w:bCs/>
          <w:color w:val="0F172A"/>
          <w:sz w:val="20"/>
          <w:szCs w:val="20"/>
        </w:rPr>
        <w:t xml:space="preserve">Annualized Risk Reduction: </w:t>
      </w:r>
      <w:r>
        <w:rPr>
          <w:rFonts w:ascii="Arial" w:cs="Arial" w:eastAsia="Arial" w:hAnsi="Arial"/>
          <w:color w:val="334155"/>
          <w:sz w:val="20"/>
          <w:szCs w:val="20"/>
        </w:rPr>
        <w:t xml:space="preserve">$2.1M (regulatory fines averted, audit remediation eliminated, manual oversight recovered)</w:t>
      </w:r>
    </w:p>
    <w:p>
      <w:pPr>
        <w:spacing w:after="120"/>
      </w:pPr>
      <w:r>
        <w:rPr>
          <w:rFonts w:ascii="Arial" w:cs="Arial" w:eastAsia="Arial" w:hAnsi="Arial"/>
          <w:b/>
          <w:bCs/>
          <w:color w:val="0F172A"/>
          <w:sz w:val="20"/>
          <w:szCs w:val="20"/>
        </w:rPr>
        <w:t xml:space="preserve">Audit Outcome: </w:t>
      </w:r>
      <w:r>
        <w:rPr>
          <w:rFonts w:ascii="Arial" w:cs="Arial" w:eastAsia="Arial" w:hAnsi="Arial"/>
          <w:color w:val="334155"/>
          <w:sz w:val="20"/>
          <w:szCs w:val="20"/>
        </w:rPr>
        <w:t xml:space="preserve">SOC 2 Type II audit passed with zero AI-related findings</w:t>
      </w:r>
    </w:p>
    <w:p>
      <w:pPr>
        <w:spacing w:after="120"/>
      </w:pPr>
      <w:r>
        <w:rPr>
          <w:rFonts w:ascii="Arial" w:cs="Arial" w:eastAsia="Arial" w:hAnsi="Arial"/>
          <w:b/>
          <w:bCs/>
          <w:color w:val="0F172A"/>
          <w:sz w:val="20"/>
          <w:szCs w:val="20"/>
        </w:rPr>
        <w:t xml:space="preserve">Deployment Status: </w:t>
      </w:r>
      <w:r>
        <w:rPr>
          <w:rFonts w:ascii="Arial" w:cs="Arial" w:eastAsia="Arial" w:hAnsi="Arial"/>
          <w:color w:val="334155"/>
          <w:sz w:val="20"/>
          <w:szCs w:val="20"/>
        </w:rPr>
        <w:t xml:space="preserve">Full four-layer enforcement stack operational in production</w:t>
      </w:r>
    </w:p>
    <w:p>
      <w:r>
        <w:br w:type="page"/>
      </w:r>
    </w:p>
    <w:p>
      <w:pPr>
        <w:pStyle w:val="Heading1"/>
        <w:spacing w:before="240" w:after="160"/>
      </w:pPr>
      <w:r>
        <w:rPr>
          <w:rFonts w:ascii="Arial" w:cs="Arial" w:eastAsia="Arial" w:hAnsi="Arial"/>
          <w:b/>
          <w:bCs/>
          <w:color w:val="B87333"/>
          <w:sz w:val="32"/>
          <w:szCs w:val="32"/>
        </w:rPr>
        <w:t xml:space="preserve">8. Executive Summary</w:t>
      </w:r>
    </w:p>
    <w:p>
      <w:pPr>
        <w:spacing w:after="200"/>
      </w:pPr>
    </w:p>
    <w:p>
      <w:pPr>
        <w:spacing w:after="200"/>
        <w:jc w:val="center"/>
      </w:pPr>
      <w:r>
        <w:rPr>
          <w:rFonts w:ascii="Arial" w:cs="Arial" w:eastAsia="Arial" w:hAnsi="Arial"/>
          <w:b/>
          <w:bCs/>
          <w:color w:val="0F172A"/>
          <w:sz w:val="28"/>
          <w:szCs w:val="28"/>
        </w:rPr>
        <w:t xml:space="preserve">Financial Services  |  Agentic Document Processing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BD5E1" w:sz="1"/>
              <w:left w:val="single" w:color="CBD5E1" w:sz="1"/>
              <w:bottom w:val="single" w:color="CBD5E1" w:sz="1"/>
              <w:right w:val="single" w:color="CBD5E1" w:sz="1"/>
            </w:tcBorders>
            <w:shd w:fill="1E293B" w:val="clear"/>
          </w:tcPr>
          <w:p>
            <w:pPr>
              <w:spacing w:before="40" w:after="40"/>
            </w:pPr>
            <w:r>
              <w:rPr>
                <w:rFonts w:ascii="Arial" w:cs="Arial" w:eastAsia="Arial" w:hAnsi="Arial"/>
                <w:b/>
                <w:bCs/>
                <w:color w:val="FFFFFF"/>
                <w:sz w:val="18"/>
                <w:szCs w:val="18"/>
              </w:rPr>
              <w:t xml:space="preserve">Dimension</w:t>
            </w:r>
          </w:p>
        </w:tc>
        <w:tc>
          <w:tcPr>
            <w:tcW w:type="dxa" w:w="6360"/>
            <w:tcBorders>
              <w:top w:val="single" w:color="CBD5E1" w:sz="1"/>
              <w:left w:val="single" w:color="CBD5E1" w:sz="1"/>
              <w:bottom w:val="single" w:color="CBD5E1" w:sz="1"/>
              <w:right w:val="single" w:color="CBD5E1" w:sz="1"/>
            </w:tcBorders>
            <w:shd w:fill="1E293B" w:val="clear"/>
          </w:tcPr>
          <w:p>
            <w:pPr>
              <w:spacing w:before="40" w:after="40"/>
            </w:pPr>
            <w:r>
              <w:rPr>
                <w:rFonts w:ascii="Arial" w:cs="Arial" w:eastAsia="Arial" w:hAnsi="Arial"/>
                <w:b/>
                <w:bCs/>
                <w:color w:val="FFFFFF"/>
                <w:sz w:val="18"/>
                <w:szCs w:val="18"/>
              </w:rPr>
              <w:t xml:space="preserve">Result</w:t>
            </w:r>
          </w:p>
        </w:tc>
      </w:tr>
      <w:tr>
        <w:tc>
          <w:tcPr>
            <w:tcW w:type="dxa" w:w="30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Cost Per Task</w:t>
            </w:r>
          </w:p>
        </w:tc>
        <w:tc>
          <w:tcPr>
            <w:tcW w:type="dxa" w:w="63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$12.40 → $4.80 (61% reduction)</w:t>
            </w:r>
          </w:p>
        </w:tc>
      </w:tr>
      <w:tr>
        <w:tc>
          <w:tcPr>
            <w:tcW w:type="dxa" w:w="30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Escalation Rate</w:t>
            </w:r>
          </w:p>
        </w:tc>
        <w:tc>
          <w:tcPr>
            <w:tcW w:type="dxa" w:w="63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34% → 8% (76% reduction)</w:t>
            </w:r>
          </w:p>
        </w:tc>
      </w:tr>
      <w:tr>
        <w:tc>
          <w:tcPr>
            <w:tcW w:type="dxa" w:w="30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Audit Coverage</w:t>
            </w:r>
          </w:p>
        </w:tc>
        <w:tc>
          <w:tcPr>
            <w:tcW w:type="dxa" w:w="63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12% → 97%</w:t>
            </w:r>
          </w:p>
        </w:tc>
      </w:tr>
      <w:tr>
        <w:tc>
          <w:tcPr>
            <w:tcW w:type="dxa" w:w="30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Drift Incidents</w:t>
            </w:r>
          </w:p>
        </w:tc>
        <w:tc>
          <w:tcPr>
            <w:tcW w:type="dxa" w:w="63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6/month → 0/month</w:t>
            </w:r>
          </w:p>
        </w:tc>
      </w:tr>
      <w:tr>
        <w:tc>
          <w:tcPr>
            <w:tcW w:type="dxa" w:w="30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ROI Headline</w:t>
            </w:r>
          </w:p>
        </w:tc>
        <w:tc>
          <w:tcPr>
            <w:tcW w:type="dxa" w:w="63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$2.1M annualized risk reduction</w:t>
            </w:r>
          </w:p>
        </w:tc>
      </w:tr>
      <w:tr>
        <w:tc>
          <w:tcPr>
            <w:tcW w:type="dxa" w:w="30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Enforcement Stack</w:t>
            </w:r>
          </w:p>
        </w:tc>
        <w:tc>
          <w:tcPr>
            <w:tcW w:type="dxa" w:w="63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All four layers deployed and operational</w:t>
            </w:r>
          </w:p>
        </w:tc>
      </w:tr>
      <w:tr>
        <w:tc>
          <w:tcPr>
            <w:tcW w:type="dxa" w:w="30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Audit Outcome</w:t>
            </w:r>
          </w:p>
        </w:tc>
        <w:tc>
          <w:tcPr>
            <w:tcW w:type="dxa" w:w="63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SOC 2 passed — zero AI-related findings</w:t>
            </w:r>
          </w:p>
        </w:tc>
      </w:tr>
    </w:tbl>
    <w:p>
      <w:pPr>
        <w:spacing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none" w:color="FFFFFF" w:sz="0"/>
              <w:left w:val="none" w:color="FFFFFF" w:sz="0"/>
              <w:bottom w:val="single" w:color="B87333" w:sz="3"/>
              <w:right w:val="none" w:color="FFFFFF" w:sz="0"/>
            </w:tcBorders>
            <w:shd w:fill="FFFFFF" w:val="clear"/>
          </w:tcPr>
          <w:p>
            <w:pPr>
              <w:spacing w:after="0"/>
            </w:pPr>
          </w:p>
        </w:tc>
      </w:tr>
    </w:tbl>
    <w:p>
      <w:pPr>
        <w:spacing w:after="120"/>
      </w:pPr>
    </w:p>
    <w:p>
      <w:pPr>
        <w:jc w:val="center"/>
      </w:pPr>
      <w:r>
        <w:rPr>
          <w:rFonts w:ascii="Arial" w:cs="Arial" w:eastAsia="Arial" w:hAnsi="Arial"/>
          <w:b/>
          <w:bCs/>
          <w:color w:val="B87333"/>
          <w:sz w:val="22"/>
          <w:szCs w:val="22"/>
        </w:rPr>
        <w:t xml:space="preserve">Schedule Your Runtime Governance Readiness Scan</w:t>
      </w:r>
    </w:p>
    <w:p>
      <w:pPr>
        <w:jc w:val="center"/>
      </w:pPr>
      <w:r>
        <w:rPr>
          <w:rFonts w:ascii="Arial" w:cs="Arial" w:eastAsia="Arial" w:hAnsi="Arial"/>
          <w:color w:val="334155"/>
          <w:sz w:val="18"/>
          <w:szCs w:val="18"/>
        </w:rPr>
        <w:t xml:space="preserve">orionintelligenceagency.com/book</w:t>
      </w:r>
    </w:p>
    <w:sectPr>
      <w:headerReference w:type="default" r:id="rId6"/>
      <w:footerReference w:type="default" r:id="rId7"/>
      <w:pgSz w:w="12240" w:h="15840"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34155"/>
        <w:sz w:val="14"/>
        <w:szCs w:val="14"/>
      </w:rPr>
      <w:t xml:space="preserve">Dan Mercede  |  Orion Intelligence Agency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334155"/>
        <w:sz w:val="14"/>
        <w:szCs w:val="14"/>
      </w:rPr>
      <w:t xml:space="preserve">Case Study  |  Financial Services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2026-02-17T07:31:30.619Z</dcterms:created>
  <dcterms:modified xsi:type="dcterms:W3CDTF">2026-02-17T07:31:30.619Z</dcterms:modified>
</cp:coreProperties>
</file>

<file path=docProps/custom.xml><?xml version="1.0" encoding="utf-8"?>
<Properties xmlns="http://schemas.openxmlformats.org/officeDocument/2006/custom-properties" xmlns:vt="http://schemas.openxmlformats.org/officeDocument/2006/docPropsVTypes"/>
</file>