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aps/>
          <w:color w:val="B87333"/>
          <w:sz w:val="28"/>
          <w:szCs w:val="28"/>
        </w:rPr>
        <w:t xml:space="preserve">RUNTIME GOVERNANCE CASE STUDY</w:t>
      </w:r>
    </w:p>
    <w:p>
      <w:pPr>
        <w:spacing w:after="40"/>
        <w:jc w:val="center"/>
      </w:pPr>
      <w:r>
        <w:rPr>
          <w:rFonts w:ascii="Arial" w:cs="Arial" w:eastAsia="Arial" w:hAnsi="Arial"/>
          <w:b/>
          <w:bCs/>
          <w:color w:val="0F172A"/>
          <w:sz w:val="44"/>
          <w:szCs w:val="44"/>
        </w:rPr>
        <w:t xml:space="preserve">Healthcare</w:t>
      </w:r>
    </w:p>
    <w:p>
      <w:pPr>
        <w:spacing w:after="40"/>
        <w:jc w:val="center"/>
      </w:pPr>
      <w:r>
        <w:rPr>
          <w:rFonts w:ascii="Arial" w:cs="Arial" w:eastAsia="Arial" w:hAnsi="Arial"/>
          <w:color w:val="334155"/>
          <w:sz w:val="26"/>
          <w:szCs w:val="26"/>
        </w:rPr>
        <w:t xml:space="preserve">Clinical Workflow Automation</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single" w:color="B87333" w:sz="3"/>
              <w:right w:val="none" w:color="FFFFFF" w:sz="0"/>
            </w:tcBorders>
            <w:shd w:fill="FFFFFF" w:val="clear"/>
          </w:tcPr>
          <w:p>
            <w:pPr>
              <w:spacing w:after="0"/>
            </w:pPr>
          </w:p>
        </w:tc>
      </w:tr>
    </w:tbl>
    <w:p>
      <w:pPr>
        <w:spacing w:after="120"/>
      </w:pPr>
    </w:p>
    <w:p>
      <w:pPr>
        <w:jc w:val="center"/>
      </w:pPr>
      <w:r>
        <w:rPr>
          <w:rFonts w:ascii="Arial" w:cs="Arial" w:eastAsia="Arial" w:hAnsi="Arial"/>
          <w:color w:val="334155"/>
          <w:sz w:val="18"/>
          <w:szCs w:val="18"/>
        </w:rPr>
        <w:t xml:space="preserve">Anonymized  |  Dan Mercede  |  Orion Intelligence Agency</w:t>
      </w:r>
    </w:p>
    <w:p>
      <w:r>
        <w:br w:type="page"/>
      </w:r>
    </w:p>
    <w:p>
      <w:pPr>
        <w:pStyle w:val="Heading1"/>
        <w:spacing w:before="240" w:after="160"/>
      </w:pPr>
      <w:r>
        <w:rPr>
          <w:rFonts w:ascii="Arial" w:cs="Arial" w:eastAsia="Arial" w:hAnsi="Arial"/>
          <w:b/>
          <w:bCs/>
          <w:color w:val="B87333"/>
          <w:sz w:val="32"/>
          <w:szCs w:val="32"/>
        </w:rPr>
        <w:t xml:space="preserve">1. Problem Statement</w:t>
      </w:r>
    </w:p>
    <w:p>
      <w:pPr>
        <w:spacing w:after="120"/>
      </w:pPr>
      <w:r>
        <w:rPr>
          <w:rFonts w:ascii="Arial" w:cs="Arial" w:eastAsia="Arial" w:hAnsi="Arial"/>
          <w:color w:val="0F172A"/>
          <w:sz w:val="20"/>
          <w:szCs w:val="20"/>
        </w:rPr>
        <w:t xml:space="preserve">A regional healthcare system deployed AI-assisted clinical scheduling and triage workflows to manage patient flow across multiple facilities. The system autonomously handled appointment scheduling, triage prioritization, resource allocation, and clinical pathway routing.</w:t>
      </w:r>
    </w:p>
    <w:p>
      <w:pPr>
        <w:spacing w:after="200"/>
      </w:pPr>
    </w:p>
    <w:p>
      <w:pPr>
        <w:spacing w:after="120"/>
      </w:pPr>
      <w:r>
        <w:rPr>
          <w:rFonts w:ascii="Arial" w:cs="Arial" w:eastAsia="Arial" w:hAnsi="Arial"/>
          <w:b/>
          <w:bCs/>
          <w:color w:val="0F172A"/>
          <w:sz w:val="20"/>
          <w:szCs w:val="20"/>
        </w:rPr>
        <w:t xml:space="preserve">Governance Gap: </w:t>
      </w:r>
      <w:r>
        <w:rPr>
          <w:rFonts w:ascii="Arial" w:cs="Arial" w:eastAsia="Arial" w:hAnsi="Arial"/>
          <w:color w:val="334155"/>
          <w:sz w:val="20"/>
          <w:szCs w:val="20"/>
        </w:rPr>
        <w:t xml:space="preserve">No behavioral constraints governed agent execution over time. The system operated for 90 days without drift detection, accumulating privilege creep across clinical data categories. No authority decay mechanism existed — agents retained standing execution paths indefinitely. Clinical triage decisions were made without attestation or authority verification.</w:t>
      </w:r>
    </w:p>
    <w:p>
      <w:pPr>
        <w:spacing w:after="200"/>
      </w:pPr>
    </w:p>
    <w:p>
      <w:pPr>
        <w:spacing w:after="120"/>
      </w:pPr>
      <w:r>
        <w:rPr>
          <w:rFonts w:ascii="Arial" w:cs="Arial" w:eastAsia="Arial" w:hAnsi="Arial"/>
          <w:b/>
          <w:bCs/>
          <w:color w:val="0F172A"/>
          <w:sz w:val="20"/>
          <w:szCs w:val="20"/>
        </w:rPr>
        <w:t xml:space="preserve">Business Impact: </w:t>
      </w:r>
      <w:r>
        <w:rPr>
          <w:rFonts w:ascii="Arial" w:cs="Arial" w:eastAsia="Arial" w:hAnsi="Arial"/>
          <w:color w:val="334155"/>
          <w:sz w:val="20"/>
          <w:szCs w:val="20"/>
        </w:rPr>
        <w:t xml:space="preserve">HIPAA exposure from ungoverned access to protected health information. Patient safety implications from unconstrained scheduling mutations. Over 40 hours per week of manual clinical oversight required to compensate for governance gaps.</w:t>
      </w:r>
    </w:p>
    <w:p>
      <w:r>
        <w:br w:type="page"/>
      </w:r>
    </w:p>
    <w:p>
      <w:pPr>
        <w:pStyle w:val="Heading1"/>
        <w:spacing w:before="240" w:after="160"/>
      </w:pPr>
      <w:r>
        <w:rPr>
          <w:rFonts w:ascii="Arial" w:cs="Arial" w:eastAsia="Arial" w:hAnsi="Arial"/>
          <w:b/>
          <w:bCs/>
          <w:color w:val="B87333"/>
          <w:sz w:val="32"/>
          <w:szCs w:val="32"/>
        </w:rPr>
        <w:t xml:space="preserve">2. Risk Constraints</w:t>
      </w:r>
    </w:p>
    <w:p>
      <w:pPr>
        <w:pStyle w:val="ListParagraph"/>
        <w:numPr>
          <w:ilvl w:val="0"/>
          <w:numId w:val="2"/>
        </w:numPr>
        <w:spacing w:after="80"/>
      </w:pPr>
      <w:r>
        <w:rPr>
          <w:rFonts w:ascii="Arial" w:cs="Arial" w:eastAsia="Arial" w:hAnsi="Arial"/>
          <w:color w:val="0F172A"/>
          <w:sz w:val="20"/>
          <w:szCs w:val="20"/>
        </w:rPr>
        <w:t xml:space="preserve">HIPAA compliance requirements for all systems accessing protected health information (PHI)</w:t>
      </w:r>
    </w:p>
    <w:p>
      <w:pPr>
        <w:pStyle w:val="ListParagraph"/>
        <w:numPr>
          <w:ilvl w:val="0"/>
          <w:numId w:val="2"/>
        </w:numPr>
        <w:spacing w:after="80"/>
      </w:pPr>
      <w:r>
        <w:rPr>
          <w:rFonts w:ascii="Arial" w:cs="Arial" w:eastAsia="Arial" w:hAnsi="Arial"/>
          <w:color w:val="0F172A"/>
          <w:sz w:val="20"/>
          <w:szCs w:val="20"/>
        </w:rPr>
        <w:t xml:space="preserve">Patient safety regulations governing clinical scheduling and triage decisioning</w:t>
      </w:r>
    </w:p>
    <w:p>
      <w:pPr>
        <w:pStyle w:val="ListParagraph"/>
        <w:numPr>
          <w:ilvl w:val="0"/>
          <w:numId w:val="2"/>
        </w:numPr>
        <w:spacing w:after="80"/>
      </w:pPr>
      <w:r>
        <w:rPr>
          <w:rFonts w:ascii="Arial" w:cs="Arial" w:eastAsia="Arial" w:hAnsi="Arial"/>
          <w:color w:val="0F172A"/>
          <w:sz w:val="20"/>
          <w:szCs w:val="20"/>
        </w:rPr>
        <w:t xml:space="preserve">State-level healthcare data protection statutes</w:t>
      </w:r>
    </w:p>
    <w:p>
      <w:pPr>
        <w:pStyle w:val="ListParagraph"/>
        <w:numPr>
          <w:ilvl w:val="0"/>
          <w:numId w:val="2"/>
        </w:numPr>
        <w:spacing w:after="80"/>
      </w:pPr>
      <w:r>
        <w:rPr>
          <w:rFonts w:ascii="Arial" w:cs="Arial" w:eastAsia="Arial" w:hAnsi="Arial"/>
          <w:color w:val="0F172A"/>
          <w:sz w:val="20"/>
          <w:szCs w:val="20"/>
        </w:rPr>
        <w:t xml:space="preserve">Standing execution paths accumulating unchecked capabilities across clinical data categories</w:t>
      </w:r>
    </w:p>
    <w:p>
      <w:pPr>
        <w:spacing w:after="200"/>
      </w:pPr>
    </w:p>
    <w:p>
      <w:pPr>
        <w:spacing w:after="120"/>
      </w:pPr>
      <w:r>
        <w:rPr>
          <w:rFonts w:ascii="Arial" w:cs="Arial" w:eastAsia="Arial" w:hAnsi="Arial"/>
          <w:b/>
          <w:bCs/>
          <w:color w:val="0F172A"/>
          <w:sz w:val="20"/>
          <w:szCs w:val="20"/>
        </w:rPr>
        <w:t xml:space="preserve">Financial Exposure Estimate: </w:t>
      </w:r>
      <w:r>
        <w:rPr>
          <w:rFonts w:ascii="Arial" w:cs="Arial" w:eastAsia="Arial" w:hAnsi="Arial"/>
          <w:color w:val="334155"/>
          <w:sz w:val="20"/>
          <w:szCs w:val="20"/>
        </w:rPr>
        <w:t xml:space="preserve">$4.8M annualized risk across HIPAA fines, patient safety liability, operational remediation, and potential breach notification costs.</w:t>
      </w:r>
    </w:p>
    <w:p>
      <w:r>
        <w:br w:type="page"/>
      </w:r>
    </w:p>
    <w:p>
      <w:pPr>
        <w:pStyle w:val="Heading1"/>
        <w:spacing w:before="240" w:after="160"/>
      </w:pPr>
      <w:r>
        <w:rPr>
          <w:rFonts w:ascii="Arial" w:cs="Arial" w:eastAsia="Arial" w:hAnsi="Arial"/>
          <w:b/>
          <w:bCs/>
          <w:color w:val="B87333"/>
          <w:sz w:val="32"/>
          <w:szCs w:val="32"/>
        </w:rPr>
        <w:t xml:space="preserve">3. Baseline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Metric</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Baseline</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Post-Engagement</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Delta</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Cost Per Successful Task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$8.60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Escalation Rate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Cycle Time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2.8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Audit Coverage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31%</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Drift Incidents / Month</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11</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Manual Oversight Hours / Week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42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
            </w:r>
          </w:p>
        </w:tc>
      </w:tr>
    </w:tbl>
    <w:p>
      <w:r>
        <w:br w:type="page"/>
      </w:r>
    </w:p>
    <w:p>
      <w:pPr>
        <w:pStyle w:val="Heading1"/>
        <w:spacing w:before="240" w:after="160"/>
      </w:pPr>
      <w:r>
        <w:rPr>
          <w:rFonts w:ascii="Arial" w:cs="Arial" w:eastAsia="Arial" w:hAnsi="Arial"/>
          <w:b/>
          <w:bCs/>
          <w:color w:val="B87333"/>
          <w:sz w:val="32"/>
          <w:szCs w:val="32"/>
        </w:rPr>
        <w:t xml:space="preserve">4. Failure-Mode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Layer / Severity</w:t>
            </w:r>
          </w:p>
        </w:tc>
        <w:tc>
          <w:tcPr>
            <w:tcW w:type="dxa" w:w="656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Failure Modes</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Authority Gate / CRITICAL</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Clinical triage decisions executed without authority verification. Scheduling mutations proceeding without verified authorization from clinical staff.</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Immutable Receipts / CRITICAL</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PHI access and mutations logged without cryptographic attestation. HIPAA audit trail structurally insufficient for regulatory defensibility.</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Drift Guard / HIGH</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90-day drift window. Standing execution paths across all clinical data categories. No authority decay. Privilege creep compounding monthly.</w:t>
            </w:r>
          </w:p>
        </w:tc>
      </w:tr>
      <w:tr>
        <w:tc>
          <w:tcPr>
            <w:tcW w:type="dxa" w:w="28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Gated Substrate / HIGH</w:t>
            </w:r>
          </w:p>
        </w:tc>
        <w:tc>
          <w:tcPr>
            <w:tcW w:type="dxa" w:w="65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PHI workloads sharing execution environment with non-clinical scheduling. No isolation between patient data categories.</w:t>
            </w:r>
          </w:p>
        </w:tc>
      </w:tr>
    </w:tbl>
    <w:p>
      <w:r>
        <w:br w:type="page"/>
      </w:r>
    </w:p>
    <w:p>
      <w:pPr>
        <w:pStyle w:val="Heading1"/>
        <w:spacing w:before="240" w:after="160"/>
      </w:pPr>
      <w:r>
        <w:rPr>
          <w:rFonts w:ascii="Arial" w:cs="Arial" w:eastAsia="Arial" w:hAnsi="Arial"/>
          <w:b/>
          <w:bCs/>
          <w:color w:val="B87333"/>
          <w:sz w:val="32"/>
          <w:szCs w:val="32"/>
        </w:rPr>
        <w:t xml:space="preserve">5. Gates / Guardrails Added</w:t>
      </w:r>
    </w:p>
    <w:p>
      <w:pPr>
        <w:pStyle w:val="Heading3"/>
        <w:spacing w:before="160" w:after="80"/>
      </w:pPr>
      <w:r>
        <w:rPr>
          <w:rFonts w:ascii="Arial" w:cs="Arial" w:eastAsia="Arial" w:hAnsi="Arial"/>
          <w:b/>
          <w:bCs/>
          <w:color w:val="334155"/>
          <w:sz w:val="22"/>
          <w:szCs w:val="22"/>
        </w:rPr>
        <w:t xml:space="preserve">Authority Gate (Layer 1)</w:t>
      </w:r>
    </w:p>
    <w:p>
      <w:pPr>
        <w:pStyle w:val="ListParagraph"/>
        <w:numPr>
          <w:ilvl w:val="0"/>
          <w:numId w:val="2"/>
        </w:numPr>
        <w:spacing w:after="80"/>
      </w:pPr>
      <w:r>
        <w:rPr>
          <w:rFonts w:ascii="Arial" w:cs="Arial" w:eastAsia="Arial" w:hAnsi="Arial"/>
          <w:color w:val="0F172A"/>
          <w:sz w:val="20"/>
          <w:szCs w:val="20"/>
        </w:rPr>
        <w:t xml:space="preserve">All clinical data access gated through verified authority tokens tied to clinical staff credentials</w:t>
      </w:r>
    </w:p>
    <w:p>
      <w:pPr>
        <w:pStyle w:val="ListParagraph"/>
        <w:numPr>
          <w:ilvl w:val="0"/>
          <w:numId w:val="2"/>
        </w:numPr>
        <w:spacing w:after="80"/>
      </w:pPr>
      <w:r>
        <w:rPr>
          <w:rFonts w:ascii="Arial" w:cs="Arial" w:eastAsia="Arial" w:hAnsi="Arial"/>
          <w:color w:val="0F172A"/>
          <w:sz w:val="20"/>
          <w:szCs w:val="20"/>
        </w:rPr>
        <w:t xml:space="preserve">Triage decisioning requires dual-authority verification before patient pathway routing</w:t>
      </w:r>
    </w:p>
    <w:p>
      <w:pPr>
        <w:pStyle w:val="ListParagraph"/>
        <w:numPr>
          <w:ilvl w:val="0"/>
          <w:numId w:val="2"/>
        </w:numPr>
        <w:spacing w:after="80"/>
      </w:pPr>
      <w:r>
        <w:rPr>
          <w:rFonts w:ascii="Arial" w:cs="Arial" w:eastAsia="Arial" w:hAnsi="Arial"/>
          <w:color w:val="0F172A"/>
          <w:sz w:val="20"/>
          <w:szCs w:val="20"/>
        </w:rPr>
        <w:t xml:space="preserve">Fail-closed: unverified clinical intent halts scheduling pipeline immediately</w:t>
      </w:r>
    </w:p>
    <w:p>
      <w:pPr>
        <w:spacing w:after="200"/>
      </w:pPr>
    </w:p>
    <w:p>
      <w:pPr>
        <w:pStyle w:val="Heading3"/>
        <w:spacing w:before="160" w:after="80"/>
      </w:pPr>
      <w:r>
        <w:rPr>
          <w:rFonts w:ascii="Arial" w:cs="Arial" w:eastAsia="Arial" w:hAnsi="Arial"/>
          <w:b/>
          <w:bCs/>
          <w:color w:val="334155"/>
          <w:sz w:val="22"/>
          <w:szCs w:val="22"/>
        </w:rPr>
        <w:t xml:space="preserve">Immutable Receipts (Layer 2)</w:t>
      </w:r>
    </w:p>
    <w:p>
      <w:pPr>
        <w:pStyle w:val="ListParagraph"/>
        <w:numPr>
          <w:ilvl w:val="0"/>
          <w:numId w:val="2"/>
        </w:numPr>
        <w:spacing w:after="80"/>
      </w:pPr>
      <w:r>
        <w:rPr>
          <w:rFonts w:ascii="Arial" w:cs="Arial" w:eastAsia="Arial" w:hAnsi="Arial"/>
          <w:color w:val="0F172A"/>
          <w:sz w:val="20"/>
          <w:szCs w:val="20"/>
        </w:rPr>
        <w:t xml:space="preserve">Every PHI access and scheduling mutation attested with cryptographic receipt</w:t>
      </w:r>
    </w:p>
    <w:p>
      <w:pPr>
        <w:pStyle w:val="ListParagraph"/>
        <w:numPr>
          <w:ilvl w:val="0"/>
          <w:numId w:val="2"/>
        </w:numPr>
        <w:spacing w:after="80"/>
      </w:pPr>
      <w:r>
        <w:rPr>
          <w:rFonts w:ascii="Arial" w:cs="Arial" w:eastAsia="Arial" w:hAnsi="Arial"/>
          <w:color w:val="0F172A"/>
          <w:sz w:val="20"/>
          <w:szCs w:val="20"/>
        </w:rPr>
        <w:t xml:space="preserve">Receipt pipeline integrated with healthcare compliance monitoring system</w:t>
      </w:r>
    </w:p>
    <w:p>
      <w:pPr>
        <w:pStyle w:val="ListParagraph"/>
        <w:numPr>
          <w:ilvl w:val="0"/>
          <w:numId w:val="2"/>
        </w:numPr>
        <w:spacing w:after="80"/>
      </w:pPr>
      <w:r>
        <w:rPr>
          <w:rFonts w:ascii="Arial" w:cs="Arial" w:eastAsia="Arial" w:hAnsi="Arial"/>
          <w:color w:val="0F172A"/>
          <w:sz w:val="20"/>
          <w:szCs w:val="20"/>
        </w:rPr>
        <w:t xml:space="preserve">HIPAA-grade non-repudiation chain: every clinical data interaction traceable</w:t>
      </w:r>
    </w:p>
    <w:p>
      <w:pPr>
        <w:spacing w:after="200"/>
      </w:pPr>
    </w:p>
    <w:p>
      <w:pPr>
        <w:pStyle w:val="Heading3"/>
        <w:spacing w:before="160" w:after="80"/>
      </w:pPr>
      <w:r>
        <w:rPr>
          <w:rFonts w:ascii="Arial" w:cs="Arial" w:eastAsia="Arial" w:hAnsi="Arial"/>
          <w:b/>
          <w:bCs/>
          <w:color w:val="334155"/>
          <w:sz w:val="22"/>
          <w:szCs w:val="22"/>
        </w:rPr>
        <w:t xml:space="preserve">Drift Guard (Layer 3)</w:t>
      </w:r>
    </w:p>
    <w:p>
      <w:pPr>
        <w:pStyle w:val="ListParagraph"/>
        <w:numPr>
          <w:ilvl w:val="0"/>
          <w:numId w:val="2"/>
        </w:numPr>
        <w:spacing w:after="80"/>
      </w:pPr>
      <w:r>
        <w:rPr>
          <w:rFonts w:ascii="Arial" w:cs="Arial" w:eastAsia="Arial" w:hAnsi="Arial"/>
          <w:color w:val="0F172A"/>
          <w:sz w:val="20"/>
          <w:szCs w:val="20"/>
        </w:rPr>
        <w:t xml:space="preserve">48-hour behavioral baselines established per clinical workflow category</w:t>
      </w:r>
    </w:p>
    <w:p>
      <w:pPr>
        <w:pStyle w:val="ListParagraph"/>
        <w:numPr>
          <w:ilvl w:val="0"/>
          <w:numId w:val="2"/>
        </w:numPr>
        <w:spacing w:after="80"/>
      </w:pPr>
      <w:r>
        <w:rPr>
          <w:rFonts w:ascii="Arial" w:cs="Arial" w:eastAsia="Arial" w:hAnsi="Arial"/>
          <w:color w:val="0F172A"/>
          <w:sz w:val="20"/>
          <w:szCs w:val="20"/>
        </w:rPr>
        <w:t xml:space="preserve">Authority decay enforced: execution privileges expire and require re-authorization</w:t>
      </w:r>
    </w:p>
    <w:p>
      <w:pPr>
        <w:pStyle w:val="ListParagraph"/>
        <w:numPr>
          <w:ilvl w:val="0"/>
          <w:numId w:val="2"/>
        </w:numPr>
        <w:spacing w:after="80"/>
      </w:pPr>
      <w:r>
        <w:rPr>
          <w:rFonts w:ascii="Arial" w:cs="Arial" w:eastAsia="Arial" w:hAnsi="Arial"/>
          <w:color w:val="0F172A"/>
          <w:sz w:val="20"/>
          <w:szCs w:val="20"/>
        </w:rPr>
        <w:t xml:space="preserve">Automated containment triggers freeze clinical scheduling on behavioral deviation</w:t>
      </w:r>
    </w:p>
    <w:p>
      <w:pPr>
        <w:spacing w:after="200"/>
      </w:pPr>
    </w:p>
    <w:p>
      <w:pPr>
        <w:pStyle w:val="Heading3"/>
        <w:spacing w:before="160" w:after="80"/>
      </w:pPr>
      <w:r>
        <w:rPr>
          <w:rFonts w:ascii="Arial" w:cs="Arial" w:eastAsia="Arial" w:hAnsi="Arial"/>
          <w:b/>
          <w:bCs/>
          <w:color w:val="334155"/>
          <w:sz w:val="22"/>
          <w:szCs w:val="22"/>
        </w:rPr>
        <w:t xml:space="preserve">Gated Substrate (Layer 4)</w:t>
      </w:r>
    </w:p>
    <w:p>
      <w:pPr>
        <w:pStyle w:val="ListParagraph"/>
        <w:numPr>
          <w:ilvl w:val="0"/>
          <w:numId w:val="2"/>
        </w:numPr>
        <w:spacing w:after="80"/>
      </w:pPr>
      <w:r>
        <w:rPr>
          <w:rFonts w:ascii="Arial" w:cs="Arial" w:eastAsia="Arial" w:hAnsi="Arial"/>
          <w:color w:val="0F172A"/>
          <w:sz w:val="20"/>
          <w:szCs w:val="20"/>
        </w:rPr>
        <w:t xml:space="preserve">PHI workloads isolated to dedicated execution substrate with zero shared resources</w:t>
      </w:r>
    </w:p>
    <w:p>
      <w:pPr>
        <w:pStyle w:val="ListParagraph"/>
        <w:numPr>
          <w:ilvl w:val="0"/>
          <w:numId w:val="2"/>
        </w:numPr>
        <w:spacing w:after="80"/>
      </w:pPr>
      <w:r>
        <w:rPr>
          <w:rFonts w:ascii="Arial" w:cs="Arial" w:eastAsia="Arial" w:hAnsi="Arial"/>
          <w:color w:val="0F172A"/>
          <w:sz w:val="20"/>
          <w:szCs w:val="20"/>
        </w:rPr>
        <w:t xml:space="preserve">Clinical scheduling agents cannot directly invoke triage pathway routing</w:t>
      </w:r>
    </w:p>
    <w:p>
      <w:pPr>
        <w:pStyle w:val="ListParagraph"/>
        <w:numPr>
          <w:ilvl w:val="0"/>
          <w:numId w:val="2"/>
        </w:numPr>
        <w:spacing w:after="80"/>
      </w:pPr>
      <w:r>
        <w:rPr>
          <w:rFonts w:ascii="Arial" w:cs="Arial" w:eastAsia="Arial" w:hAnsi="Arial"/>
          <w:color w:val="0F172A"/>
          <w:sz w:val="20"/>
          <w:szCs w:val="20"/>
        </w:rPr>
        <w:t xml:space="preserve">Capability inventory: all non-essential tool access revoked system-wide</w:t>
      </w:r>
    </w:p>
    <w:p>
      <w:r>
        <w:br w:type="page"/>
      </w:r>
    </w:p>
    <w:p>
      <w:pPr>
        <w:pStyle w:val="Heading1"/>
        <w:spacing w:before="240" w:after="160"/>
      </w:pPr>
      <w:r>
        <w:rPr>
          <w:rFonts w:ascii="Arial" w:cs="Arial" w:eastAsia="Arial" w:hAnsi="Arial"/>
          <w:b/>
          <w:bCs/>
          <w:color w:val="B87333"/>
          <w:sz w:val="32"/>
          <w:szCs w:val="32"/>
        </w:rPr>
        <w:t xml:space="preserve">6. Evidence Shipped</w:t>
      </w:r>
    </w:p>
    <w:p>
      <w:pPr>
        <w:pStyle w:val="ListParagraph"/>
        <w:numPr>
          <w:ilvl w:val="0"/>
          <w:numId w:val="2"/>
        </w:numPr>
        <w:spacing w:after="80"/>
      </w:pPr>
      <w:r>
        <w:rPr>
          <w:rFonts w:ascii="Arial" w:cs="Arial" w:eastAsia="Arial" w:hAnsi="Arial"/>
          <w:color w:val="0F172A"/>
          <w:sz w:val="20"/>
          <w:szCs w:val="20"/>
        </w:rPr>
        <w:t xml:space="preserve">Risk register: 31 failure modes scored across four enforcement layers</w:t>
      </w:r>
    </w:p>
    <w:p>
      <w:pPr>
        <w:pStyle w:val="ListParagraph"/>
        <w:numPr>
          <w:ilvl w:val="0"/>
          <w:numId w:val="2"/>
        </w:numPr>
        <w:spacing w:after="80"/>
      </w:pPr>
      <w:r>
        <w:rPr>
          <w:rFonts w:ascii="Arial" w:cs="Arial" w:eastAsia="Arial" w:hAnsi="Arial"/>
          <w:color w:val="0F172A"/>
          <w:sz w:val="20"/>
          <w:szCs w:val="20"/>
        </w:rPr>
        <w:t xml:space="preserve">Controls map: 18 enforcement points mapped to HIPAA security rule requirements</w:t>
      </w:r>
    </w:p>
    <w:p>
      <w:pPr>
        <w:pStyle w:val="ListParagraph"/>
        <w:numPr>
          <w:ilvl w:val="0"/>
          <w:numId w:val="2"/>
        </w:numPr>
        <w:spacing w:after="80"/>
      </w:pPr>
      <w:r>
        <w:rPr>
          <w:rFonts w:ascii="Arial" w:cs="Arial" w:eastAsia="Arial" w:hAnsi="Arial"/>
          <w:color w:val="0F172A"/>
          <w:sz w:val="20"/>
          <w:szCs w:val="20"/>
        </w:rPr>
        <w:t xml:space="preserve">Evidence checklist: 42 audit-ready artifacts for regulatory defensibility</w:t>
      </w:r>
    </w:p>
    <w:p>
      <w:pPr>
        <w:pStyle w:val="ListParagraph"/>
        <w:numPr>
          <w:ilvl w:val="0"/>
          <w:numId w:val="2"/>
        </w:numPr>
        <w:spacing w:after="80"/>
      </w:pPr>
      <w:r>
        <w:rPr>
          <w:rFonts w:ascii="Arial" w:cs="Arial" w:eastAsia="Arial" w:hAnsi="Arial"/>
          <w:color w:val="0F172A"/>
          <w:sz w:val="20"/>
          <w:szCs w:val="20"/>
        </w:rPr>
        <w:t xml:space="preserve">Go/no-go deployment rubric with clinical safety gates per layer</w:t>
      </w:r>
    </w:p>
    <w:p>
      <w:pPr>
        <w:pStyle w:val="ListParagraph"/>
        <w:numPr>
          <w:ilvl w:val="0"/>
          <w:numId w:val="2"/>
        </w:numPr>
        <w:spacing w:after="80"/>
      </w:pPr>
      <w:r>
        <w:rPr>
          <w:rFonts w:ascii="Arial" w:cs="Arial" w:eastAsia="Arial" w:hAnsi="Arial"/>
          <w:color w:val="0F172A"/>
          <w:sz w:val="20"/>
          <w:szCs w:val="20"/>
        </w:rPr>
        <w:t xml:space="preserve">30/60/90-day hardening roadmap with phased clinical workflow enforcement</w:t>
      </w:r>
    </w:p>
    <w:p>
      <w:pPr>
        <w:pStyle w:val="ListParagraph"/>
        <w:numPr>
          <w:ilvl w:val="0"/>
          <w:numId w:val="2"/>
        </w:numPr>
        <w:spacing w:after="80"/>
      </w:pPr>
      <w:r>
        <w:rPr>
          <w:rFonts w:ascii="Arial" w:cs="Arial" w:eastAsia="Arial" w:hAnsi="Arial"/>
          <w:color w:val="0F172A"/>
          <w:sz w:val="20"/>
          <w:szCs w:val="20"/>
        </w:rPr>
        <w:t xml:space="preserve">Receipt samples: 15 attestation chain examples covering PHI access patterns</w:t>
      </w:r>
    </w:p>
    <w:p>
      <w:pPr>
        <w:pStyle w:val="ListParagraph"/>
        <w:numPr>
          <w:ilvl w:val="0"/>
          <w:numId w:val="2"/>
        </w:numPr>
        <w:spacing w:after="80"/>
      </w:pPr>
      <w:r>
        <w:rPr>
          <w:rFonts w:ascii="Arial" w:cs="Arial" w:eastAsia="Arial" w:hAnsi="Arial"/>
          <w:color w:val="0F172A"/>
          <w:sz w:val="20"/>
          <w:szCs w:val="20"/>
        </w:rPr>
        <w:t xml:space="preserve">Drift Guard baselines: documented behavioral parameters for all clinical agent categories</w:t>
      </w:r>
    </w:p>
    <w:p>
      <w:r>
        <w:br w:type="page"/>
      </w:r>
    </w:p>
    <w:p>
      <w:pPr>
        <w:pStyle w:val="Heading1"/>
        <w:spacing w:before="240" w:after="160"/>
      </w:pPr>
      <w:r>
        <w:rPr>
          <w:rFonts w:ascii="Arial" w:cs="Arial" w:eastAsia="Arial" w:hAnsi="Arial"/>
          <w:b/>
          <w:bCs/>
          <w:color w:val="B87333"/>
          <w:sz w:val="32"/>
          <w:szCs w:val="32"/>
        </w:rPr>
        <w:t xml:space="preserve">7. Post-Engagement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Metric</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Baseline</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Post-Engagement</w:t>
            </w:r>
          </w:p>
        </w:tc>
        <w:tc>
          <w:tcPr>
            <w:tcW w:type="dxa" w:w="2340"/>
            <w:tcBorders>
              <w:top w:val="single" w:color="CBD5E1" w:sz="1"/>
              <w:left w:val="single" w:color="CBD5E1" w:sz="1"/>
              <w:bottom w:val="single" w:color="CBD5E1" w:sz="1"/>
              <w:right w:val="single" w:color="CBD5E1" w:sz="1"/>
            </w:tcBorders>
            <w:shd w:fill="1E293B" w:val="clear"/>
          </w:tcPr>
          <w:p>
            <w:pPr>
              <w:spacing w:before="40" w:after="40"/>
              <w:jc w:val="center"/>
            </w:pPr>
            <w:r>
              <w:rPr>
                <w:rFonts w:ascii="Arial" w:cs="Arial" w:eastAsia="Arial" w:hAnsi="Arial"/>
                <w:b/>
                <w:bCs/>
                <w:color w:val="FFFFFF"/>
                <w:sz w:val="18"/>
                <w:szCs w:val="18"/>
              </w:rPr>
              <w:t xml:space="preserve">Delta</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Cost Per Successful Task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$8.60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$3.20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-63%</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Escalation Rate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5%</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-77%</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Cycle Time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2.8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1.1 hours</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-61%</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Audit Coverage</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31%</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99%</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+68 pts</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Drift Incidents / Month</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11</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0</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-100%</w:t>
            </w:r>
          </w:p>
        </w:tc>
      </w:tr>
      <w:tr>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334155"/>
                <w:sz w:val="18"/>
                <w:szCs w:val="18"/>
              </w:rPr>
              <w:t xml:space="preserve">Manual Oversight Hours / Week</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42</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val="false"/>
                <w:bCs w:val="false"/>
                <w:color w:val="0F172A"/>
                <w:sz w:val="18"/>
                <w:szCs w:val="18"/>
              </w:rPr>
              <w:t xml:space="preserve">8</w:t>
            </w:r>
          </w:p>
        </w:tc>
        <w:tc>
          <w:tcPr>
            <w:tcW w:type="dxa" w:w="2340"/>
            <w:tcBorders>
              <w:top w:val="single" w:color="CBD5E1" w:sz="1"/>
              <w:left w:val="single" w:color="CBD5E1" w:sz="1"/>
              <w:bottom w:val="single" w:color="CBD5E1" w:sz="1"/>
              <w:right w:val="single" w:color="CBD5E1" w:sz="1"/>
            </w:tcBorders>
            <w:shd w:fill="FFFFFF" w:val="clear"/>
          </w:tcPr>
          <w:p>
            <w:pPr>
              <w:spacing w:before="40" w:after="40"/>
              <w:jc w:val="center"/>
            </w:pPr>
            <w:r>
              <w:rPr>
                <w:rFonts w:ascii="Arial" w:cs="Arial" w:eastAsia="Arial" w:hAnsi="Arial"/>
                <w:b/>
                <w:bCs/>
                <w:color w:val="B87333"/>
                <w:sz w:val="18"/>
                <w:szCs w:val="18"/>
              </w:rPr>
              <w:t xml:space="preserve">-81%</w:t>
            </w:r>
          </w:p>
        </w:tc>
      </w:tr>
    </w:tbl>
    <w:p>
      <w:pPr>
        <w:spacing w:after="200"/>
      </w:pPr>
    </w:p>
    <w:p>
      <w:pPr>
        <w:pStyle w:val="Heading3"/>
        <w:spacing w:before="160" w:after="80"/>
      </w:pPr>
      <w:r>
        <w:rPr>
          <w:rFonts w:ascii="Arial" w:cs="Arial" w:eastAsia="Arial" w:hAnsi="Arial"/>
          <w:b/>
          <w:bCs/>
          <w:color w:val="334155"/>
          <w:sz w:val="22"/>
          <w:szCs w:val="22"/>
        </w:rPr>
        <w:t xml:space="preserve">ROI Scorecard</w:t>
      </w:r>
    </w:p>
    <w:p>
      <w:pPr>
        <w:spacing w:after="120"/>
      </w:pPr>
      <w:r>
        <w:rPr>
          <w:rFonts w:ascii="Arial" w:cs="Arial" w:eastAsia="Arial" w:hAnsi="Arial"/>
          <w:b/>
          <w:bCs/>
          <w:color w:val="0F172A"/>
          <w:sz w:val="20"/>
          <w:szCs w:val="20"/>
        </w:rPr>
        <w:t xml:space="preserve">Annualized Risk Reduction: </w:t>
      </w:r>
      <w:r>
        <w:rPr>
          <w:rFonts w:ascii="Arial" w:cs="Arial" w:eastAsia="Arial" w:hAnsi="Arial"/>
          <w:color w:val="334155"/>
          <w:sz w:val="20"/>
          <w:szCs w:val="20"/>
        </w:rPr>
        <w:t xml:space="preserve">$4.8M (HIPAA fines averted, patient safety liability eliminated, manual oversight recovered)</w:t>
      </w:r>
    </w:p>
    <w:p>
      <w:pPr>
        <w:spacing w:after="120"/>
      </w:pPr>
      <w:r>
        <w:rPr>
          <w:rFonts w:ascii="Arial" w:cs="Arial" w:eastAsia="Arial" w:hAnsi="Arial"/>
          <w:b/>
          <w:bCs/>
          <w:color w:val="0F172A"/>
          <w:sz w:val="20"/>
          <w:szCs w:val="20"/>
        </w:rPr>
        <w:t xml:space="preserve">Audit Outcome: </w:t>
      </w:r>
      <w:r>
        <w:rPr>
          <w:rFonts w:ascii="Arial" w:cs="Arial" w:eastAsia="Arial" w:hAnsi="Arial"/>
          <w:color w:val="334155"/>
          <w:sz w:val="20"/>
          <w:szCs w:val="20"/>
        </w:rPr>
        <w:t xml:space="preserve">HIPAA audit defensibility established with cryptographic attestation chain</w:t>
      </w:r>
    </w:p>
    <w:p>
      <w:pPr>
        <w:spacing w:after="120"/>
      </w:pPr>
      <w:r>
        <w:rPr>
          <w:rFonts w:ascii="Arial" w:cs="Arial" w:eastAsia="Arial" w:hAnsi="Arial"/>
          <w:b/>
          <w:bCs/>
          <w:color w:val="0F172A"/>
          <w:sz w:val="20"/>
          <w:szCs w:val="20"/>
        </w:rPr>
        <w:t xml:space="preserve">Operational Impact: </w:t>
      </w:r>
      <w:r>
        <w:rPr>
          <w:rFonts w:ascii="Arial" w:cs="Arial" w:eastAsia="Arial" w:hAnsi="Arial"/>
          <w:color w:val="334155"/>
          <w:sz w:val="20"/>
          <w:szCs w:val="20"/>
        </w:rPr>
        <w:t xml:space="preserve">80% reduction in manual clinical oversight. Zero patient-safety incidents post-deployment.</w:t>
      </w:r>
    </w:p>
    <w:p>
      <w:r>
        <w:br w:type="page"/>
      </w:r>
    </w:p>
    <w:p>
      <w:pPr>
        <w:pStyle w:val="Heading1"/>
        <w:spacing w:before="240" w:after="160"/>
      </w:pPr>
      <w:r>
        <w:rPr>
          <w:rFonts w:ascii="Arial" w:cs="Arial" w:eastAsia="Arial" w:hAnsi="Arial"/>
          <w:b/>
          <w:bCs/>
          <w:color w:val="B87333"/>
          <w:sz w:val="32"/>
          <w:szCs w:val="32"/>
        </w:rPr>
        <w:t xml:space="preserve">8. Executive Summary</w:t>
      </w:r>
    </w:p>
    <w:p>
      <w:pPr>
        <w:spacing w:after="200"/>
      </w:pPr>
    </w:p>
    <w:p>
      <w:pPr>
        <w:spacing w:after="200"/>
        <w:jc w:val="center"/>
      </w:pPr>
      <w:r>
        <w:rPr>
          <w:rFonts w:ascii="Arial" w:cs="Arial" w:eastAsia="Arial" w:hAnsi="Arial"/>
          <w:b/>
          <w:bCs/>
          <w:color w:val="0F172A"/>
          <w:sz w:val="28"/>
          <w:szCs w:val="28"/>
        </w:rPr>
        <w:t xml:space="preserve">Healthcare  |  Clinical Workflow Automation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Dimension</w:t>
            </w:r>
          </w:p>
        </w:tc>
        <w:tc>
          <w:tcPr>
            <w:tcW w:type="dxa" w:w="6360"/>
            <w:tcBorders>
              <w:top w:val="single" w:color="CBD5E1" w:sz="1"/>
              <w:left w:val="single" w:color="CBD5E1" w:sz="1"/>
              <w:bottom w:val="single" w:color="CBD5E1" w:sz="1"/>
              <w:right w:val="single" w:color="CBD5E1" w:sz="1"/>
            </w:tcBorders>
            <w:shd w:fill="1E293B" w:val="clear"/>
          </w:tcPr>
          <w:p>
            <w:pPr>
              <w:spacing w:before="40" w:after="40"/>
            </w:pPr>
            <w:r>
              <w:rPr>
                <w:rFonts w:ascii="Arial" w:cs="Arial" w:eastAsia="Arial" w:hAnsi="Arial"/>
                <w:b/>
                <w:bCs/>
                <w:color w:val="FFFFFF"/>
                <w:sz w:val="18"/>
                <w:szCs w:val="18"/>
              </w:rPr>
              <w:t xml:space="preserve">Result</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Cost Per Task</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$8.60 → $3.20 (63%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Escalation Rate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22% → 5% (77%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Audit Coverage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31% → 99%</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Drift Incidents</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11/month → 0/month</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Manual Oversight</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42 hrs/wk → 8 hrs/wk (81%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ROI Headline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$4.8M annualized risk reduction</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Enforcement Stack</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All four layers deployed and operational</w:t>
            </w:r>
          </w:p>
        </w:tc>
      </w:tr>
      <w:tr>
        <w:tc>
          <w:tcPr>
            <w:tcW w:type="dxa" w:w="300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Audit Outcome</w:t>
            </w:r>
          </w:p>
        </w:tc>
        <w:tc>
          <w:tcPr>
            <w:tcW w:type="dxa" w:w="6360"/>
            <w:tcBorders>
              <w:top w:val="single" w:color="CBD5E1" w:sz="1"/>
              <w:left w:val="single" w:color="CBD5E1" w:sz="1"/>
              <w:bottom w:val="single" w:color="CBD5E1" w:sz="1"/>
              <w:right w:val="single" w:color="CBD5E1" w:sz="1"/>
            </w:tcBorders>
            <w:shd w:fill="FFFFFF" w:val="clear"/>
          </w:tcPr>
          <w:p>
            <w:pPr>
              <w:spacing w:before="40" w:after="40"/>
            </w:pPr>
            <w:r>
              <w:rPr>
                <w:rFonts w:ascii="Arial" w:cs="Arial" w:eastAsia="Arial" w:hAnsi="Arial"/>
                <w:b w:val="false"/>
                <w:bCs w:val="false"/>
                <w:color w:val="0F172A"/>
                <w:sz w:val="18"/>
                <w:szCs w:val="18"/>
              </w:rPr>
              <w:t xml:space="preserve">HIPAA defensibility established</w:t>
            </w:r>
          </w:p>
        </w:tc>
      </w:tr>
    </w:tbl>
    <w:p>
      <w:pPr>
        <w:spacing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360"/>
            <w:tcBorders>
              <w:top w:val="none" w:color="FFFFFF" w:sz="0"/>
              <w:left w:val="none" w:color="FFFFFF" w:sz="0"/>
              <w:bottom w:val="single" w:color="B87333" w:sz="3"/>
              <w:right w:val="none" w:color="FFFFFF" w:sz="0"/>
            </w:tcBorders>
            <w:shd w:fill="FFFFFF" w:val="clear"/>
          </w:tcPr>
          <w:p>
            <w:pPr>
              <w:spacing w:after="0"/>
            </w:pPr>
          </w:p>
        </w:tc>
      </w:tr>
    </w:tbl>
    <w:p>
      <w:pPr>
        <w:spacing w:after="120"/>
      </w:pPr>
    </w:p>
    <w:p>
      <w:pPr>
        <w:jc w:val="center"/>
      </w:pPr>
      <w:r>
        <w:rPr>
          <w:rFonts w:ascii="Arial" w:cs="Arial" w:eastAsia="Arial" w:hAnsi="Arial"/>
          <w:b/>
          <w:bCs/>
          <w:color w:val="B87333"/>
          <w:sz w:val="22"/>
          <w:szCs w:val="22"/>
        </w:rPr>
        <w:t xml:space="preserve">Schedule Your Runtime Governance Readiness Scan</w:t>
      </w:r>
    </w:p>
    <w:p>
      <w:pPr>
        <w:jc w:val="center"/>
      </w:pPr>
      <w:r>
        <w:rPr>
          <w:rFonts w:ascii="Arial" w:cs="Arial" w:eastAsia="Arial" w:hAnsi="Arial"/>
          <w:color w:val="334155"/>
          <w:sz w:val="18"/>
          <w:szCs w:val="18"/>
        </w:rPr>
        <w:t xml:space="preserve">orionintelligenceagency.com/book</w:t>
      </w:r>
    </w:p>
    <w:sectPr>
      <w:headerReference w:type="default" r:id="rId6"/>
      <w:footerReference w:type="default" r:id="rId7"/>
      <w:pgSz w:w="12240" w:h="15840"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34155"/>
        <w:sz w:val="14"/>
        <w:szCs w:val="14"/>
      </w:rPr>
      <w:t xml:space="preserve">Dan Mercede  |  Orion Intelligence Agency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334155"/>
        <w:sz w:val="14"/>
        <w:szCs w:val="14"/>
      </w:rPr>
      <w:t xml:space="preserve">Case Study  |  Healthcare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2026-02-17T07:31:30.623Z</dcterms:created>
  <dcterms:modified xsi:type="dcterms:W3CDTF">2026-02-17T07:31:30.623Z</dcterms:modified>
</cp:coreProperties>
</file>

<file path=docProps/custom.xml><?xml version="1.0" encoding="utf-8"?>
<Properties xmlns="http://schemas.openxmlformats.org/officeDocument/2006/custom-properties" xmlns:vt="http://schemas.openxmlformats.org/officeDocument/2006/docPropsVTypes"/>
</file>