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Sprawozdanie – laboratorium 3</w:t>
      </w:r>
    </w:p>
    <w:p w:rsidR="00000000" w:rsidDel="00000000" w:rsidP="00000000" w:rsidRDefault="00000000" w:rsidRPr="00000000" w14:paraId="00000002">
      <w:pPr>
        <w:spacing w:after="140" w:lineRule="auto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sz w:val="16"/>
          <w:szCs w:val="16"/>
          <w:rtl w:val="0"/>
        </w:rPr>
        <w:t xml:space="preserve">Uczenie głębokie  |  Keras: klasyfikacja, regresja i regularyzacja  |  tryb pełny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Klasyfikacja Fashion-MNIST (zad. 1.1)</w:t>
      </w:r>
    </w:p>
    <w:tbl>
      <w:tblPr>
        <w:tblStyle w:val="Table1"/>
        <w:tblW w:w="10149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180"/>
        <w:gridCol w:w="3969"/>
        <w:tblGridChange w:id="0">
          <w:tblGrid>
            <w:gridCol w:w="6180"/>
            <w:gridCol w:w="3969"/>
          </w:tblGrid>
        </w:tblGridChange>
      </w:tblGrid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3798000" cy="124214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8000" cy="1242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7"/>
                <w:szCs w:val="17"/>
                <w:rtl w:val="0"/>
              </w:rPr>
              <w:t xml:space="preserve">MLP 256–128 osiągnął 87,62% dokładności na zbiorze testowym. Strata treningowa systematycznie spada, ale walidacyjna osiąga minimum około 5. epoki, a później waha się i rośnie. Od ok. 6. epoki widać więc początki przeuczenia.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Regresja California Housing (zad. 2.2)</w:t>
      </w:r>
    </w:p>
    <w:tbl>
      <w:tblPr>
        <w:tblStyle w:val="Table2"/>
        <w:tblW w:w="1014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953"/>
        <w:gridCol w:w="4195"/>
        <w:tblGridChange w:id="0">
          <w:tblGrid>
            <w:gridCol w:w="5953"/>
            <w:gridCol w:w="4195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613.000000000001" w:type="dxa"/>
              <w:jc w:val="center"/>
              <w:tblLayout w:type="fixed"/>
              <w:tblLook w:val="0400"/>
            </w:tblPr>
            <w:tblGrid>
              <w:gridCol w:w="3231"/>
              <w:gridCol w:w="1191"/>
              <w:gridCol w:w="1191"/>
              <w:tblGridChange w:id="0">
                <w:tblGrid>
                  <w:gridCol w:w="3231"/>
                  <w:gridCol w:w="1191"/>
                  <w:gridCol w:w="119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ef3f6" w:val="clear"/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8">
                  <w:pPr>
                    <w:spacing w:after="0" w:lineRule="auto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5"/>
                      <w:szCs w:val="15"/>
                      <w:rtl w:val="0"/>
                    </w:rPr>
                    <w:t xml:space="preserve">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ef3f6" w:val="clear"/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9">
                  <w:pPr>
                    <w:spacing w:after="0" w:lineRule="auto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5"/>
                      <w:szCs w:val="15"/>
                      <w:rtl w:val="0"/>
                    </w:rPr>
                    <w:t xml:space="preserve">MAE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ef3f6" w:val="clear"/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A">
                  <w:pPr>
                    <w:spacing w:after="0" w:lineRule="auto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5"/>
                      <w:szCs w:val="15"/>
                      <w:rtl w:val="0"/>
                    </w:rPr>
                    <w:t xml:space="preserve">RMSE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B">
                  <w:pPr>
                    <w:spacing w:after="0" w:lineRule="auto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5"/>
                      <w:szCs w:val="15"/>
                      <w:rtl w:val="0"/>
                    </w:rPr>
                    <w:t xml:space="preserve">Średnia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spacing w:after="0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5"/>
                      <w:szCs w:val="15"/>
                      <w:rtl w:val="0"/>
                    </w:rPr>
                    <w:t xml:space="preserve">0,905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0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5"/>
                      <w:szCs w:val="15"/>
                      <w:rtl w:val="0"/>
                    </w:rPr>
                    <w:t xml:space="preserve">1,145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spacing w:after="0" w:lineRule="auto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5"/>
                      <w:szCs w:val="15"/>
                      <w:rtl w:val="0"/>
                    </w:rPr>
                    <w:t xml:space="preserve">Regresja liniowa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after="0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5"/>
                      <w:szCs w:val="15"/>
                      <w:rtl w:val="0"/>
                    </w:rPr>
                    <w:t xml:space="preserve">0,533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10">
                  <w:pPr>
                    <w:spacing w:after="0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5"/>
                      <w:szCs w:val="15"/>
                      <w:rtl w:val="0"/>
                    </w:rPr>
                    <w:t xml:space="preserve">0,750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0" w:lineRule="auto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1"/>
                      <w:bCs w:val="1"/>
                      <w:color w:val="000000"/>
                      <w:sz w:val="15"/>
                      <w:szCs w:val="15"/>
                      <w:rtl w:val="0"/>
                    </w:rPr>
                    <w:t xml:space="preserve">MLP 64–64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12">
                  <w:pPr>
                    <w:spacing w:after="0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5"/>
                      <w:szCs w:val="15"/>
                      <w:rtl w:val="0"/>
                    </w:rPr>
                    <w:t xml:space="preserve">0,359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50.0" w:type="dxa"/>
                    <w:bottom w:w="50.0" w:type="dxa"/>
                  </w:tcMar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after="0" w:lineRule="auto"/>
                    <w:jc w:val="center"/>
                    <w:rPr>
                      <w:rFonts w:ascii="Lato" w:cs="Lato" w:eastAsia="Lato" w:hAnsi="Lato"/>
                      <w:color w:val="000000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color w:val="000000"/>
                      <w:sz w:val="15"/>
                      <w:szCs w:val="15"/>
                      <w:rtl w:val="0"/>
                    </w:rPr>
                    <w:t xml:space="preserve">0,530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8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MLP obniżył MAE o ok. 33% względem modelu liniowego. Przy y = 5 widać skupienie punktów – wartości celu w zbiorze są odgórnie obcięte; model może przewidywać także wartości powyżej tego limitu.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bottom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2124000" cy="212688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00" cy="21268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Optymalizatory (zad. 4.1)</w:t>
      </w:r>
    </w:p>
    <w:tbl>
      <w:tblPr>
        <w:tblStyle w:val="Table4"/>
        <w:tblW w:w="1014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726"/>
        <w:gridCol w:w="4422"/>
        <w:tblGridChange w:id="0">
          <w:tblGrid>
            <w:gridCol w:w="5726"/>
            <w:gridCol w:w="4422"/>
          </w:tblGrid>
        </w:tblGridChange>
      </w:tblGrid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3168000" cy="196313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9631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7"/>
                <w:szCs w:val="17"/>
                <w:rtl w:val="0"/>
              </w:rPr>
              <w:t xml:space="preserve">Najwyższą walidacyjną dokładność uzyskał RMSprop (88,56%), tuż przed Adamem (88,21%). SGD z momentum osiągnął 87,19%, a klasyczny SGD 83,53%. W zadanych 10 epokach algorytmy adaptacyjne uczyły się szybciej; nie oznacza to ich przewagi we wszystkich konfiguracjach.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Regularyzacja – hipoteza i weryfikacja (zad. 5.2)</w:t>
      </w:r>
    </w:p>
    <w:tbl>
      <w:tblPr>
        <w:tblStyle w:val="Table5"/>
        <w:tblW w:w="10148.0" w:type="dxa"/>
        <w:jc w:val="center"/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0"/>
        </w:trPr>
        <w:tc>
          <w:tcPr>
            <w:shd w:fill="eef3f6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Wariant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6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Najl. 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6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Końc. 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6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Luka train–val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Bez regularyzacji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81,53%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77,35%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20,85 p.p.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Dropout 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82,01%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80,99%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11,71 p.p.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L2 (10⁻³)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81,10%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78,47%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18,53 p.p.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BatchNorm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81,61%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81,61%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18,39 p.p.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BatchNorm + Dropout 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81,14%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79,58%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5"/>
                <w:szCs w:val="15"/>
                <w:rtl w:val="0"/>
              </w:rPr>
              <w:t xml:space="preserve">19,62 p.p.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before="60" w:lineRule="auto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Hipoteza: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Dropout ograniczy przeuczenie na małym zbiorze. 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Weryfikacja: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luka train–val spadła z 20,85 do 11,71 p.p., a końcowa val accuracy wzrosła z 77,35% do 80,99%. Hipoteza została potwierdzona dla tego eksperymentu.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Proponowane usprawnienie (UGŁ_U02)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W następnym teście porównałbym AdamW z Adamem przy identycznym podziale danych i budżecie epok oraz zastosował EarlyStopping z przywróceniem najlepszych wag. Celem byłoby ograniczenie przeuczenia, nie samo zwiększanie dokładności treningowej.</w:t>
      </w:r>
    </w:p>
    <w:sectPr>
      <w:pgSz w:h="16838" w:w="11906" w:orient="portrait"/>
      <w:pgMar w:bottom="765" w:top="839" w:left="879" w:right="879" w:header="312" w:footer="3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c2a39"/>
        <w:sz w:val="18"/>
        <w:szCs w:val="18"/>
        <w:lang w:val="en"/>
      </w:rPr>
    </w:rPrDefault>
    <w:pPrDefault>
      <w:pPr>
        <w:spacing w:after="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