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Sprawozdanie - laboratorium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Uczenie głębokie  |  PyTorch i dane tabelaryczne  |  tryb FULL + bonus  |  14.10.2026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Cel: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porównanie MLP z klasycznymi modelami ML, ocena generalizacji, niepewności, kalibracji i skutków wycieku danych. Badania wykonano lokalnie w PyTorch (CPU, seed 42).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Procedura eksperymentalna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Breast Cancer Wisconsin: 569 rekordów, 30 cech, podział train/val/test = 341/114/114 (klasa 1 = guz złośliwy). California Housing: 12 384/4 128/4 128 rekordów. Standaryzację dopasowano tylko na treningu. MLP trenowano z DataLoaderem i early stopping (najlepsza epoka 22). W walidacji krzyżowej skaler i selekcja cech były dopasowywane od nowa w każdym foldzie; test pozostawał poza doborem parametrów.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Porównanie modeli na zbiorach testowych</w:t>
      </w:r>
    </w:p>
    <w:tbl>
      <w:tblPr>
        <w:tblStyle w:val="Table1"/>
        <w:tblW w:w="9949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2"/>
        <w:gridCol w:w="4847"/>
        <w:tblGridChange w:id="0">
          <w:tblGrid>
            <w:gridCol w:w="5102"/>
            <w:gridCol w:w="484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00" w:line="254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Breast Cancer - klasyfikacja</w:t>
            </w:r>
          </w:p>
          <w:tbl>
            <w:tblPr>
              <w:tblStyle w:val="Table2"/>
              <w:tblW w:w="4365.0" w:type="dxa"/>
              <w:jc w:val="center"/>
              <w:tblLayout w:type="fixed"/>
              <w:tblLook w:val="0400"/>
            </w:tblPr>
            <w:tblGrid>
              <w:gridCol w:w="1701"/>
              <w:gridCol w:w="935"/>
              <w:gridCol w:w="935"/>
              <w:gridCol w:w="794"/>
              <w:tblGridChange w:id="0">
                <w:tblGrid>
                  <w:gridCol w:w="1701"/>
                  <w:gridCol w:w="935"/>
                  <w:gridCol w:w="935"/>
                  <w:gridCol w:w="7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8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9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ROC-AUC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A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PR-AUC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B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Brier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LogReg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0,9954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0,9936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0,0214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0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RandomForest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0,9967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0,9947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0,0308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HistGB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0,9897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0,9870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0,0268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MLP (PyTorch)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0,9974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0,9960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0,0176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00" w:line="254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California Housing - regresja</w:t>
            </w:r>
          </w:p>
          <w:tbl>
            <w:tblPr>
              <w:tblStyle w:val="Table3"/>
              <w:tblW w:w="3884.0000000000005" w:type="dxa"/>
              <w:jc w:val="center"/>
              <w:tblLayout w:type="fixed"/>
              <w:tblLook w:val="0400"/>
            </w:tblPr>
            <w:tblGrid>
              <w:gridCol w:w="1701"/>
              <w:gridCol w:w="737"/>
              <w:gridCol w:w="794"/>
              <w:gridCol w:w="652"/>
              <w:tblGridChange w:id="0">
                <w:tblGrid>
                  <w:gridCol w:w="1701"/>
                  <w:gridCol w:w="737"/>
                  <w:gridCol w:w="794"/>
                  <w:gridCol w:w="6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MAE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RMSE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af0f6" w:val="clear"/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before="0" w:line="245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Dummy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0,9053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1,1448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~0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Ridge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0,5333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0,7495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0,5713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HistGB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0,3126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0,4668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0,8337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before="0" w:line="245" w:lineRule="auto"/>
                    <w:jc w:val="lef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MLP (PyTorch)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0,3412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0,5127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d7e0e8" w:space="0" w:sz="5" w:val="single"/>
                  </w:tcBorders>
                  <w:tcMar>
                    <w:top w:w="85.0" w:type="dxa"/>
                    <w:bottom w:w="85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before="0" w:line="245" w:lineRule="auto"/>
                    <w:jc w:val="right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6"/>
                      <w:szCs w:val="16"/>
                      <w:rtl w:val="0"/>
                    </w:rPr>
                    <w:t xml:space="preserve">0,7994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MLP uzyskał najwyższe ROC-AUC (0,9974), ale przewaga nad LogReg jest minimalna. W regresji skuteczniejszy był HistGB (R² = 0,8337) niż MLP (0,7994) - sieć nie musi wygrywać na danych tabelarycznych.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Wyciek danych: niewłaściwa walidacja (zad. 5.1-5.2)</w:t>
      </w:r>
    </w:p>
    <w:tbl>
      <w:tblPr>
        <w:tblStyle w:val="Table4"/>
        <w:tblW w:w="997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69"/>
        <w:gridCol w:w="4309"/>
        <w:tblGridChange w:id="0">
          <w:tblGrid>
            <w:gridCol w:w="5669"/>
            <w:gridCol w:w="430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3456000" cy="194887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948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60" w:line="254" w:lineRule="auto"/>
              <w:ind w:left="0" w:right="0" w:firstLine="0"/>
              <w:jc w:val="center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Rys. 1. Selekcja cech przed CV zawyża accuracy.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54" w:lineRule="auto"/>
              <w:ind w:left="0" w:right="0" w:firstLine="0"/>
              <w:jc w:val="left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Czysty szum: </w:t>
            </w: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selekcja przed CV = 0,90, poprawny Pipeline = 0,47 (blisko 0,50).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54" w:lineRule="auto"/>
              <w:ind w:left="0" w:right="0" w:firstLine="0"/>
              <w:jc w:val="left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Zależne rekordy: </w:t>
            </w: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RandomForest KFold 0,9625 vs GroupKFold 0,4900; kNN 1,0000 vs 0,4625.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54" w:lineRule="auto"/>
              <w:ind w:left="0" w:right="0" w:firstLine="0"/>
              <w:jc w:val="left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Mechanizm: </w:t>
            </w: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informacja z walidacji trafia do selekcji lub te same jednostki są obecne po obu stronach podziału. Poprawka: Pipeline + podział po pacjentach/grupach.</w:t>
            </w:r>
          </w:p>
        </w:tc>
      </w:tr>
    </w:tbl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Niepewność oceny i test hipotezy (zad. 6.1)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MLP, 5-fold CV: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średnie ROC-AUC = 0,99546; skorygowany 95% CI Nadeau-Bengio = [0,98621; 1,00000] (przycięto górny kraniec do 1).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Różnica MLP - LogReg: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Δ = -0,00031, 95% CI = [-0,00339; 0,00277]. Przedział obejmuje zero: brak dowodu, że MLP jest lepszy od regresji logistycznej.</w:t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Próg decyzji i kalibracja (zad. 3.1-3.2)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Próg dobrany na walidacji: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0,0453 zamiast 0,5. Na teście czułość wzrosła z 95,24% (40/42) do 100% (42/42), ale liczba fałszywych alarmów wzrosła z 1 do 7, a precision spadła z 97,56% do 85,71%.</w:t>
      </w:r>
    </w:p>
    <w:tbl>
      <w:tblPr>
        <w:tblStyle w:val="Table5"/>
        <w:tblW w:w="992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1"/>
        <w:gridCol w:w="4961"/>
        <w:tblGridChange w:id="0">
          <w:tblGrid>
            <w:gridCol w:w="4961"/>
            <w:gridCol w:w="496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2970000" cy="15623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1562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60" w:line="254" w:lineRule="auto"/>
              <w:ind w:left="0" w:right="0" w:firstLine="0"/>
              <w:jc w:val="center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Rys. 2. Wybór progu wyłącznie na walidacji.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2970000" cy="196412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1964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60" w:line="254" w:lineRule="auto"/>
              <w:ind w:left="0" w:right="0" w:firstLine="0"/>
              <w:jc w:val="center"/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Rys. 3. Kalibracja: porównanie prawdopodobieństw.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Kalibracja Platta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dopasowana na walidacji nie poprawiła Brier Score na teście (MLP 0,01757 → MLP+Platt 0,02127). ROC-AUC ocenia porządek rankingowy, a Brier - jakość prawdopodobieństw; kalibracja nie gwarantuje poprawy.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Regresja - analiza reszt (zad. 4.1)</w:t>
      </w:r>
    </w:p>
    <w:p w:rsidR="00000000" w:rsidDel="00000000" w:rsidP="00000000" w:rsidRDefault="00000000" w:rsidRPr="00000000" w14:paraId="00000045">
      <w:pPr>
        <w:spacing w:after="20" w:before="6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6138000" cy="166298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000" cy="166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54" w:lineRule="auto"/>
        <w:ind w:left="0" w:right="0" w:firstLine="0"/>
        <w:jc w:val="center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Rys. 4. Wartości i predykcje, reszty względem predykcji oraz rozkład reszt MLP.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Rozrzut reszt rośnie przy wyższych cenach; widać też charakterystyczne skupienie wartości docelowej przy 5,0 (ok. 500 tys. USD), wynikające z ograniczenia górnego celu w zbiorze. Nie jest to błąd rysowania, lecz ograniczenie danych, które utrudnia interpretację predykcji drogich nieruchomości.</w:t>
      </w:r>
    </w:p>
    <w:p w:rsidR="00000000" w:rsidDel="00000000" w:rsidP="00000000" w:rsidRDefault="00000000" w:rsidRPr="00000000" w14:paraId="000000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4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Podsumowanie i propozycja usprawnienia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Najważniejsza jest wiarygodna procedura: rozdzielenie train/val/test, preprocessing wewnątrz każdego foldu, podział po rzeczywistych jednostkach i raportowanie niepewności. Na zbiorze Breast Cancer skuteczność MLP i LogReg jest porównywalna; dla California Housing lepiej sprawdził się HistGB. Usprawnienie: w zastosowaniu z kosztownymi przeoczeniami dobierać próg na walidacji do docelowego recall, ale przed wdrożeniem osobno ocenić koszt fałszywych alarmów oraz kalibrację.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5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Bonus (czysty szum):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najlepsze zwykłe CV = 0,55, nested CV = 0,50, czyli poziom losowy. Pokazuje to optymizm selekcji najlepszego wariantu nawet bez jawnego wycieku w pipeline. Random search na rzeczywistych danych: ROC-AUC test = 0,9980, bootstrap 95% CI [0,9923; 1,0000].</w:t>
      </w:r>
    </w:p>
    <w:sectPr>
      <w:pgSz w:h="16838" w:w="11906" w:orient="portrait"/>
      <w:pgMar w:bottom="822" w:top="873" w:left="907" w:right="90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f3a"/>
        <w:sz w:val="19"/>
        <w:szCs w:val="19"/>
        <w:lang w:val="en"/>
      </w:rPr>
    </w:rPrDefault>
    <w:pPrDefault>
      <w:pPr>
        <w:spacing w:after="74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