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Sprawozdanie – laboratorium 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Uczenie głębokie  |  Sieci CNN, ResNet i transfer learning  |  przebieg pełny, 14.10.2026</w:t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Cel: sprawdzenie działania splotu, porównanie CNN z MLP i ocena wpływu augmentacji, połączeń residualnych oraz transfer learningu na klasyfikację obrazów. Eksperymenty wykonano lokalnie w TensorFlow 2.19.1 (CPU).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Fashion-MNIST – hipoteza i porównanie (zad. 2.1)</w:t>
      </w:r>
    </w:p>
    <w:tbl>
      <w:tblPr>
        <w:tblStyle w:val="Table1"/>
        <w:tblW w:w="9100.000000000002" w:type="dxa"/>
        <w:jc w:val="center"/>
        <w:tblLayout w:type="fixed"/>
        <w:tblLook w:val="0400"/>
      </w:tblPr>
      <w:tblGrid>
        <w:gridCol w:w="3628"/>
        <w:gridCol w:w="1843"/>
        <w:gridCol w:w="1928"/>
        <w:gridCol w:w="1701"/>
        <w:tblGridChange w:id="0">
          <w:tblGrid>
            <w:gridCol w:w="3628"/>
            <w:gridCol w:w="1843"/>
            <w:gridCol w:w="1928"/>
            <w:gridCol w:w="1701"/>
          </w:tblGrid>
        </w:tblGridChange>
      </w:tblGrid>
      <w:tr>
        <w:trPr>
          <w:cantSplit w:val="0"/>
          <w:tblHeader w:val="0"/>
        </w:trPr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Parametry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Accuracy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MLP 256–128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235 146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86,49%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18,6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CNN 32–64 + Flatten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421 642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91,22%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119,2 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Hipoteza: CNN osiągnie wyższą dokładność niż MLP dzięki uwzględnianiu sąsiedztwa pikseli. Wynik potwierdza przewagę CNN (+4,73 p.p.), ale nie potwierdza mniejszej liczby parametrów: CNN ma ich więcej, głównie przez głowę z Flatten.</w:t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CIFAR-10 – krzywe uczenia i generalizacja (zad. 3.1)</w:t>
      </w:r>
    </w:p>
    <w:p w:rsidR="00000000" w:rsidDel="00000000" w:rsidP="00000000" w:rsidRDefault="00000000" w:rsidRPr="00000000" w14:paraId="00000013">
      <w:pPr>
        <w:spacing w:after="0" w:before="4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</w:rPr>
        <w:drawing>
          <wp:inline distB="0" distT="0" distL="114300" distR="114300">
            <wp:extent cx="4572000" cy="14957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4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</w:rPr>
        <w:drawing>
          <wp:inline distB="0" distT="0" distL="114300" distR="114300">
            <wp:extent cx="4572000" cy="14957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76" w:lineRule="auto"/>
        <w:ind w:left="0" w:right="0" w:firstLine="0"/>
        <w:jc w:val="center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Rys. 1. Krzywe loss i accuracy: CNN baseline (góra) oraz CNN BN + augmentacja (dół).</w:t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Baseline wykazuje przeuczenie: po ok. 7. epoce val_loss rośnie, mimo dalszego spadku train_loss. BatchNorm, Dropout i augmentacja ograniczyły to zjawisko; accuracy test wzrosła z 70,72% do 79,54% (+8,82 p.p.). Wynik pozostał 0,46 p.p. poniżej kryterium 80%.</w:t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Zestawienie modeli CIFAR-10 (zad. 6.3)</w:t>
      </w:r>
    </w:p>
    <w:tbl>
      <w:tblPr>
        <w:tblStyle w:val="Table2"/>
        <w:tblW w:w="9099.0" w:type="dxa"/>
        <w:jc w:val="center"/>
        <w:tblLayout w:type="fixed"/>
        <w:tblLook w:val="0400"/>
      </w:tblPr>
      <w:tblGrid>
        <w:gridCol w:w="3600"/>
        <w:gridCol w:w="1559"/>
        <w:gridCol w:w="2183"/>
        <w:gridCol w:w="1757"/>
        <w:tblGridChange w:id="0">
          <w:tblGrid>
            <w:gridCol w:w="3600"/>
            <w:gridCol w:w="1559"/>
            <w:gridCol w:w="2183"/>
            <w:gridCol w:w="1757"/>
          </w:tblGrid>
        </w:tblGridChange>
      </w:tblGrid>
      <w:tr>
        <w:trPr>
          <w:cantSplit w:val="0"/>
          <w:tblHeader w:val="0"/>
        </w:trPr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Parametry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Train /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476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Accuracy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CNN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356 810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45 000 / 10 000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70,72%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CNN BN + augmentacja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551 914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45 000 / 10 000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79,54%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Mini-ResNet +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309 994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45 000 / 10 000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78,41%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MobileNetV2 – zamrożona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2 270 794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9 000 / 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83,15%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Lines w:val="1"/>
              <w:spacing w:after="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MobileNetV2 –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2 270 794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9 000 / 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e4ea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  <w:sz w:val="16"/>
                <w:szCs w:val="16"/>
                <w:rtl w:val="0"/>
              </w:rPr>
              <w:t xml:space="preserve">84,05%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Mini-ResNet miał mniej parametrów od CNN BN+aug, ale uzyskał 78,41% (poniżej progu 80%). Fine-tuning MobileNetV2 poprawił wynik o 0,90 p.p. Uwaga: MobileNetV2 oceniano na mniejszym podzbiorze testowym (2 000 vs 10 000 obrazów); nie jest to w pełni równoważne porównanie.</w:t>
      </w:r>
    </w:p>
    <w:p w:rsidR="00000000" w:rsidDel="00000000" w:rsidP="00000000" w:rsidRDefault="00000000" w:rsidRPr="00000000" w14:paraId="00000031">
      <w:pPr>
        <w:rPr>
          <w:rFonts w:ascii="Lato" w:cs="Lato" w:eastAsia="Lato" w:hAnsi="Lato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MobileNetV2 – macierz pomyłek (zad. 6.3)</w:t>
      </w:r>
    </w:p>
    <w:tbl>
      <w:tblPr>
        <w:tblStyle w:val="Table3"/>
        <w:tblW w:w="10036.0" w:type="dxa"/>
        <w:jc w:val="center"/>
        <w:tblLayout w:type="fixed"/>
        <w:tblLook w:val="0400"/>
      </w:tblPr>
      <w:tblGrid>
        <w:gridCol w:w="5018"/>
        <w:gridCol w:w="5018"/>
        <w:tblGridChange w:id="0">
          <w:tblGrid>
            <w:gridCol w:w="5018"/>
            <w:gridCol w:w="50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Lines w:val="1"/>
              <w:spacing w:after="0" w:lineRule="auto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0" distT="0" distL="114300" distR="114300">
                  <wp:extent cx="3528000" cy="3064259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30642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Lines w:val="1"/>
              <w:spacing w:after="0" w:before="16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Wynik końcowy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17"/>
                <w:szCs w:val="17"/>
                <w:rtl w:val="0"/>
              </w:rPr>
              <w:t xml:space="preserve">84,05% accuracy test na 2 000 obrazów; średni F1 (macro) ≈ 0,84.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Najczęstsze pomyłki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17"/>
                <w:szCs w:val="17"/>
                <w:rtl w:val="0"/>
              </w:rPr>
              <w:t xml:space="preserve">Kot i pies: 40 pomyłek w obu kierunkach; kot i jeleń: 24. Zwierzęta mają zbliżone sylwetki i tekstury.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Klasy łatwiejsze</w:t>
              <w:br w:type="textWrapping"/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17"/>
                <w:szCs w:val="17"/>
                <w:rtl w:val="0"/>
              </w:rPr>
              <w:t xml:space="preserve">Samochód, ciężarówka i statek mają wysokie wartości recall (odpowiednio 0,94; 0,94; 0,92).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76" w:lineRule="auto"/>
        <w:ind w:left="0" w:right="0" w:firstLine="0"/>
        <w:jc w:val="center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Rys. 2. Macierz pomyłek MobileNetV2 po fine-tuningu; wiersze = etykiety rzeczywiste.</w:t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Czego uczą się warstwy splotowe? (zad. 5.1)</w:t>
      </w:r>
    </w:p>
    <w:p w:rsidR="00000000" w:rsidDel="00000000" w:rsidP="00000000" w:rsidRDefault="00000000" w:rsidRPr="00000000" w14:paraId="00000037">
      <w:pPr>
        <w:spacing w:after="0" w:before="40" w:lineRule="auto"/>
        <w:jc w:val="center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</w:rPr>
        <w:drawing>
          <wp:inline distB="0" distT="0" distL="114300" distR="114300">
            <wp:extent cx="5903999" cy="176716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67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40" w:line="276" w:lineRule="auto"/>
        <w:ind w:left="0" w:right="0" w:firstLine="0"/>
        <w:jc w:val="center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Rys. 3. Osiem map cech z warstwy płytkiej (32×32) i głębokiej (8×8).</w:t>
      </w:r>
    </w:p>
    <w:p w:rsidR="00000000" w:rsidDel="00000000" w:rsidP="00000000" w:rsidRDefault="00000000" w:rsidRPr="00000000" w14:paraId="00000039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W płytkich warstwach widać jeszcze lokalne krawędzie, kontrast i kontur obiektu. Głębsze mapy mają niższą rozdzielczość i większe pole recepcyjne; trudniej przypisać je człowiekowi do konkretnej cechy wizualnej.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Wnioski i propozycja usprawnienia (UGŁ_U02)</w:t>
      </w:r>
    </w:p>
    <w:p w:rsidR="00000000" w:rsidDel="00000000" w:rsidP="00000000" w:rsidRDefault="00000000" w:rsidRPr="00000000" w14:paraId="0000003B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Transfer learning z MobileNetV2 osiągnął najlepszy wynik liczbowy w tym zestawieniu, a CNN wyraźnie przewyższyła MLP na Fashion-MNIST. Zadanie dodatkowe Grad-CAM wykazało, że sieć czasem zwraca uwagę także na tło, co ogranicza interpretację jej decyzji.</w:t>
      </w:r>
    </w:p>
    <w:p w:rsidR="00000000" w:rsidDel="00000000" w:rsidP="00000000" w:rsidRDefault="00000000" w:rsidRPr="00000000" w14:paraId="0000003C">
      <w:pPr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Propozycja do kolejnego eksperymentu: zwiększyć rozdzielczość wejścia MobileNetV2 z 96×96 do 128×128, zachowując ten sam podział danych i metryki. Może to ułatwić rozróżnianie podobnych zwierząt, ale zwiększy koszt obliczeń. Usprawnienia nie testowano w tym przebiegu.</w:t>
      </w:r>
    </w:p>
    <w:sectPr>
      <w:pgSz w:h="16838" w:w="11906" w:orient="portrait"/>
      <w:pgMar w:bottom="765" w:top="822" w:left="935" w:right="935" w:header="283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73039"/>
        <w:sz w:val="18"/>
        <w:szCs w:val="18"/>
        <w:lang w:val="en"/>
      </w:rPr>
    </w:rPrDefault>
    <w:pPrDefault>
      <w:pPr>
        <w:spacing w:after="10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