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Lato" w:cs="Lato" w:eastAsia="Lato" w:hAnsi="Lato"/>
          <w:color w:val="000000"/>
        </w:rPr>
      </w:pPr>
      <w:r w:rsidDel="00000000" w:rsidR="00000000" w:rsidRPr="00000000">
        <w:rPr>
          <w:rFonts w:ascii="Lato" w:cs="Lato" w:eastAsia="Lato" w:hAnsi="Lato"/>
          <w:color w:val="000000"/>
          <w:rtl w:val="0"/>
        </w:rPr>
        <w:t xml:space="preserve">Lab07 - Modele generatywne: VAE i GAN</w:t>
      </w:r>
    </w:p>
    <w:p w:rsidR="00000000" w:rsidDel="00000000" w:rsidP="00000000" w:rsidRDefault="00000000" w:rsidRPr="00000000" w14:paraId="00000002">
      <w:pPr>
        <w:pStyle w:val="Subtitle"/>
        <w:rPr>
          <w:rFonts w:ascii="Lato" w:cs="Lato" w:eastAsia="Lato" w:hAnsi="Lato"/>
          <w:color w:val="000000"/>
        </w:rPr>
      </w:pPr>
      <w:r w:rsidDel="00000000" w:rsidR="00000000" w:rsidRPr="00000000">
        <w:rPr>
          <w:rFonts w:ascii="Lato" w:cs="Lato" w:eastAsia="Lato" w:hAnsi="Lato"/>
          <w:color w:val="000000"/>
          <w:rtl w:val="0"/>
        </w:rPr>
        <w:t xml:space="preserve">Krzysztof Rusak | Uczenie głębokie i jego zastosowania | 15.10.2026</w:t>
      </w:r>
    </w:p>
    <w:p w:rsidR="00000000" w:rsidDel="00000000" w:rsidP="00000000" w:rsidRDefault="00000000" w:rsidRPr="00000000" w14:paraId="00000003">
      <w:pPr>
        <w:pStyle w:val="Heading1"/>
        <w:rPr>
          <w:rFonts w:ascii="Lato" w:cs="Lato" w:eastAsia="Lato" w:hAnsi="Lato"/>
          <w:color w:val="000000"/>
        </w:rPr>
      </w:pPr>
      <w:r w:rsidDel="00000000" w:rsidR="00000000" w:rsidRPr="00000000">
        <w:rPr>
          <w:rFonts w:ascii="Lato" w:cs="Lato" w:eastAsia="Lato" w:hAnsi="Lato"/>
          <w:color w:val="000000"/>
          <w:rtl w:val="0"/>
        </w:rPr>
        <w:t xml:space="preserve">1. Cel i metodyka</w:t>
      </w:r>
    </w:p>
    <w:p w:rsidR="00000000" w:rsidDel="00000000" w:rsidP="00000000" w:rsidRDefault="00000000" w:rsidRPr="00000000" w14:paraId="00000004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Celem było generowanie cyfr przez VAE i ubrań przez DCGAN oraz ocena jakości i różnorodności próbek. Przebieg FULL z FID-lite wykonano na CPU (TensorFlow 2.20.0, Keras 3.15.1; seed 42, batch 128), w 56 min 47 s. VAE: MNIST 54 000/6000/10 000 obrazów train/val/test; GAN: pula treningowa Fashion-MNIST 60 000 obrazów. Główny VAE i GAN trenowano po 30 epok. Opcjonalnego GAN-a w PyTorch nie uruchamiano.</w:t>
      </w:r>
    </w:p>
    <w:p w:rsidR="00000000" w:rsidDel="00000000" w:rsidP="00000000" w:rsidRDefault="00000000" w:rsidRPr="00000000" w14:paraId="00000005">
      <w:pPr>
        <w:pStyle w:val="Heading1"/>
        <w:rPr>
          <w:rFonts w:ascii="Lato" w:cs="Lato" w:eastAsia="Lato" w:hAnsi="Lato"/>
          <w:color w:val="000000"/>
        </w:rPr>
      </w:pPr>
      <w:r w:rsidDel="00000000" w:rsidR="00000000" w:rsidRPr="00000000">
        <w:rPr>
          <w:rFonts w:ascii="Lato" w:cs="Lato" w:eastAsia="Lato" w:hAnsi="Lato"/>
          <w:color w:val="000000"/>
          <w:rtl w:val="0"/>
        </w:rPr>
        <w:t xml:space="preserve">2. VAE: rekonstrukcja i przestrzeń latentna</w:t>
      </w:r>
    </w:p>
    <w:p w:rsidR="00000000" w:rsidDel="00000000" w:rsidP="00000000" w:rsidRDefault="00000000" w:rsidRPr="00000000" w14:paraId="00000006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VAE ma latent 2D i stratę L = BCE + β·KL (BCE sumowana po pikselach, następnie uśredniana po próbkach). Dla β = 1 końcowe L wyniosło 148,54 na treningu i 151,43 na walidacji; na teście: L = 149,91, BCE = 143,63, KL = 6,28. Nie widać gwałtownego rozchodzenia się strat train i val.</w:t>
      </w:r>
    </w:p>
    <w:tbl>
      <w:tblPr>
        <w:tblStyle w:val="Table1"/>
        <w:tblW w:w="9978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839"/>
        <w:gridCol w:w="4139"/>
        <w:tblGridChange w:id="0">
          <w:tblGrid>
            <w:gridCol w:w="5839"/>
            <w:gridCol w:w="4139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1"/>
              <w:spacing w:after="0" w:before="0" w:line="240" w:lineRule="auto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</w:rPr>
              <w:drawing>
                <wp:inline distB="0" distT="0" distL="114300" distR="114300">
                  <wp:extent cx="3636000" cy="2712752"/>
                  <wp:effectExtent b="0" l="0" r="0" t="0"/>
                  <wp:docPr descr="Przestrzen latentna VAE: srednie z_mean dla testowych cyfr MNIST, kolor oznacza cyfre." id="1" name="image4.png"/>
                  <a:graphic>
                    <a:graphicData uri="http://schemas.openxmlformats.org/drawingml/2006/picture">
                      <pic:pic>
                        <pic:nvPicPr>
                          <pic:cNvPr descr="Przestrzen latentna VAE: srednie z_mean dla testowych cyfr MNIST, kolor oznacza cyfre."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6000" cy="271275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1"/>
              <w:spacing w:after="0" w:before="0" w:line="240" w:lineRule="auto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</w:rPr>
              <w:drawing>
                <wp:inline distB="0" distT="0" distL="114300" distR="114300">
                  <wp:extent cx="2556000" cy="2639001"/>
                  <wp:effectExtent b="0" l="0" r="0" t="0"/>
                  <wp:docPr descr="Siatka 15 na 15 cyfr wygenerowanych z kwantyli rozkladu normalnego w przestrzeni latentnej." id="3" name="image5.png"/>
                  <a:graphic>
                    <a:graphicData uri="http://schemas.openxmlformats.org/drawingml/2006/picture">
                      <pic:pic>
                        <pic:nvPicPr>
                          <pic:cNvPr descr="Siatka 15 na 15 cyfr wygenerowanych z kwantyli rozkladu normalnego w przestrzeni latentnej."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6000" cy="263900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40" w:line="246.99999999999994" w:lineRule="auto"/>
        <w:ind w:left="0" w:right="0" w:firstLine="0"/>
        <w:jc w:val="left"/>
        <w:rPr>
          <w:rFonts w:ascii="Lato" w:cs="Lato" w:eastAsia="Lato" w:hAnsi="Lato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Rys. 1. Po lewej: z_mean; po prawej: generacja z siatki kwantyli N(0,1). Zera skupiają się głównie w lewym górnym obszarze, jedynki po prawej, a wiele pozostałych klas nakłada się w centrum. Płynne zmiany cyfr na siatce wskazują na uporządkowanie latentu, lecz rozmyte i niejednoznaczne obrazy pokazują ograniczenia reprezentacji 2D.</w:t>
      </w:r>
    </w:p>
    <w:p w:rsidR="00000000" w:rsidDel="00000000" w:rsidP="00000000" w:rsidRDefault="00000000" w:rsidRPr="00000000" w14:paraId="0000000A">
      <w:pPr>
        <w:pStyle w:val="Heading1"/>
        <w:rPr>
          <w:rFonts w:ascii="Lato" w:cs="Lato" w:eastAsia="Lato" w:hAnsi="Lato"/>
          <w:color w:val="000000"/>
        </w:rPr>
      </w:pPr>
      <w:r w:rsidDel="00000000" w:rsidR="00000000" w:rsidRPr="00000000">
        <w:rPr>
          <w:rFonts w:ascii="Lato" w:cs="Lato" w:eastAsia="Lato" w:hAnsi="Lato"/>
          <w:color w:val="000000"/>
          <w:rtl w:val="0"/>
        </w:rPr>
        <w:t xml:space="preserve">3. Wpływ wagi KL: hipoteza i weryfikacja</w:t>
      </w:r>
    </w:p>
    <w:p w:rsidR="00000000" w:rsidDel="00000000" w:rsidP="00000000" w:rsidRDefault="00000000" w:rsidRPr="00000000" w14:paraId="0000000B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Hipoteza z zadania 2.4:</w:t>
      </w:r>
      <w:r w:rsidDel="00000000" w:rsidR="00000000" w:rsidRPr="00000000">
        <w:rPr>
          <w:rFonts w:ascii="Lato" w:cs="Lato" w:eastAsia="Lato" w:hAnsi="Lato"/>
          <w:rtl w:val="0"/>
        </w:rPr>
        <w:t xml:space="preserve"> zwiększenie β poprawia regularność latentu kosztem jakości rekonstrukcji. Porównano trzy niezależne modele z tym samym seedem i budżetem 10 epok; poniżej wyniki walidacyjne i rozrzut z_mean na teście.</w:t>
      </w:r>
    </w:p>
    <w:tbl>
      <w:tblPr>
        <w:tblStyle w:val="Table2"/>
        <w:tblW w:w="10035.0" w:type="dxa"/>
        <w:jc w:val="center"/>
        <w:tblBorders>
          <w:top w:color="cfd7dc" w:space="0" w:sz="4" w:val="single"/>
          <w:left w:color="000000" w:space="0" w:sz="0" w:val="nil"/>
          <w:bottom w:color="cfd7dc" w:space="0" w:sz="4" w:val="single"/>
          <w:right w:color="000000" w:space="0" w:sz="0" w:val="nil"/>
          <w:insideH w:color="cfd7dc" w:space="0" w:sz="4" w:val="single"/>
          <w:insideV w:color="000000" w:space="0" w:sz="0" w:val="nil"/>
        </w:tblBorders>
        <w:tblLayout w:type="fixed"/>
        <w:tblLook w:val="0400"/>
      </w:tblPr>
      <w:tblGrid>
        <w:gridCol w:w="624"/>
        <w:gridCol w:w="2381"/>
        <w:gridCol w:w="1928"/>
        <w:gridCol w:w="2551"/>
        <w:gridCol w:w="2551"/>
        <w:tblGridChange w:id="0">
          <w:tblGrid>
            <w:gridCol w:w="624"/>
            <w:gridCol w:w="2381"/>
            <w:gridCol w:w="1928"/>
            <w:gridCol w:w="2551"/>
            <w:gridCol w:w="2551"/>
          </w:tblGrid>
        </w:tblGridChange>
      </w:tblGrid>
      <w:tr>
        <w:trPr>
          <w:cantSplit w:val="1"/>
          <w:tblHeader w:val="1"/>
        </w:trPr>
        <w:tc>
          <w:tcPr>
            <w:shd w:fill="eaf0f4" w:val="clear"/>
            <w:tcMar>
              <w:top w:w="58.0" w:type="dxa"/>
              <w:left w:w="95.0" w:type="dxa"/>
              <w:bottom w:w="58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1"/>
              <w:spacing w:after="0" w:before="0" w:line="240" w:lineRule="auto"/>
              <w:jc w:val="left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sz w:val="20"/>
                <w:szCs w:val="20"/>
                <w:rtl w:val="0"/>
              </w:rPr>
              <w:t xml:space="preserve">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4" w:val="clear"/>
            <w:tcMar>
              <w:top w:w="58.0" w:type="dxa"/>
              <w:left w:w="95.0" w:type="dxa"/>
              <w:bottom w:w="58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1"/>
              <w:spacing w:after="0" w:before="0" w:line="240" w:lineRule="auto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20"/>
                <w:szCs w:val="20"/>
                <w:rtl w:val="0"/>
              </w:rPr>
              <w:t xml:space="preserve">BCE (val)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4" w:val="clear"/>
            <w:tcMar>
              <w:top w:w="58.0" w:type="dxa"/>
              <w:left w:w="95.0" w:type="dxa"/>
              <w:bottom w:w="58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1"/>
              <w:spacing w:after="0" w:before="0" w:line="240" w:lineRule="auto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20"/>
                <w:szCs w:val="20"/>
                <w:rtl w:val="0"/>
              </w:rPr>
              <w:t xml:space="preserve">KL (val)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4" w:val="clear"/>
            <w:tcMar>
              <w:top w:w="58.0" w:type="dxa"/>
              <w:left w:w="95.0" w:type="dxa"/>
              <w:bottom w:w="58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1"/>
              <w:spacing w:after="0" w:before="0" w:line="240" w:lineRule="auto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20"/>
                <w:szCs w:val="20"/>
                <w:rtl w:val="0"/>
              </w:rPr>
              <w:t xml:space="preserve">SD z1 (test)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4" w:val="clear"/>
            <w:tcMar>
              <w:top w:w="58.0" w:type="dxa"/>
              <w:left w:w="95.0" w:type="dxa"/>
              <w:bottom w:w="58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1"/>
              <w:spacing w:after="0" w:before="0" w:line="240" w:lineRule="auto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20"/>
                <w:szCs w:val="20"/>
                <w:rtl w:val="0"/>
              </w:rPr>
              <w:t xml:space="preserve">SD z2 (test)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8.0" w:type="dxa"/>
              <w:left w:w="95.0" w:type="dxa"/>
              <w:bottom w:w="58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1"/>
              <w:spacing w:after="0" w:before="0" w:line="240" w:lineRule="auto"/>
              <w:jc w:val="left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0,1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left w:w="95.0" w:type="dxa"/>
              <w:bottom w:w="58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1"/>
              <w:spacing w:after="0" w:before="0" w:line="240" w:lineRule="auto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147,57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left w:w="95.0" w:type="dxa"/>
              <w:bottom w:w="58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1"/>
              <w:spacing w:after="0" w:before="0" w:line="240" w:lineRule="auto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10,48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left w:w="95.0" w:type="dxa"/>
              <w:bottom w:w="58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1"/>
              <w:spacing w:after="0" w:before="0" w:line="240" w:lineRule="auto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1,76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left w:w="95.0" w:type="dxa"/>
              <w:bottom w:w="58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1"/>
              <w:spacing w:after="0" w:before="0" w:line="240" w:lineRule="auto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1,25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8.0" w:type="dxa"/>
              <w:left w:w="95.0" w:type="dxa"/>
              <w:bottom w:w="58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1"/>
              <w:spacing w:after="0" w:before="0" w:line="240" w:lineRule="auto"/>
              <w:jc w:val="left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1,0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left w:w="95.0" w:type="dxa"/>
              <w:bottom w:w="58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1"/>
              <w:spacing w:after="0" w:before="0" w:line="240" w:lineRule="auto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148,27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left w:w="95.0" w:type="dxa"/>
              <w:bottom w:w="58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1"/>
              <w:spacing w:after="0" w:before="0" w:line="240" w:lineRule="auto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6,00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left w:w="95.0" w:type="dxa"/>
              <w:bottom w:w="58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1"/>
              <w:spacing w:after="0" w:before="0" w:line="240" w:lineRule="auto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1,11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left w:w="95.0" w:type="dxa"/>
              <w:bottom w:w="58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1"/>
              <w:spacing w:after="0" w:before="0" w:line="240" w:lineRule="auto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0,98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8.0" w:type="dxa"/>
              <w:left w:w="95.0" w:type="dxa"/>
              <w:bottom w:w="58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="240" w:lineRule="auto"/>
              <w:jc w:val="left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4,0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left w:w="95.0" w:type="dxa"/>
              <w:bottom w:w="58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="240" w:lineRule="auto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157,46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left w:w="95.0" w:type="dxa"/>
              <w:bottom w:w="58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="240" w:lineRule="auto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3,81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left w:w="95.0" w:type="dxa"/>
              <w:bottom w:w="58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="240" w:lineRule="auto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0,77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left w:w="95.0" w:type="dxa"/>
              <w:bottom w:w="58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1,01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40" w:line="246.99999999999994" w:lineRule="auto"/>
        <w:ind w:left="0" w:right="0" w:firstLine="0"/>
        <w:jc w:val="left"/>
        <w:rPr>
          <w:rFonts w:ascii="Lato" w:cs="Lato" w:eastAsia="Lato" w:hAnsi="Lato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Tabela 1. BCE i KL raportowano osobno, ponieważ zmiana β zmienia definicję łącznej straty.</w:t>
      </w:r>
    </w:p>
    <w:p w:rsidR="00000000" w:rsidDel="00000000" w:rsidP="00000000" w:rsidRDefault="00000000" w:rsidRPr="00000000" w14:paraId="00000021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Weryfikacja:</w:t>
      </w:r>
      <w:r w:rsidDel="00000000" w:rsidR="00000000" w:rsidRPr="00000000">
        <w:rPr>
          <w:rFonts w:ascii="Lato" w:cs="Lato" w:eastAsia="Lato" w:hAnsi="Lato"/>
          <w:rtl w:val="0"/>
        </w:rPr>
        <w:t xml:space="preserve"> wynik jest zgodny z kierunkiem hipotezy - przy wzroście β KL maleje, a BCE rośnie. Nie jest to dowód idealnej normalności latentu ani wynik testu istotności: zastosowano jedno ziarno losowości. Tych modeli nie porównuje się bezpośrednio z głównym VAE bez uwzględnienia różnicy 10 i 30 epok.</w:t>
      </w:r>
    </w:p>
    <w:p w:rsidR="00000000" w:rsidDel="00000000" w:rsidP="00000000" w:rsidRDefault="00000000" w:rsidRPr="00000000" w14:paraId="00000022">
      <w:pPr>
        <w:rPr>
          <w:rFonts w:ascii="Lato" w:cs="Lato" w:eastAsia="Lato" w:hAnsi="Lato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>
          <w:rFonts w:ascii="Lato" w:cs="Lato" w:eastAsia="Lato" w:hAnsi="Lato"/>
          <w:color w:val="000000"/>
        </w:rPr>
      </w:pPr>
      <w:r w:rsidDel="00000000" w:rsidR="00000000" w:rsidRPr="00000000">
        <w:rPr>
          <w:rFonts w:ascii="Lato" w:cs="Lato" w:eastAsia="Lato" w:hAnsi="Lato"/>
          <w:color w:val="000000"/>
          <w:rtl w:val="0"/>
        </w:rPr>
        <w:t xml:space="preserve">4. DCGAN: przebieg uczenia i ewolucja próbek</w:t>
      </w:r>
    </w:p>
    <w:p w:rsidR="00000000" w:rsidDel="00000000" w:rsidP="00000000" w:rsidRDefault="00000000" w:rsidRPr="00000000" w14:paraId="00000024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Generator: 960 257 parametrów i szum 128D; dyskryminator: 138 561 parametrów. Użyto dwóch optymalizatorów Adam (lr = 0,0002, β₁ = 0,5), osobnych kroków G i D oraz label smoothing 0,9 dla obrazów rzeczywistych.</w:t>
      </w:r>
    </w:p>
    <w:tbl>
      <w:tblPr>
        <w:tblStyle w:val="Table3"/>
        <w:tblW w:w="9978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989"/>
        <w:gridCol w:w="4989"/>
        <w:tblGridChange w:id="0">
          <w:tblGrid>
            <w:gridCol w:w="4989"/>
            <w:gridCol w:w="4989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1"/>
              <w:spacing w:after="0" w:before="0" w:line="240" w:lineRule="auto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</w:rPr>
              <w:drawing>
                <wp:inline distB="0" distT="0" distL="114300" distR="114300">
                  <wp:extent cx="3096000" cy="1674749"/>
                  <wp:effectExtent b="0" l="0" r="0" t="0"/>
                  <wp:docPr descr="Straty generatora i dyskryminatora po kolejnych 30 epokach, dane z historia_gan.csv." id="2" name="image2.png"/>
                  <a:graphic>
                    <a:graphicData uri="http://schemas.openxmlformats.org/drawingml/2006/picture">
                      <pic:pic>
                        <pic:nvPicPr>
                          <pic:cNvPr descr="Straty generatora i dyskryminatora po kolejnych 30 epokach, dane z historia_gan.csv."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000" cy="167474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1"/>
              <w:spacing w:after="0" w:before="0" w:line="240" w:lineRule="auto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</w:rPr>
              <w:drawing>
                <wp:inline distB="0" distT="0" distL="114300" distR="114300">
                  <wp:extent cx="3096000" cy="1674749"/>
                  <wp:effectExtent b="0" l="0" r="0" t="0"/>
                  <wp:docPr descr="Srednie wyjscia dyskryminatora D(x) oraz D(G(z)) w kolejnych epokach." id="5" name="image1.png"/>
                  <a:graphic>
                    <a:graphicData uri="http://schemas.openxmlformats.org/drawingml/2006/picture">
                      <pic:pic>
                        <pic:nvPicPr>
                          <pic:cNvPr descr="Srednie wyjscia dyskryminatora D(x) oraz D(G(z)) w kolejnych epokach."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000" cy="167474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40" w:line="246.99999999999994" w:lineRule="auto"/>
        <w:ind w:left="0" w:right="0" w:firstLine="0"/>
        <w:jc w:val="left"/>
        <w:rPr>
          <w:rFonts w:ascii="Lato" w:cs="Lato" w:eastAsia="Lato" w:hAnsi="Lato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Rys. 2. Końcowo: d_loss = 1,241, g_loss = 1,013, D(x) = 0,513 i D(G(z)) = 0,387. Straty nie uciekają do wartości skrajnych; D(x) pozostaje poniżej orientacyjnych 0,6-0,7 z instrukcji. Same krzywe opisują grę G-D, a nie realizm obrazów.</w:t>
      </w:r>
    </w:p>
    <w:p w:rsidR="00000000" w:rsidDel="00000000" w:rsidP="00000000" w:rsidRDefault="00000000" w:rsidRPr="00000000" w14:paraId="00000028">
      <w:pPr>
        <w:keepNext w:val="1"/>
        <w:spacing w:after="0" w:lineRule="auto"/>
        <w:jc w:val="center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</w:rPr>
        <w:drawing>
          <wp:inline distB="0" distT="0" distL="114300" distR="114300">
            <wp:extent cx="6282000" cy="2327635"/>
            <wp:effectExtent b="0" l="0" r="0" t="0"/>
            <wp:docPr descr="Wybrane epoki 1, 12 i 30 z planszy ewolucji osmiu tych samych wektorow szumu; oryginalne obrazy z przebiegu FULL." id="4" name="image3.png"/>
            <a:graphic>
              <a:graphicData uri="http://schemas.openxmlformats.org/drawingml/2006/picture">
                <pic:pic>
                  <pic:nvPicPr>
                    <pic:cNvPr descr="Wybrane epoki 1, 12 i 30 z planszy ewolucji osmiu tych samych wektorow szumu; oryginalne obrazy z przebiegu FULL."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2000" cy="2327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40" w:line="246.99999999999994" w:lineRule="auto"/>
        <w:ind w:left="0" w:right="0" w:firstLine="0"/>
        <w:jc w:val="left"/>
        <w:rPr>
          <w:rFonts w:ascii="Lato" w:cs="Lato" w:eastAsia="Lato" w:hAnsi="Lato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Rys. 3. Te same 8 wektorów szumu; wybrane epoki 1, 12 i 30. Kontury ubrań i obuwia stają się wyraźniejsze, ale część tekstur nadal jest nienaturalna. Pełna plansza obejmuje także epoki 6, 18 i 24.</w:t>
      </w:r>
    </w:p>
    <w:p w:rsidR="00000000" w:rsidDel="00000000" w:rsidP="00000000" w:rsidRDefault="00000000" w:rsidRPr="00000000" w14:paraId="0000002A">
      <w:pPr>
        <w:pStyle w:val="Heading1"/>
        <w:rPr>
          <w:rFonts w:ascii="Lato" w:cs="Lato" w:eastAsia="Lato" w:hAnsi="Lato"/>
          <w:color w:val="000000"/>
        </w:rPr>
      </w:pPr>
      <w:r w:rsidDel="00000000" w:rsidR="00000000" w:rsidRPr="00000000">
        <w:rPr>
          <w:rFonts w:ascii="Lato" w:cs="Lato" w:eastAsia="Lato" w:hAnsi="Lato"/>
          <w:color w:val="000000"/>
          <w:rtl w:val="0"/>
        </w:rPr>
        <w:t xml:space="preserve">5. Różnorodność, FID-lite i ograniczenia</w:t>
      </w:r>
    </w:p>
    <w:p w:rsidR="00000000" w:rsidDel="00000000" w:rsidP="00000000" w:rsidRDefault="00000000" w:rsidRPr="00000000" w14:paraId="0000002B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Klasyfikator pomocniczy osiągnął 90,88% accuracy na prawdziwym teście. Dla 5000 próbek GAN-a znormalizowana entropia klas = 0,9900 (real: 0,9995), a średnia maksymalna pewność = 78,01% (real: 91,63%). Wszystkie 10 klas ma udział 6,90-13,88%. Obrazy i histogram nie wskazują na wyraźny collapse do kilku klas, ale nie wykluczają powtarzalności wewnątrz klas. Entropia nie mierzy odsetka poprawnych obrazów.</w:t>
      </w:r>
    </w:p>
    <w:tbl>
      <w:tblPr>
        <w:tblStyle w:val="Table4"/>
        <w:tblW w:w="10035.0" w:type="dxa"/>
        <w:jc w:val="center"/>
        <w:tblBorders>
          <w:top w:color="cfd7dc" w:space="0" w:sz="4" w:val="single"/>
          <w:left w:color="000000" w:space="0" w:sz="0" w:val="nil"/>
          <w:bottom w:color="cfd7dc" w:space="0" w:sz="4" w:val="single"/>
          <w:right w:color="000000" w:space="0" w:sz="0" w:val="nil"/>
          <w:insideH w:color="cfd7dc" w:space="0" w:sz="4" w:val="single"/>
          <w:insideV w:color="000000" w:space="0" w:sz="0" w:val="nil"/>
        </w:tblBorders>
        <w:tblLayout w:type="fixed"/>
        <w:tblLook w:val="0400"/>
      </w:tblPr>
      <w:tblGrid>
        <w:gridCol w:w="7767"/>
        <w:gridCol w:w="2268"/>
        <w:tblGridChange w:id="0">
          <w:tblGrid>
            <w:gridCol w:w="7767"/>
            <w:gridCol w:w="2268"/>
          </w:tblGrid>
        </w:tblGridChange>
      </w:tblGrid>
      <w:tr>
        <w:trPr>
          <w:cantSplit w:val="1"/>
          <w:tblHeader w:val="1"/>
        </w:trPr>
        <w:tc>
          <w:tcPr>
            <w:shd w:fill="eaf0f4" w:val="clear"/>
            <w:tcMar>
              <w:top w:w="58.0" w:type="dxa"/>
              <w:left w:w="95.0" w:type="dxa"/>
              <w:bottom w:w="58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1"/>
              <w:spacing w:after="0" w:before="0" w:line="240" w:lineRule="auto"/>
              <w:jc w:val="left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20"/>
                <w:szCs w:val="20"/>
                <w:rtl w:val="0"/>
              </w:rPr>
              <w:t xml:space="preserve">Porównanie (po 5000 obrazów)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4" w:val="clear"/>
            <w:tcMar>
              <w:top w:w="58.0" w:type="dxa"/>
              <w:left w:w="95.0" w:type="dxa"/>
              <w:bottom w:w="58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1"/>
              <w:spacing w:after="0" w:before="0" w:line="240" w:lineRule="auto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20"/>
                <w:szCs w:val="20"/>
                <w:rtl w:val="0"/>
              </w:rPr>
              <w:t xml:space="preserve">FID-lite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8.0" w:type="dxa"/>
              <w:left w:w="95.0" w:type="dxa"/>
              <w:bottom w:w="58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1"/>
              <w:spacing w:after="0" w:before="0" w:line="240" w:lineRule="auto"/>
              <w:jc w:val="left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real A - real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left w:w="95.0" w:type="dxa"/>
              <w:bottom w:w="58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1"/>
              <w:spacing w:after="0" w:before="0" w:line="240" w:lineRule="auto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0,269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8.0" w:type="dxa"/>
              <w:left w:w="95.0" w:type="dxa"/>
              <w:bottom w:w="58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1"/>
              <w:spacing w:after="0" w:before="0" w:line="240" w:lineRule="auto"/>
              <w:jc w:val="left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real - GAN po treningu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left w:w="95.0" w:type="dxa"/>
              <w:bottom w:w="58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1"/>
              <w:spacing w:after="0" w:before="0" w:line="240" w:lineRule="auto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15,376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8.0" w:type="dxa"/>
              <w:left w:w="95.0" w:type="dxa"/>
              <w:bottom w:w="58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jc w:val="left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real - generator niewytrenowany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left w:w="95.0" w:type="dxa"/>
              <w:bottom w:w="58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270,176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40" w:line="246.99999999999994" w:lineRule="auto"/>
        <w:ind w:left="0" w:right="0" w:firstLine="0"/>
        <w:jc w:val="left"/>
        <w:rPr>
          <w:rFonts w:ascii="Lato" w:cs="Lato" w:eastAsia="Lato" w:hAnsi="Lato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Tabela 2. Odległość Frécheta w 64-wymiarowych cechach tego samego klasyfikatora.</w:t>
      </w:r>
    </w:p>
    <w:p w:rsidR="00000000" w:rsidDel="00000000" w:rsidP="00000000" w:rsidRDefault="00000000" w:rsidRPr="00000000" w14:paraId="00000035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Spełniono oczekiwany porządek: real-real &lt; real-GAN &lt;&lt; real-generator niewytrenowany. FID-lite nie jest standardowym Inception FID i nie jest porównywalny z literaturą. Osiem par najbliższych sąsiadów nie rozstrzyga, czy model zapamiętuje trening. Wnioski dotyczą jednego przebiegu; brak powtórzeń ogranicza ich uogólnienie.</w:t>
      </w:r>
    </w:p>
    <w:p w:rsidR="00000000" w:rsidDel="00000000" w:rsidP="00000000" w:rsidRDefault="00000000" w:rsidRPr="00000000" w14:paraId="00000036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Propozycja dalszego eksperymentu (niewykonana):</w:t>
      </w:r>
      <w:r w:rsidDel="00000000" w:rsidR="00000000" w:rsidRPr="00000000">
        <w:rPr>
          <w:rFonts w:ascii="Lato" w:cs="Lato" w:eastAsia="Lato" w:hAnsi="Lato"/>
          <w:rtl w:val="0"/>
        </w:rPr>
        <w:t xml:space="preserve"> zmniejszyć lr dyskryminatora przy niezmienionym budżecie i porównać FID-lite oraz różnorodność dla co najmniej trzech seedów. Obecne wyniki nie potwierdzają jeszcze skuteczności tej zmiany.</w:t>
      </w:r>
    </w:p>
    <w:p w:rsidR="00000000" w:rsidDel="00000000" w:rsidP="00000000" w:rsidRDefault="00000000" w:rsidRPr="00000000" w14:paraId="00000037">
      <w:pPr>
        <w:spacing w:after="0" w:before="60" w:lineRule="auto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sz w:val="17"/>
          <w:szCs w:val="17"/>
          <w:rtl w:val="0"/>
        </w:rPr>
        <w:t xml:space="preserve">Materiały: instrukcja Lab07; podsumowanie.json, historia_gan.csv, porownanie_beta.csv, roznorodnosc_klas.csv, fid_lite.csv i Lab07_z_wynikami.ipynb (FULL). AI wykorzystano przy przygotowaniu kodu, analizie wyników i redakcji; obliczenia wykonano lokalnie.</w:t>
      </w:r>
      <w:r w:rsidDel="00000000" w:rsidR="00000000" w:rsidRPr="00000000">
        <w:rPr>
          <w:rtl w:val="0"/>
        </w:rPr>
      </w:r>
    </w:p>
    <w:sectPr>
      <w:footerReference r:id="rId11" w:type="default"/>
      <w:pgSz w:h="16838" w:w="11906" w:orient="portrait"/>
      <w:pgMar w:bottom="822" w:top="850" w:left="935" w:right="935" w:header="340" w:footer="36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Lat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06060"/>
        <w:sz w:val="16"/>
        <w:szCs w:val="16"/>
        <w:u w:val="none"/>
        <w:shd w:fill="auto" w:val="clear"/>
        <w:vertAlign w:val="baseline"/>
        <w:rtl w:val="0"/>
      </w:rPr>
      <w:t xml:space="preserve">Lab07 |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after="80" w:line="25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60" w:before="120" w:lineRule="auto"/>
    </w:pPr>
    <w:rPr>
      <w:rFonts w:ascii="Arial" w:cs="Arial" w:eastAsia="Arial" w:hAnsi="Arial"/>
      <w:b w:val="1"/>
      <w:bCs w:val="1"/>
      <w:color w:val="183d53"/>
      <w:sz w:val="23"/>
      <w:szCs w:val="23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60" w:line="240" w:lineRule="auto"/>
    </w:pPr>
    <w:rPr>
      <w:rFonts w:ascii="Arial" w:cs="Arial" w:eastAsia="Arial" w:hAnsi="Arial"/>
      <w:b w:val="1"/>
      <w:bCs w:val="1"/>
      <w:color w:val="183d53"/>
      <w:sz w:val="34"/>
      <w:szCs w:val="34"/>
    </w:rPr>
  </w:style>
  <w:style w:type="paragraph" w:styleId="Subtitle">
    <w:name w:val="Subtitle"/>
    <w:basedOn w:val="Normal"/>
    <w:next w:val="Normal"/>
    <w:pPr>
      <w:spacing w:after="140" w:lineRule="auto"/>
    </w:pPr>
    <w:rPr>
      <w:rFonts w:ascii="Arial" w:cs="Arial" w:eastAsia="Arial" w:hAnsi="Arial"/>
      <w:i w:val="0"/>
      <w:iCs w:val="0"/>
      <w:color w:val="505050"/>
      <w:sz w:val="19"/>
      <w:szCs w:val="19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Lato-regular.ttf"/><Relationship Id="rId5" Type="http://schemas.openxmlformats.org/officeDocument/2006/relationships/font" Target="fonts/Lato-bold.ttf"/><Relationship Id="rId6" Type="http://schemas.openxmlformats.org/officeDocument/2006/relationships/font" Target="fonts/Lato-italic.ttf"/><Relationship Id="rId7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