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ME 5920 Homework 2: Electricity Dataset Analysis</w:t>
      </w:r>
    </w:p>
    <w:p>
      <w:pPr>
        <w:spacing w:after="360"/>
        <w:jc w:val="center"/>
      </w:pPr>
      <w:r>
        <w:rPr>
          <w:rFonts w:ascii="Arial" w:cs="Arial" w:eastAsia="Arial" w:hAnsi="Arial"/>
          <w:color w:val="555555"/>
          <w:sz w:val="24"/>
          <w:szCs w:val="24"/>
        </w:rPr>
        <w:t xml:space="preserve">Summary of Methods and Results</w:t>
      </w:r>
    </w:p>
    <w:p>
      <w:pPr>
        <w:pStyle w:val="Heading1"/>
      </w:pPr>
      <w:r>
        <w:t xml:space="preserve">Dataset and Setup</w:t>
      </w:r>
    </w:p>
    <w:p>
      <w:pPr>
        <w:spacing w:after="120"/>
      </w:pPr>
      <w:r>
        <w:t xml:space="preserve">The electricity dataset consists of five .mat files containing energy consumption time series sampled at 1 Hz: MAINS (y1), HVAC (y2), LIGHTING (y3), APPLIANCES (y4), and OTHER_LOADS (y5). Each signal contains 262,800 time points. These were combined into a matrix X of shape (262,800 × 5), standardized using z-score normalization, and then processed through PCA.</w:t>
      </w:r>
    </w:p>
    <w:p>
      <w:pPr>
        <w:pStyle w:val="Heading1"/>
      </w:pPr>
      <w:r>
        <w:t xml:space="preserve">PCA and Dataset Reconstruction</w:t>
      </w:r>
    </w:p>
    <w:p>
      <w:pPr>
        <w:spacing w:after="120"/>
      </w:pPr>
      <w:r>
        <w:t xml:space="preserve">PCA was applied to the standardized matrix X to identify the principal components. The cumulative explained variance across components was: 50.7% (1 component), 83.3% (2), and 97.2% (3). Based on these values, the three variance thresholds required by the assignment map to the following number of components:</w:t>
      </w:r>
    </w:p>
    <w:p>
      <w:pPr>
        <w:pStyle w:val="ListParagraph"/>
        <w:numPr>
          <w:ilvl w:val="0"/>
          <w:numId w:val="2"/>
        </w:numPr>
      </w:pPr>
      <w:r>
        <w:t xml:space="preserve">70% threshold → 2 components</w:t>
      </w:r>
    </w:p>
    <w:p>
      <w:pPr>
        <w:pStyle w:val="ListParagraph"/>
        <w:numPr>
          <w:ilvl w:val="0"/>
          <w:numId w:val="2"/>
        </w:numPr>
      </w:pPr>
      <w:r>
        <w:t xml:space="preserve">90% threshold → 3 components</w:t>
      </w:r>
    </w:p>
    <w:p>
      <w:pPr>
        <w:pStyle w:val="ListParagraph"/>
        <w:numPr>
          <w:ilvl w:val="0"/>
          <w:numId w:val="2"/>
        </w:numPr>
        <w:spacing w:after="120"/>
      </w:pPr>
      <w:r>
        <w:t xml:space="preserve">95% threshold → 3 components (already at 97.2% with 3)</w:t>
      </w:r>
    </w:p>
    <w:p>
      <w:pPr>
        <w:spacing w:after="120"/>
      </w:pPr>
      <w:r>
        <w:t xml:space="preserve">Each reconstructed dataset was then min-max normalized to [0,1] and denoised using a moving average filter (window size = 10 samples) to smooth high-frequency noise before analysis.</w:t>
      </w:r>
    </w:p>
    <w:p>
      <w:pPr>
        <w:pStyle w:val="Heading1"/>
      </w:pPr>
      <w:r>
        <w:t xml:space="preserve">Direct Euclidean Distance</w:t>
      </w:r>
    </w:p>
    <w:p>
      <w:pPr>
        <w:spacing w:after="120"/>
      </w:pPr>
      <w:r>
        <w:t xml:space="preserve">Pairwise Euclidean distances were computed between all five variables for each PCA threshold. At 70%, MAINS and APPLIANCES were very similar (distance ≈ 16.7), as were LIGHTING and OTHER_LOADS (≈ 18.7). At 90% and 95%, MAINS-APPLIANCES distance jumped to ≈ 177.8, revealing that the 70% compression had artificially merged their patterns. LIGHTING and OTHER_LOADS remained close across all thresholds (≈ 14–19), consistently suggesting similar consumption behavior. Overall distances increased at higher thresholds, as more retained variance amplifies real differences between signals.</w:t>
      </w:r>
    </w:p>
    <w:p>
      <w:pPr>
        <w:pStyle w:val="Heading1"/>
      </w:pPr>
      <w:r>
        <w:t xml:space="preserve">FFT Frequency-Domain Euclidean Distance</w:t>
      </w:r>
    </w:p>
    <w:p>
      <w:pPr>
        <w:spacing w:after="120"/>
      </w:pPr>
      <w:r>
        <w:t xml:space="preserve">FFT magnitude spectra were computed for each variable and pairwise Euclidean distances calculated in the frequency domain. Results mirrored the time-domain findings but at much larger scales due to the high dimensionality of the frequency spectrum. LIGHTING and OTHER_LOADS remained the closest pair at all thresholds (≈ 7,836 at 70%; ≈ 4,661 at 90/95%). APPLIANCES became the most isolated variable at higher thresholds, with the largest distance from HVAC (≈ 98,492), suggesting a unique sporadic frequency signature consistent with intermittent appliance switching. MAINS-APPLIANCES again diverged sharply from 70% to 90%, confirming PCA compression masked real frequency-domain differences at lower thresholds.</w:t>
      </w:r>
    </w:p>
    <w:p>
      <w:pPr>
        <w:pStyle w:val="Heading1"/>
      </w:pPr>
      <w:r>
        <w:t xml:space="preserve">KL Divergence</w:t>
      </w:r>
    </w:p>
    <w:p>
      <w:pPr>
        <w:spacing w:after="120"/>
      </w:pPr>
      <w:r>
        <w:t xml:space="preserve">Probability distributions were estimated for each signal using kernel density estimation (KDE), and pairwise KL divergence was computed. KL divergence is asymmetric (P→Q ≠ Q→P), which was reflected in the results. It proved to be the most sensitive metric to PCA compression: values increased roughly 4× from 70% to 90%, far more than Euclidean or FFT distances. At 70%, MAINS and APPLIANCES had very similar distributions (≈ 38–39), but at 90/95% they diverged dramatically (≈ 600–894). HVAC and APPLIANCES were the most divergent pair at higher thresholds (≈ 1,150–1,225), suggesting fundamentally different energy-use distributions. LIGHTING and OTHER_LOADS remained similar across all thresholds.</w:t>
      </w:r>
    </w:p>
    <w:p>
      <w:pPr>
        <w:pStyle w:val="Heading1"/>
      </w:pPr>
      <w:r>
        <w:t xml:space="preserve">Wavelet-Based Comparison</w:t>
      </w:r>
    </w:p>
    <w:p>
      <w:pPr>
        <w:spacing w:after="120"/>
      </w:pPr>
      <w:r>
        <w:t xml:space="preserve">Daubechies 4 (db4) wavelet decomposition was applied at 4 levels and pairwise distances computed across all wavelet coefficients. The results were nearly identical to the direct Euclidean distances across all thresholds (e.g., MAINS-APPLIANCES: 16.72 Euclidean vs. 16.76 wavelet at 70%). This suggests that after PCA reconstruction and moving average denoising, the signals are sufficiently smooth that wavelet decomposition provides no additional structural information beyond what direct distance already captures. Local transient events and high-frequency detail were largely removed during preprocessing.</w:t>
      </w:r>
    </w:p>
    <w:p>
      <w:pPr>
        <w:pStyle w:val="Heading1"/>
      </w:pPr>
      <w:r>
        <w:t xml:space="preserve">Windowed Spectrogram and Motif Detection</w:t>
      </w:r>
    </w:p>
    <w:p>
      <w:pPr>
        <w:spacing w:after="120"/>
      </w:pPr>
      <w:r>
        <w:t xml:space="preserve">A windowed spectrogram (nperseg=1024, noverlap=512) was computed on the MAINS signal for each PCA threshold. The dominant energy was concentrated at very low frequencies (near 0 Hz), consistent with slow, gradual changes in overall household power demand. A persistent horizontal band around 0.1–0.15 Hz was visible across all three spectrograms, indicating a recurring cyclical motif likely corresponding to HVAC cycling at roughly a 7–10 second period. Higher frequencies (&gt;0.2 Hz) were essentially empty after PCA smoothing. The spectrograms were nearly identical across all three thresholds, suggesting that the dominant temporal motifs in MAINS power are preserved even at 70% PCA compression.</w:t>
      </w:r>
    </w:p>
    <w:p>
      <w:pPr>
        <w:pStyle w:val="Heading1"/>
      </w:pPr>
      <w:r>
        <w:t xml:space="preserve">Comparative Summary</w:t>
      </w:r>
    </w:p>
    <w:p>
      <w:pPr>
        <w:spacing w:after="120"/>
      </w:pPr>
      <w:r>
        <w:t xml:space="preserve">Across all metrics, two consistent findings emerged: LIGHTING and OTHER_LOADS share the most similar patterns at every threshold and under every metric, while APPLIANCES becomes increasingly isolated as more variance is retained. The 70% threshold repeatedly masked real differences—most notably between MAINS and APPLIANCES—that only became apparent at 90% and above. KL divergence was the most sensitive to PCA compression, while wavelet distances provided little additional insight over direct Euclidean distances for this dataset. Spectrogram analysis confirmed that key low-frequency motifs are robust to PCA compression, surviving even at 70% retained variance.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2026-03-08T19:14:13.897Z</dcterms:created>
  <dcterms:modified xsi:type="dcterms:W3CDTF">2026-03-08T19:14:13.898Z</dcterms:modified>
</cp:coreProperties>
</file>

<file path=docProps/custom.xml><?xml version="1.0" encoding="utf-8"?>
<Properties xmlns="http://schemas.openxmlformats.org/officeDocument/2006/custom-properties" xmlns:vt="http://schemas.openxmlformats.org/officeDocument/2006/docPropsVTypes"/>
</file>