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80" w:line="240" w:lineRule="auto"/>
      </w:pPr>
      <w:r>
        <w:rPr>
          <w:rFonts w:ascii="Arial Unicode MS" w:hAnsi="Arial Unicode MS" w:eastAsia="Arial Unicode MS" w:cs="Arial Unicode MS" w:hint="eastAsia"/>
          <w:b/>
          <w:color w:val="2E74B5"/>
          <w:sz w:val="21"/>
        </w:rPr>
        <w:t>AI PRODUCT  /  QUARTERLY REVIEW</w:t>
      </w:r>
    </w:p>
    <w:p>
      <w:pPr>
        <w:spacing w:before="0" w:after="140" w:line="240" w:lineRule="auto"/>
      </w:pPr>
      <w:r>
        <w:rPr>
          <w:rFonts w:ascii="Arial Unicode MS" w:hAnsi="Arial Unicode MS" w:eastAsia="Arial Unicode MS" w:cs="Arial Unicode MS" w:hint="eastAsia"/>
          <w:b/>
          <w:color w:val="1B1F24"/>
          <w:sz w:val="58"/>
        </w:rPr>
        <w:t>AI 产品季度复盘报告</w:t>
      </w:r>
    </w:p>
    <w:p>
      <w:pPr>
        <w:spacing w:before="0" w:after="320" w:line="240" w:lineRule="auto"/>
      </w:pPr>
      <w:r>
        <w:rPr>
          <w:rFonts w:ascii="Arial Unicode MS" w:hAnsi="Arial Unicode MS" w:eastAsia="Arial Unicode MS" w:cs="Arial Unicode MS" w:hint="eastAsia"/>
          <w:color w:val="667085"/>
          <w:sz w:val="30"/>
        </w:rPr>
        <w:t>从用户反馈到下一季度增长动作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 w:space="0"/>
          <w:left w:val="single" w:sz="0" w:color="FFFFFF" w:space="0"/>
          <w:bottom w:val="single" w:sz="0" w:color="FFFFFF" w:space="0"/>
          <w:right w:val="single" w:sz="0" w:color="FFFFFF" w:space="0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</w:rPr>
              <w:t>报告对象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21"/>
              </w:rPr>
              <w:t>产品、运营与交付团队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</w:rPr>
              <w:t>复盘周期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21"/>
              </w:rPr>
              <w:t>2026 年第二季度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</w:rPr>
              <w:t>使用场景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21"/>
              </w:rPr>
              <w:t>季度复盘、内部同步、行动对齐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</w:rPr>
              <w:t>文档状态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21"/>
              </w:rPr>
              <w:t>示例数据，可直接替换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8EEF5" w:space="0"/>
          <w:left w:val="single" w:sz="0" w:color="E8EEF5" w:space="0"/>
          <w:bottom w:val="single" w:sz="0" w:color="E8EEF5" w:space="0"/>
          <w:right w:val="single" w:sz="0" w:color="E8EEF5" w:space="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2" w:space="0" w:color="E8EEF5"/>
              <w:left w:val="single" w:sz="18" w:space="0" w:color="2E74B5"/>
              <w:bottom w:val="single" w:sz="2" w:space="0" w:color="E8EEF5"/>
              <w:right w:val="single" w:sz="2" w:space="0" w:color="E8EEF5"/>
            </w:tcBorders>
          </w:tcPr>
          <w:p>
            <w:pPr>
              <w:spacing w:before="20" w:after="20" w:line="269" w:lineRule="auto"/>
              <w:ind w:left="115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</w:rPr>
              <w:t xml:space="preserve">本季度结论  </w:t>
            </w:r>
            <w:r>
              <w:rPr>
                <w:rFonts w:ascii="Arial Unicode MS" w:hAnsi="Arial Unicode MS" w:eastAsia="Arial Unicode MS" w:cs="Arial Unicode MS" w:hint="eastAsia"/>
                <w:color w:val="1B1F24"/>
                <w:sz w:val="21"/>
              </w:rPr>
              <w:t>增长的关键不是只扩大触达，而是让用户更快从提出需求走到拿到结果。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 w:space="0"/>
          <w:left w:val="single" w:sz="6" w:color="D7DEE8" w:space="0"/>
          <w:bottom w:val="single" w:sz="6" w:color="D7DEE8" w:space="0"/>
          <w:right w:val="single" w:sz="6" w:color="D7DEE8" w:space="0"/>
          <w:insideH w:val="single" w:sz="6" w:color="D7DEE8" w:space="0"/>
          <w:insideV w:val="single" w:sz="6" w:color="D7DEE8" w:space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34"/>
              </w:rPr>
              <w:t>159.8k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0FF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6558D5"/>
                <w:sz w:val="34"/>
              </w:rPr>
              <w:t>27.5%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FE4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C96A2B"/>
                <w:sz w:val="34"/>
              </w:rPr>
              <w:t>1,784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131A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D8F36A"/>
                <w:sz w:val="34"/>
              </w:rPr>
              <w:t>¥1.21m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667085"/>
                <w:sz w:val="19"/>
              </w:rPr>
              <w:t>累计触达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0FF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667085"/>
                <w:sz w:val="19"/>
              </w:rPr>
              <w:t>平均激活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FE4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667085"/>
                <w:sz w:val="19"/>
              </w:rPr>
              <w:t>累计订单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131A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9"/>
              </w:rPr>
              <w:t>累计收入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</w:rPr>
        <w:t>执行摘要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 w:hint="eastAsia"/>
          <w:b w:val="0"/>
          <w:color w:val="1B1F24"/>
          <w:sz w:val="22"/>
        </w:rPr>
        <w:t>本季度围绕“输入更清楚、过程更稳定、交付可复用”推进产品与运营协作。通过整理高频任务、补充结果预览和交付文件，用户更容易理解能力边界，也更容易把一次成功复用到下一次任务。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1900"/>
        <w:gridCol w:w="3700"/>
        <w:gridCol w:w="37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3A5F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复盘视角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3A5F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本季度观察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3A5F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下一步动作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交付结果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用户更关心最终文件与页面是否可直接使用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把真实产出放到技能详情的第一视觉入口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工作流程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高频任务已经出现稳定的输入与交付模式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将重复步骤沉淀为简单、可复制的技能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增长信号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触达、激活、订单和收入保持同向提升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继续追踪从激活到交付的完整链路</w:t>
            </w:r>
          </w:p>
        </w:tc>
      </w:tr>
    </w:tbl>
    <w:p>
      <w:pPr>
        <w:spacing w:after="40"/>
      </w:pP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</w:rPr>
        <w:t>一、本季度完成了什么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 w:hint="eastAsia"/>
          <w:b w:val="0"/>
          <w:color w:val="1B1F24"/>
          <w:sz w:val="22"/>
        </w:rPr>
        <w:t>本季度的重点是把“能做什么”变成“交付什么”，并让用户在第一次使用时就看到清晰的结果样子。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1900"/>
        <w:gridCol w:w="3760"/>
        <w:gridCol w:w="370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完成项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实际产出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带来的变化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高频任务整理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沉淀 12 个可复用的工作流模板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从临时对话转向稳定交付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结果预览补齐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为文档、表格、PPT 和网页补充真实示例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用户能先看结果再决定是否使用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交付格式统一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明确 Word、Excel、PPT 与网页文件的下载方式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减少“生成了但拿不到”的落差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内容表达优化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提示词改成普通用户能直接说出的需求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降低第一次使用的理解成本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</w:rPr>
        <w:t>二、数据表现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 w:hint="eastAsia"/>
          <w:b w:val="0"/>
          <w:color w:val="1B1F24"/>
          <w:sz w:val="22"/>
        </w:rPr>
        <w:t>示例数据呈现出一条比较清晰的增长曲线：触达扩大后，激活率仍然保持上行，订单和收入同步增加。下一阶段要重点关注“激活之后是否真正完成交付”，避免只追求前端流量。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1350"/>
        <w:gridCol w:w="2800"/>
        <w:gridCol w:w="1800"/>
        <w:gridCol w:w="1700"/>
        <w:gridCol w:w="171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主要主题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触达人数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激活率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订单数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2026-01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内容矩阵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12,800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24.0%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98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2026-02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产品演示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14,600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25.0%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124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2026-03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案例拆解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16,100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26.0%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147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2026-04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社群共创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17,900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27.0%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179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2026-05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模板分发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20,200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28.0%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221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2026-06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工作流挑战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23,100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29.0%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275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2026-07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客户故事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25,900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30.0%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334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2026-08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生态联动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29,200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31.0%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407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EF0FF" w:space="0"/>
          <w:left w:val="single" w:sz="0" w:color="EEF0FF" w:space="0"/>
          <w:bottom w:val="single" w:sz="0" w:color="EEF0FF" w:space="0"/>
          <w:right w:val="single" w:sz="0" w:color="EEF0FF" w:space="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0FF" w:val="clear"/>
            <w:tcBorders>
              <w:top w:val="single" w:sz="2" w:space="0" w:color="EEF0FF"/>
              <w:left w:val="single" w:sz="18" w:space="0" w:color="6558D5"/>
              <w:bottom w:val="single" w:sz="2" w:space="0" w:color="EEF0FF"/>
              <w:right w:val="single" w:sz="2" w:space="0" w:color="EEF0FF"/>
            </w:tcBorders>
          </w:tcPr>
          <w:p>
            <w:pPr>
              <w:spacing w:before="20" w:after="20" w:line="269" w:lineRule="auto"/>
              <w:ind w:left="115"/>
            </w:pPr>
            <w:r>
              <w:rPr>
                <w:rFonts w:ascii="Arial Unicode MS" w:hAnsi="Arial Unicode MS" w:eastAsia="Arial Unicode MS" w:cs="Arial Unicode MS" w:hint="eastAsia"/>
                <w:b/>
                <w:color w:val="6558D5"/>
                <w:sz w:val="21"/>
              </w:rPr>
              <w:t xml:space="preserve">观察  </w:t>
            </w:r>
            <w:r>
              <w:rPr>
                <w:rFonts w:ascii="Arial Unicode MS" w:hAnsi="Arial Unicode MS" w:eastAsia="Arial Unicode MS" w:cs="Arial Unicode MS" w:hint="eastAsia"/>
                <w:color w:val="1B1F24"/>
                <w:sz w:val="21"/>
              </w:rPr>
              <w:t>触达扩大之后，激活率仍保持上行，说明内容主题与产品交付之间存在正向耦合。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</w:rPr>
        <w:t>三、主要问题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 w:hint="eastAsia"/>
          <w:b w:val="0"/>
          <w:color w:val="1B1F24"/>
          <w:sz w:val="22"/>
        </w:rPr>
        <w:t>当前仍有三个影响复用和转化的问题，需要在下一季度用更清晰的交付标准逐一解决。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1900"/>
        <w:gridCol w:w="3760"/>
        <w:gridCol w:w="370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3A5F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3A5F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3A5F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处理方向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结果不够直观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用户看到技能说明，却不知道最终文件长什么样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优先展示真实预览图，并补充完整示例文件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需求表达门槛高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新用户容易把“怎么做”写成一大段技术要求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用一句自然需求启动技能，细节交给技能处理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交付链路偏长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生成结果后还要额外寻找下载入口或整理格式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统一文件类型、下载入口和结果说明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</w:rPr>
        <w:t>四、下季度计划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EE8" w:space="0"/>
          <w:left w:val="single" w:sz="5" w:color="D7DEE8" w:space="0"/>
          <w:bottom w:val="single" w:sz="5" w:color="D7DEE8" w:space="0"/>
          <w:right w:val="single" w:sz="5" w:color="D7DEE8" w:space="0"/>
          <w:insideH w:val="single" w:sz="5" w:color="D7DEE8" w:space="0"/>
          <w:insideV w:val="single" w:sz="5" w:color="D7DEE8" w:space="0"/>
        </w:tblBorders>
      </w:tblPr>
      <w:tblGrid>
        <w:gridCol w:w="2600"/>
        <w:gridCol w:w="3200"/>
        <w:gridCol w:w="1900"/>
        <w:gridCol w:w="142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完成信号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建议负责人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</w:rPr>
              <w:t>时间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补齐重点技能的预览与附件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每个重点技能都有 1–2 张真实预览和可下载文件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产品 + 内容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7 月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优化技能详情页的阅读顺序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用户先看到示例，再看到说明和安装入口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设计 + 客户端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7 月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追踪从激活到交付的转化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能看到使用、交付、下载三个关键节点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增长负责人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8 月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color w:val="1B1F24"/>
                <w:sz w:val="18"/>
              </w:rPr>
              <w:t>沉淀高频任务的简单说法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小白只需描述目标即可开始使用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运营 + 技术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righ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B1F24"/>
                <w:sz w:val="18"/>
              </w:rPr>
              <w:t>8 月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CEFE4" w:space="0"/>
          <w:left w:val="single" w:sz="0" w:color="FCEFE4" w:space="0"/>
          <w:bottom w:val="single" w:sz="0" w:color="FCEFE4" w:space="0"/>
          <w:right w:val="single" w:sz="0" w:color="FCEFE4" w:space="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FE4" w:val="clear"/>
            <w:tcBorders>
              <w:top w:val="single" w:sz="2" w:space="0" w:color="FCEFE4"/>
              <w:left w:val="single" w:sz="18" w:space="0" w:color="C96A2B"/>
              <w:bottom w:val="single" w:sz="2" w:space="0" w:color="FCEFE4"/>
              <w:right w:val="single" w:sz="2" w:space="0" w:color="FCEFE4"/>
            </w:tcBorders>
          </w:tcPr>
          <w:p>
            <w:pPr>
              <w:spacing w:before="20" w:after="20" w:line="269" w:lineRule="auto"/>
              <w:ind w:left="115"/>
            </w:pPr>
            <w:r>
              <w:rPr>
                <w:rFonts w:ascii="Arial Unicode MS" w:hAnsi="Arial Unicode MS" w:eastAsia="Arial Unicode MS" w:cs="Arial Unicode MS" w:hint="eastAsia"/>
                <w:b/>
                <w:color w:val="C96A2B"/>
                <w:sz w:val="21"/>
              </w:rPr>
              <w:t xml:space="preserve">行动建议  </w:t>
            </w:r>
            <w:r>
              <w:rPr>
                <w:rFonts w:ascii="Arial Unicode MS" w:hAnsi="Arial Unicode MS" w:eastAsia="Arial Unicode MS" w:cs="Arial Unicode MS" w:hint="eastAsia"/>
                <w:color w:val="1B1F24"/>
                <w:sz w:val="21"/>
              </w:rPr>
              <w:t>下一季度优先把“真实产出可见、文件可以拿走、需求一句话能说清楚”三件事做完整，再继续扩大技能数量。</w:t>
            </w:r>
          </w:p>
        </w:tc>
      </w:tr>
    </w:tbl>
    <w:p>
      <w:pPr>
        <w:spacing w:before="0" w:after="0" w:line="264" w:lineRule="auto"/>
      </w:pPr>
      <w:r>
        <w:rPr>
          <w:rFonts w:ascii="Arial Unicode MS" w:hAnsi="Arial Unicode MS" w:eastAsia="Arial Unicode MS" w:cs="Arial Unicode MS" w:hint="eastAsia"/>
          <w:b w:val="0"/>
          <w:color w:val="667085"/>
          <w:sz w:val="19"/>
        </w:rPr>
        <w:t>说明：本文档为技能详情页使用的示例产出，数字、品牌和业务名称均可替换，不代表真实经营数据。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  <w:tblBorders>
        <w:top w:val="single" w:sz="0" w:color="FFFFFF" w:space="0"/>
        <w:left w:val="single" w:sz="0" w:color="FFFFFF" w:space="0"/>
        <w:bottom w:val="single" w:sz="0" w:color="FFFFFF" w:space="0"/>
        <w:right w:val="single" w:sz="0" w:color="FFFFFF" w:space="0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52" w:lineRule="auto"/>
            <w:jc w:val="left"/>
          </w:pPr>
          <w:r>
            <w:rPr>
              <w:rFonts w:ascii="Arial Unicode MS" w:hAnsi="Arial Unicode MS" w:eastAsia="Arial Unicode MS" w:cs="Arial Unicode MS" w:hint="eastAsia"/>
              <w:b w:val="0"/>
              <w:color w:val="667085"/>
              <w:sz w:val="17"/>
            </w:rPr>
            <w:t>示例数据 · 可直接替换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52" w:lineRule="auto"/>
            <w:jc w:val="right"/>
          </w:pPr>
          <w:r>
            <w:rPr>
              <w:rFonts w:ascii="Arial Unicode MS" w:hAnsi="Arial Unicode MS" w:eastAsia="Arial Unicode MS" w:cs="Arial Unicode MS" w:hint="eastAsia"/>
              <w:color w:val="667085"/>
              <w:sz w:val="17"/>
            </w:rPr>
            <w:t xml:space="preserve">第 </w:t>
          </w:r>
          <w:r>
            <w:rPr>
              <w:rFonts w:ascii="Arial Unicode MS" w:hAnsi="Arial Unicode MS" w:eastAsia="Arial Unicode MS" w:cs="Arial Unicode MS" w:hint="eastAsia"/>
              <w:color w:val="667085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 Unicode MS" w:hAnsi="Arial Unicode MS" w:eastAsia="Arial Unicode MS" w:cs="Arial Unicode MS" w:hint="eastAsia"/>
              <w:color w:val="667085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  <w:tblBorders>
        <w:top w:val="single" w:sz="0" w:color="FFFFFF" w:space="0"/>
        <w:left w:val="single" w:sz="0" w:color="FFFFFF" w:space="0"/>
        <w:bottom w:val="single" w:sz="0" w:color="FFFFFF" w:space="0"/>
        <w:right w:val="single" w:sz="0" w:color="FFFFFF" w:space="0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52" w:lineRule="auto"/>
            <w:jc w:val="left"/>
          </w:pPr>
          <w:r>
            <w:rPr>
              <w:rFonts w:ascii="Arial Unicode MS" w:hAnsi="Arial Unicode MS" w:eastAsia="Arial Unicode MS" w:cs="Arial Unicode MS" w:hint="eastAsia"/>
              <w:b/>
              <w:color w:val="667085"/>
              <w:sz w:val="17"/>
            </w:rPr>
            <w:t>DEEPVCODE  /  WORD WORKFLOW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52" w:lineRule="auto"/>
            <w:jc w:val="right"/>
          </w:pPr>
          <w:r>
            <w:rPr>
              <w:rFonts w:ascii="Arial Unicode MS" w:hAnsi="Arial Unicode MS" w:eastAsia="Arial Unicode MS" w:cs="Arial Unicode MS" w:hint="eastAsia"/>
              <w:b w:val="0"/>
              <w:color w:val="667085"/>
              <w:sz w:val="17"/>
            </w:rPr>
            <w:t>季度复盘 · 示例文档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B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